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SỬA LỖI ACCEPTANCE CRITERIA</w:t>
      </w:r>
    </w:p>
    <w:p>
      <w:pPr>
        <w:jc w:val="center"/>
      </w:pPr>
      <w:r>
        <w:rPr>
          <w:b/>
          <w:color w:val="3E5668"/>
          <w:sz w:val="24"/>
        </w:rPr>
        <w:t>Chức năng áp mã khuyến mãi — Given / When / Then</w:t>
      </w:r>
    </w:p>
    <w:p>
      <w:pPr>
        <w:spacing w:after="200"/>
      </w:pPr>
      <w:r>
        <w:rPr>
          <w:b/>
        </w:rPr>
        <w:t xml:space="preserve">Sinh viên thực hiện: </w:t>
      </w:r>
      <w:r>
        <w:t>Nguyễn Hoàng Đức Huy</w:t>
      </w:r>
    </w:p>
    <w:p>
      <w:pPr>
        <w:spacing w:after="100"/>
      </w:pPr>
      <w:r>
        <w:rPr>
          <w:b/>
        </w:rPr>
        <w:t xml:space="preserve">User Story: </w:t>
      </w:r>
      <w:r>
        <w:t>“Là một Khách hàng, tôi muốn áp mã khuyến mãi khi đặt xe, để trả ít tiền hơn.”</w:t>
      </w:r>
    </w:p>
    <w:p>
      <w:pPr>
        <w:pStyle w:val="Heading1"/>
      </w:pPr>
      <w:r>
        <w:t>PHẦN 1. PHÂN TÍCH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077"/>
        <w:gridCol w:w="3855"/>
        <w:gridCol w:w="3742"/>
      </w:tblGrid>
      <w:tr>
        <w:trPr>
          <w:cantSplit/>
          <w:tblHeader w:val="true"/>
        </w:trPr>
        <w:tc>
          <w:tcPr>
            <w:tcW w:type="dxa" w:w="794"/>
            <w:vAlign w:val="center"/>
            <w:shd w:fill="184B72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AC</w:t>
            </w:r>
          </w:p>
        </w:tc>
        <w:tc>
          <w:tcPr>
            <w:tcW w:type="dxa" w:w="1077"/>
            <w:vAlign w:val="center"/>
            <w:shd w:fill="184B72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Đánh giá</w:t>
            </w:r>
          </w:p>
        </w:tc>
        <w:tc>
          <w:tcPr>
            <w:tcW w:type="dxa" w:w="3855"/>
            <w:vAlign w:val="center"/>
            <w:shd w:fill="184B72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Quy tắc bị vi phạm / Lý do đúng</w:t>
            </w:r>
          </w:p>
        </w:tc>
        <w:tc>
          <w:tcPr>
            <w:tcW w:type="dxa" w:w="3742"/>
            <w:vAlign w:val="center"/>
            <w:shd w:fill="184B72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Hậu quả khi kiểm thử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 w:line="25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AC1</w:t>
            </w:r>
          </w:p>
        </w:tc>
        <w:tc>
          <w:tcPr>
            <w:tcW w:type="dxa" w:w="1077"/>
            <w:vAlign w:val="center"/>
          </w:tcPr>
          <w:p>
            <w:pPr>
              <w:spacing w:after="20" w:before="20" w:line="250" w:lineRule="auto"/>
              <w:jc w:val="center"/>
            </w:pPr>
            <w:r>
              <w:rPr>
                <w:rFonts w:ascii="Times New Roman" w:hAnsi="Times New Roman"/>
                <w:b/>
                <w:color w:val="1F694C"/>
                <w:sz w:val="20"/>
              </w:rPr>
              <w:t>ĐÚNG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Times New Roman" w:hAnsi="Times New Roman"/>
                <w:sz w:val="20"/>
              </w:rPr>
              <w:t>Không vi phạm. Given xác định cước và trạng thái mã; When là một hành động; Then nêu đúng số tiền 80.000đ.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Times New Roman" w:hAnsi="Times New Roman"/>
                <w:sz w:val="20"/>
              </w:rPr>
              <w:t>Có thể đối chiếu ngay cước hiển thị với kết quả mong đợi.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6FA"/>
          </w:tcPr>
          <w:p>
            <w:pPr>
              <w:spacing w:after="20" w:before="20" w:line="25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AC2</w:t>
            </w:r>
          </w:p>
        </w:tc>
        <w:tc>
          <w:tcPr>
            <w:tcW w:type="dxa" w:w="1077"/>
            <w:vAlign w:val="center"/>
            <w:shd w:fill="F2F6FA"/>
          </w:tcPr>
          <w:p>
            <w:pPr>
              <w:spacing w:after="20" w:before="20" w:line="250" w:lineRule="auto"/>
              <w:jc w:val="center"/>
            </w:pPr>
            <w:r>
              <w:rPr>
                <w:rFonts w:ascii="Times New Roman" w:hAnsi="Times New Roman"/>
                <w:b/>
                <w:color w:val="A53A33"/>
                <w:sz w:val="20"/>
              </w:rPr>
              <w:t>SAI</w:t>
            </w:r>
          </w:p>
        </w:tc>
        <w:tc>
          <w:tcPr>
            <w:tcW w:type="dxa" w:w="3855"/>
            <w:vAlign w:val="center"/>
            <w:shd w:fill="F2F6FA"/>
          </w:tcPr>
          <w:p>
            <w:pPr>
              <w:spacing w:after="20" w:before="20" w:line="250" w:lineRule="auto"/>
            </w:pPr>
            <w:r>
              <w:rPr>
                <w:rFonts w:ascii="Times New Roman" w:hAnsi="Times New Roman"/>
                <w:sz w:val="20"/>
              </w:rPr>
              <w:t>When có hai hành động (áp mã và bấm “Đặt xe”); Then dùng cụm “xử lý phù hợp”, không đo lường được.</w:t>
            </w:r>
          </w:p>
        </w:tc>
        <w:tc>
          <w:tcPr>
            <w:tcW w:type="dxa" w:w="3742"/>
            <w:vAlign w:val="center"/>
            <w:shd w:fill="F2F6FA"/>
          </w:tcPr>
          <w:p>
            <w:pPr>
              <w:spacing w:after="20" w:before="20" w:line="250" w:lineRule="auto"/>
            </w:pPr>
            <w:r>
              <w:rPr>
                <w:rFonts w:ascii="Times New Roman" w:hAnsi="Times New Roman"/>
                <w:sz w:val="20"/>
              </w:rPr>
              <w:t>Không xác định được thao tác kiểm thử đơn nhất, thông báo và cước sau khi áp mã hết hạn.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 w:line="25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AC3</w:t>
            </w:r>
          </w:p>
        </w:tc>
        <w:tc>
          <w:tcPr>
            <w:tcW w:type="dxa" w:w="1077"/>
            <w:vAlign w:val="center"/>
          </w:tcPr>
          <w:p>
            <w:pPr>
              <w:spacing w:after="20" w:before="20" w:line="250" w:lineRule="auto"/>
              <w:jc w:val="center"/>
            </w:pPr>
            <w:r>
              <w:rPr>
                <w:rFonts w:ascii="Times New Roman" w:hAnsi="Times New Roman"/>
                <w:b/>
                <w:color w:val="A53A33"/>
                <w:sz w:val="20"/>
              </w:rPr>
              <w:t>SAI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Times New Roman" w:hAnsi="Times New Roman"/>
                <w:sz w:val="20"/>
              </w:rPr>
              <w:t>Given mô tả hành động bấm “Áp dụng”, còn When lại mô tả trạng thái mã không tồn tại; sai vị trí điều kiện và hành động.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 w:line="250" w:lineRule="auto"/>
            </w:pPr>
            <w:r>
              <w:rPr>
                <w:rFonts w:ascii="Times New Roman" w:hAnsi="Times New Roman"/>
                <w:sz w:val="20"/>
              </w:rPr>
              <w:t>Không rõ trạng thái chuẩn bị trước kiểm thử và thời điểm kích hoạt xử lý.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6FA"/>
          </w:tcPr>
          <w:p>
            <w:pPr>
              <w:spacing w:after="20" w:before="20" w:line="25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AC4</w:t>
            </w:r>
          </w:p>
        </w:tc>
        <w:tc>
          <w:tcPr>
            <w:tcW w:type="dxa" w:w="1077"/>
            <w:vAlign w:val="center"/>
            <w:shd w:fill="F2F6FA"/>
          </w:tcPr>
          <w:p>
            <w:pPr>
              <w:spacing w:after="20" w:before="20" w:line="250" w:lineRule="auto"/>
              <w:jc w:val="center"/>
            </w:pPr>
            <w:r>
              <w:rPr>
                <w:rFonts w:ascii="Times New Roman" w:hAnsi="Times New Roman"/>
                <w:b/>
                <w:color w:val="1F694C"/>
                <w:sz w:val="20"/>
              </w:rPr>
              <w:t>ĐÚNG</w:t>
            </w:r>
          </w:p>
        </w:tc>
        <w:tc>
          <w:tcPr>
            <w:tcW w:type="dxa" w:w="3855"/>
            <w:vAlign w:val="center"/>
            <w:shd w:fill="F2F6FA"/>
          </w:tcPr>
          <w:p>
            <w:pPr>
              <w:spacing w:after="20" w:before="20" w:line="250" w:lineRule="auto"/>
            </w:pPr>
            <w:r>
              <w:rPr>
                <w:rFonts w:ascii="Times New Roman" w:hAnsi="Times New Roman"/>
                <w:sz w:val="20"/>
              </w:rPr>
              <w:t>Không vi phạm. Given là trạng thái đã áp mã; When chỉ có một hành động; Then có thông báo và cước cụ thể.</w:t>
            </w:r>
          </w:p>
        </w:tc>
        <w:tc>
          <w:tcPr>
            <w:tcW w:type="dxa" w:w="3742"/>
            <w:vAlign w:val="center"/>
            <w:shd w:fill="F2F6FA"/>
          </w:tcPr>
          <w:p>
            <w:pPr>
              <w:spacing w:after="20" w:before="20" w:line="250" w:lineRule="auto"/>
            </w:pPr>
            <w:r>
              <w:rPr>
                <w:rFonts w:ascii="Times New Roman" w:hAnsi="Times New Roman"/>
                <w:sz w:val="20"/>
              </w:rPr>
              <w:t>Kiểm chứng được đồng thời thông báo giới hạn một mã và cước không đổi.</w:t>
            </w:r>
          </w:p>
        </w:tc>
      </w:tr>
    </w:tbl>
    <w:p>
      <w:pPr>
        <w:pStyle w:val="Heading1"/>
      </w:pPr>
      <w:r>
        <w:t>PHẦN 2. VIẾT LẠI CÁC AC SAI</w:t>
      </w:r>
    </w:p>
    <w:p>
      <w:pPr>
        <w:pStyle w:val="Heading2"/>
      </w:pPr>
      <w:r>
        <w:t>AC2 — Mã khuyến mãi đã hết hạn</w:t>
      </w:r>
    </w:p>
    <w:p>
      <w:pPr>
        <w:spacing w:after="60"/>
        <w:ind w:left="312" w:hanging="312"/>
      </w:pPr>
      <w:r>
        <w:rPr>
          <w:b/>
          <w:color w:val="124E70"/>
        </w:rPr>
        <w:t xml:space="preserve">Given: </w:t>
      </w:r>
      <w:r>
        <w:t>Cước chuyến là 100.000đ, khách chưa áp mã nào, mã “GO20” đã hết hạn và khách đã nhập mã “GO20”.</w:t>
      </w:r>
    </w:p>
    <w:p>
      <w:pPr>
        <w:spacing w:after="60"/>
        <w:ind w:left="312" w:hanging="312"/>
      </w:pPr>
      <w:r>
        <w:rPr>
          <w:b/>
          <w:color w:val="124E70"/>
        </w:rPr>
        <w:t xml:space="preserve">When: </w:t>
      </w:r>
      <w:r>
        <w:t>Khách bấm nút “Áp dụng”.</w:t>
      </w:r>
    </w:p>
    <w:p>
      <w:pPr>
        <w:spacing w:after="60"/>
        <w:ind w:left="312" w:hanging="312"/>
      </w:pPr>
      <w:r>
        <w:rPr>
          <w:b/>
          <w:color w:val="124E70"/>
        </w:rPr>
        <w:t xml:space="preserve">Then: </w:t>
      </w:r>
      <w:r>
        <w:t>Hệ thống hiển thị thông báo “Mã khuyến mãi đã hết hạn” và cước giữ nguyên 100.000đ.</w:t>
      </w:r>
    </w:p>
    <w:p>
      <w:pPr>
        <w:pStyle w:val="Heading2"/>
      </w:pPr>
      <w:r>
        <w:t>AC3 — Mã khuyến mãi không tồn tại</w:t>
      </w:r>
    </w:p>
    <w:p>
      <w:pPr>
        <w:spacing w:after="60"/>
        <w:ind w:left="312" w:hanging="312"/>
      </w:pPr>
      <w:r>
        <w:rPr>
          <w:b/>
          <w:color w:val="124E70"/>
        </w:rPr>
        <w:t xml:space="preserve">Given: </w:t>
      </w:r>
      <w:r>
        <w:t>Khách đã nhập mã “ABC123” và mã này không tồn tại trong hệ thống.</w:t>
      </w:r>
    </w:p>
    <w:p>
      <w:pPr>
        <w:spacing w:after="60"/>
        <w:ind w:left="312" w:hanging="312"/>
      </w:pPr>
      <w:r>
        <w:rPr>
          <w:b/>
          <w:color w:val="124E70"/>
        </w:rPr>
        <w:t xml:space="preserve">When: </w:t>
      </w:r>
      <w:r>
        <w:t>Khách bấm nút “Áp dụng”.</w:t>
      </w:r>
    </w:p>
    <w:p>
      <w:pPr>
        <w:spacing w:after="60"/>
        <w:ind w:left="312" w:hanging="312"/>
      </w:pPr>
      <w:r>
        <w:rPr>
          <w:b/>
          <w:color w:val="124E70"/>
        </w:rPr>
        <w:t xml:space="preserve">Then: </w:t>
      </w:r>
      <w:r>
        <w:t>Hệ thống hiển thị thông báo “Mã khuyến mãi không hợp lệ”.</w:t>
      </w:r>
    </w:p>
    <w:p>
      <w:pPr>
        <w:pStyle w:val="Heading1"/>
      </w:pPr>
      <w:r>
        <w:t>PHẦN 3. KẾT LUẬN</w:t>
      </w:r>
    </w:p>
    <w:p>
      <w:r>
        <w:rPr>
          <w:b/>
        </w:rPr>
        <w:t xml:space="preserve">AC1 và AC4 </w:t>
      </w:r>
      <w:r>
        <w:t xml:space="preserve">đúng, được giữ nguyên. </w:t>
      </w:r>
      <w:r>
        <w:rPr>
          <w:b/>
        </w:rPr>
        <w:t xml:space="preserve">AC2 và AC3 </w:t>
      </w:r>
      <w:r>
        <w:t>đã được chỉnh lại theo cấu trúc Given – When – Then, mỗi AC có một hành động và kết quả kiểm chứng được.</w:t>
      </w:r>
    </w:p>
    <w:p>
      <w:pPr>
        <w:spacing w:before="80"/>
      </w:pPr>
      <w:r>
        <w:rPr>
          <w:b/>
        </w:rPr>
        <w:t xml:space="preserve">Lưu ý: </w:t>
      </w:r>
      <w:r>
        <w:t>Thông báo “Mã khuyến mãi đã hết hạn” và quy tắc giữ nguyên cước trong AC2 là đề xuất cần Product Owner xác nhận trước khi nghiệm thu.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19" w:bottom="1134" w:left="1219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7F8B97"/>
        <w:sz w:val="18"/>
      </w:rPr>
      <w:t>SS5_BT1  •  Acceptance Criteria — RikkeiGo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6E7D89"/>
        <w:sz w:val="18"/>
      </w:rPr>
      <w:t>RIKKEIGO  |  SESSION 05 - BÀI TẬP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/>
      <w:color w:val="242E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1446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C456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13386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SS5_BT1 - Sửa lỗi Acceptance Criteria</dc:title>
  <dc:subject>Given When Then - Áp mã khuyến mãi</dc:subject>
  <dc:creator>Nguyễn Hoàng Đức Huy</dc:creator>
  <cp:keywords>Acceptance Criteria; Given When Then; RikkeiGo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