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SỬA LỖI BUỔI PLANNING POKER</w:t>
        <w:br/>
        <w:t>CHO CÁC CHỨC NĂNG ĐẶT XE</w:t>
      </w:r>
    </w:p>
    <w:p>
      <w:pPr>
        <w:jc w:val="center"/>
      </w:pPr>
      <w:r>
        <w:rPr>
          <w:b/>
          <w:sz w:val="20"/>
        </w:rPr>
        <w:t>Sinh viên thực hiện: Nguyễn Hoàng Đức Huy</w:t>
      </w:r>
    </w:p>
    <w:p>
      <w:pPr>
        <w:spacing w:after="140"/>
      </w:pPr>
      <w:r>
        <w:rPr>
          <w:b/>
        </w:rPr>
        <w:t xml:space="preserve">Bối cảnh: </w:t>
      </w:r>
      <w:r>
        <w:t>RikkeiGo; Reference Story “Xem lịch sử chuyến đi” = 3 SP; thang ước lượng: 1, 2, 3, 5, 8, 13, 21. Đánh giá theo quy tắc Planning Poker và vai trò của Scrum Team.</w:t>
      </w:r>
    </w:p>
    <w:p>
      <w:pPr>
        <w:pStyle w:val="Heading1"/>
      </w:pPr>
      <w:r>
        <w:t>PHẦN 1. PHÂN TÍCH</w:t>
      </w:r>
    </w:p>
    <w:tbl>
      <w:tblPr>
        <w:tblW w:type="auto" w:w="0"/>
        <w:jc w:val="center"/>
        <w:tblLayout w:type="fixed"/>
        <w:tblLook w:firstColumn="1" w:firstRow="1" w:lastColumn="0" w:lastRow="0" w:noHBand="0" w:noVBand="1" w:val="04A0"/>
      </w:tblPr>
      <w:tblGrid>
        <w:gridCol w:w="765"/>
        <w:gridCol w:w="1956"/>
        <w:gridCol w:w="6038"/>
        <w:gridCol w:w="6094"/>
      </w:tblGrid>
      <w:tr>
        <w:tc>
          <w:tcPr>
            <w:tcW w:type="dxa" w:w="765"/>
            <w:vAlign w:val="center"/>
            <w:shd w:fill="244A73"/>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color w:val="FFFFFF"/>
                <w:sz w:val="18"/>
              </w:rPr>
              <w:t>Mã</w:t>
            </w:r>
          </w:p>
        </w:tc>
        <w:tc>
          <w:tcPr>
            <w:tcW w:type="dxa" w:w="1956"/>
            <w:vAlign w:val="center"/>
            <w:shd w:fill="244A73"/>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color w:val="FFFFFF"/>
                <w:sz w:val="18"/>
              </w:rPr>
              <w:t>Đánh giá</w:t>
            </w:r>
          </w:p>
        </w:tc>
        <w:tc>
          <w:tcPr>
            <w:tcW w:type="dxa" w:w="6038"/>
            <w:vAlign w:val="center"/>
            <w:shd w:fill="244A73"/>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color w:val="FFFFFF"/>
                <w:sz w:val="18"/>
              </w:rPr>
              <w:t>Quy tắc bị vi phạm / Lý do hợp lý</w:t>
            </w:r>
          </w:p>
        </w:tc>
        <w:tc>
          <w:tcPr>
            <w:tcW w:type="dxa" w:w="6094"/>
            <w:vAlign w:val="center"/>
            <w:shd w:fill="244A73"/>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color w:val="FFFFFF"/>
                <w:sz w:val="18"/>
              </w:rPr>
              <w:t>Hậu quả khi lập kế hoạch Sprint</w:t>
            </w:r>
          </w:p>
        </w:tc>
      </w:tr>
      <w:tr>
        <w:trPr>
          <w:cantSplit/>
        </w:trPr>
        <w:tc>
          <w:tcPr>
            <w:tcW w:type="dxa" w:w="765"/>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sz w:val="18"/>
              </w:rPr>
              <w:t>P1</w:t>
            </w:r>
          </w:p>
        </w:tc>
        <w:tc>
          <w:tcPr>
            <w:tcW w:type="dxa" w:w="1956"/>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Chưa hợp lý</w:t>
            </w:r>
          </w:p>
        </w:tc>
        <w:tc>
          <w:tcPr>
            <w:tcW w:type="dxa" w:w="6038"/>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Lấy trung bình 3, 3, 5, 5 thành 4 SP; 4 không thuộc thang Fibonacci của đội. Chưa thảo luận các góc nhìn khác nhau rồi bỏ phiếu lại.</w:t>
            </w:r>
          </w:p>
        </w:tc>
        <w:tc>
          <w:tcPr>
            <w:tcW w:type="dxa" w:w="6094"/>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Dùng 4 SP không nhất quán với thang ước lượng, làm sai lệch cơ sở so sánh độ lớn và dự báo khối lượng Sprint.</w:t>
            </w:r>
          </w:p>
        </w:tc>
      </w:tr>
      <w:tr>
        <w:trPr>
          <w:cantSplit/>
        </w:trPr>
        <w:tc>
          <w:tcPr>
            <w:tcW w:type="dxa" w:w="765"/>
            <w:vAlign w:val="center"/>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sz w:val="18"/>
              </w:rPr>
              <w:t>P2</w:t>
            </w:r>
          </w:p>
        </w:tc>
        <w:tc>
          <w:tcPr>
            <w:tcW w:type="dxa" w:w="1956"/>
            <w:vAlign w:val="center"/>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Chưa hợp lý</w:t>
            </w:r>
          </w:p>
        </w:tc>
        <w:tc>
          <w:tcPr>
            <w:tcW w:type="dxa" w:w="6038"/>
            <w:vAlign w:val="center"/>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Product Owner tự quyết định 5 SP, trong khi Developers mới là người ước lượng. Chưa thảo luận sự chênh lệch 5–13 SP và rủi ro tích hợp ví.</w:t>
            </w:r>
          </w:p>
        </w:tc>
        <w:tc>
          <w:tcPr>
            <w:tcW w:type="dxa" w:w="6094"/>
            <w:vAlign w:val="center"/>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Có thể đánh giá thấp khối lượng và độ phức tạp, chọn quá nhiều việc cho Sprint, tăng nguy cơ không đạt Sprint Goal.</w:t>
            </w:r>
          </w:p>
        </w:tc>
      </w:tr>
      <w:tr>
        <w:trPr>
          <w:cantSplit/>
        </w:trPr>
        <w:tc>
          <w:tcPr>
            <w:tcW w:type="dxa" w:w="765"/>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sz w:val="18"/>
              </w:rPr>
              <w:t>P3</w:t>
            </w:r>
          </w:p>
        </w:tc>
        <w:tc>
          <w:tcPr>
            <w:tcW w:type="dxa" w:w="1956"/>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Hợp lý</w:t>
            </w:r>
          </w:p>
        </w:tc>
        <w:tc>
          <w:tcPr>
            <w:tcW w:type="dxa" w:w="6038"/>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Không vi phạm: người chọn thấp nhất (3) và cao nhất (8) giải thích, cả đội chọn lại và thống nhất 5 SP thuộc thang điểm.</w:t>
            </w:r>
          </w:p>
        </w:tc>
        <w:tc>
          <w:tcPr>
            <w:tcW w:type="dxa" w:w="6094"/>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5 SP có cơ sở từ trao đổi và đồng thuận, phù hợp để xem xét khi lập Sprint Backlog.</w:t>
            </w:r>
          </w:p>
        </w:tc>
      </w:tr>
      <w:tr>
        <w:trPr>
          <w:cantSplit/>
        </w:trPr>
        <w:tc>
          <w:tcPr>
            <w:tcW w:type="dxa" w:w="765"/>
            <w:vAlign w:val="center"/>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sz w:val="18"/>
              </w:rPr>
              <w:t>P4</w:t>
            </w:r>
          </w:p>
        </w:tc>
        <w:tc>
          <w:tcPr>
            <w:tcW w:type="dxa" w:w="1956"/>
            <w:vAlign w:val="center"/>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Chưa hợp lý ở ghi chú</w:t>
            </w:r>
          </w:p>
        </w:tc>
        <w:tc>
          <w:tcPr>
            <w:tcW w:type="dxa" w:w="6038"/>
            <w:vAlign w:val="center"/>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Quy trình chọn lại và thống nhất 13 SP là đúng; sai ở ghi chú “13 SP = 52 giờ”, vì SP đo độ lớn tương đối, không quy đổi cố định thành giờ.</w:t>
            </w:r>
          </w:p>
        </w:tc>
        <w:tc>
          <w:tcPr>
            <w:tcW w:type="dxa" w:w="6094"/>
            <w:vAlign w:val="center"/>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Dễ hình thành cam kết thời gian sai, nhầm SP với số giờ làm và dự báo tiến độ thiếu chính xác.</w:t>
            </w:r>
          </w:p>
        </w:tc>
      </w:tr>
      <w:tr>
        <w:trPr>
          <w:cantSplit/>
        </w:trPr>
        <w:tc>
          <w:tcPr>
            <w:tcW w:type="dxa" w:w="765"/>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sz w:val="18"/>
              </w:rPr>
              <w:t>P5</w:t>
            </w:r>
          </w:p>
        </w:tc>
        <w:tc>
          <w:tcPr>
            <w:tcW w:type="dxa" w:w="1956"/>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Chưa hợp lý</w:t>
            </w:r>
          </w:p>
        </w:tc>
        <w:tc>
          <w:tcPr>
            <w:tcW w:type="dxa" w:w="6038"/>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Điều kiện áp mã giới thiệu cùng khuyến mãi khác chưa rõ. Chốt 13 SP theo đa số thay vì làm rõ phạm vi, rủi ro và ước lượng lại.</w:t>
            </w:r>
          </w:p>
        </w:tc>
        <w:tc>
          <w:tcPr>
            <w:tcW w:type="dxa" w:w="6094"/>
            <w:vAlign w:val="center"/>
            <w:shd w:fill="F2F6FA"/>
            <w:tcBorders>
              <w:top w:val="single" w:sz="4" w:color="D8E1EA"/>
              <w:left w:val="single" w:sz="4" w:color="D8E1EA"/>
              <w:bottom w:val="single" w:sz="4" w:color="D8E1EA"/>
              <w:right w:val="single" w:sz="4" w:color="D8E1EA"/>
            </w:tcBorders>
          </w:tcPr>
          <w:p>
            <w:pPr>
              <w:spacing w:after="20" w:before="20" w:line="274" w:lineRule="auto"/>
            </w:pPr>
            <w:r/>
            <w:r>
              <w:rPr>
                <w:rFonts w:ascii="Arial" w:hAnsi="Arial"/>
                <w:b w:val="0"/>
                <w:sz w:val="18"/>
              </w:rPr>
              <w:t>Ước lượng có thể sai do chưa rõ nghiệp vụ; khi vào Sprint dễ phát sinh việc mới, khó hoàn thành PBI như dự kiến.</w:t>
            </w:r>
          </w:p>
        </w:tc>
      </w:tr>
    </w:tbl>
    <w:p>
      <w:pPr>
        <w:spacing w:before="100" w:after="40"/>
      </w:pPr>
      <w:r>
        <w:rPr>
          <w:b/>
        </w:rPr>
        <w:t xml:space="preserve">Nhận xét: </w:t>
      </w:r>
      <w:r>
        <w:t>P3 đúng hoàn toàn; P4 đúng về kết quả 13 SP nhưng cần sửa ghi chú. P1, P2 và P5 cần tổ chức trao đổi và ước lượng lại.</w:t>
      </w:r>
    </w:p>
    <w:p>
      <w:pPr>
        <w:pStyle w:val="Heading1"/>
      </w:pPr>
      <w:r>
        <w:t>PHẦN 2. SỬA LỖI</w:t>
      </w:r>
    </w:p>
    <w:p>
      <w:pPr>
        <w:spacing w:after="140"/>
      </w:pPr>
      <w:r>
        <w:rPr>
          <w:b/>
          <w:color w:val="143860"/>
        </w:rPr>
        <w:t xml:space="preserve">P1 – Đăng nhập bằng số điện thoại: </w:t>
      </w:r>
      <w:r>
        <w:t>Developers trao đổi lý do chọn 3 hoặc 5 SP, làm rõ các bước xác thực (ví dụ OTP), xử lý lỗi và rủi ro tích hợp dịch vụ gửi mã. Sau đó từng người chọn kín, lật thẻ đồng thời và chọn lại để thống nhất một mức trong thang của đội.</w:t>
      </w:r>
    </w:p>
    <w:p>
      <w:pPr>
        <w:spacing w:after="140"/>
      </w:pPr>
      <w:r>
        <w:rPr>
          <w:b/>
          <w:color w:val="143860"/>
        </w:rPr>
        <w:t xml:space="preserve">P2 – Thanh toán bằng ví RikkeiPay: </w:t>
      </w:r>
      <w:r>
        <w:t>Product Owner làm rõ luồng thanh toán, trường hợp số dư không đủ, giao dịch thất bại và phạm vi tích hợp ví; Developers nêu nguyên nhân chênh lệch 5–13 SP, nhất là rủi ro kỹ thuật. Developers thực hiện lại Planning Poker và tự thống nhất SP, không để Product Owner ấn định.</w:t>
      </w:r>
    </w:p>
    <w:p>
      <w:pPr>
        <w:spacing w:after="140"/>
      </w:pPr>
      <w:r>
        <w:rPr>
          <w:b/>
          <w:color w:val="143860"/>
        </w:rPr>
        <w:t xml:space="preserve">P4 – Theo dõi vị trí tài xế trên bản đồ: </w:t>
      </w:r>
      <w:r>
        <w:t>Giữ nguyên 13 SP vì Developers đã giải thích, chọn lại và đồng thuận. Xóa ghi chú “13 SP = 52 giờ”, thay bằng “13 SP là độ lớn tương đối so với Reference Story 3 SP”; không quy đổi SP cố định thành giờ.</w:t>
      </w:r>
    </w:p>
    <w:p>
      <w:pPr>
        <w:spacing w:after="140"/>
      </w:pPr>
      <w:r>
        <w:rPr>
          <w:b/>
          <w:color w:val="143860"/>
        </w:rPr>
        <w:t xml:space="preserve">P5 – Áp mã giới thiệu bạn bè: </w:t>
      </w:r>
      <w:r>
        <w:t>Product Owner cần xác nhận mã giới thiệu có dùng chung với khuyến mãi khác không, nếu có thì quy tắc ưu tiên, điều kiện áp dụng và các tình huống xung đột là gì. Khi PBI và tiêu chí chấp nhận đã rõ, Developers thảo luận rủi ro, chọn kín, lật đồng thời và ước lượng lại; chưa rõ thì chưa chốt SP.</w:t>
      </w:r>
    </w:p>
    <w:p>
      <w:pPr>
        <w:spacing w:before="60"/>
      </w:pPr>
      <w:r>
        <w:rPr>
          <w:b/>
        </w:rPr>
        <w:t xml:space="preserve">P3 – Hủy chuyến trước khi tài xế nhận: </w:t>
      </w:r>
      <w:r>
        <w:t>Giữ nguyên 5 SP, không cần sửa vì đã thực hiện đúng quy trình Planning Poker.</w:t>
      </w:r>
    </w:p>
    <w:p>
      <w:pPr>
        <w:spacing w:before="100"/>
      </w:pPr>
      <w:r>
        <w:rPr>
          <w:b/>
        </w:rPr>
        <w:t xml:space="preserve">Kết luận: </w:t>
      </w:r>
      <w:r>
        <w:t>Chỉ Developers ước lượng bằng SP; mọi khác biệt cần được thảo luận để làm rõ giả định và rủi ro. SP phải thuộc thang đã thống nhất và không được quy đổi cố định sang thời gian.</w:t>
      </w:r>
    </w:p>
    <w:sectPr w:rsidR="00FC693F" w:rsidRPr="0006063C" w:rsidSect="00034616">
      <w:headerReference w:type="default" r:id="rId9"/>
      <w:footerReference w:type="default" r:id="rId10"/>
      <w:pgSz w:w="16838" w:h="11906"/>
      <w:pgMar w:top="907" w:right="964" w:bottom="879" w:left="96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6F83"/>
        <w:sz w:val="16"/>
      </w:rPr>
      <w:t xml:space="preserve">Nguyễn Hoàng Đức Huy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66E8A"/>
        <w:sz w:val="16"/>
      </w:rPr>
      <w:t>BÀI TẬP AGILE / SCRUM  •  PLANNING POKER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43860"/>
      <w:sz w:val="24"/>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Arial" w:hAnsi="Arial"/>
      <w:b/>
      <w:bCs/>
      <w:color w:val="14386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00"/>
      <w:contextualSpacing/>
    </w:pPr>
    <w:rPr>
      <w:rFonts w:asciiTheme="majorHAnsi" w:eastAsiaTheme="majorEastAsia" w:hAnsiTheme="majorHAnsi" w:cstheme="majorBidi" w:ascii="Arial" w:hAnsi="Arial"/>
      <w:b/>
      <w:color w:val="14386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