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SS2_BT3 - 7 GIAI ĐOẠN SDLC VÀ TÍNH THÙ LAO RIKKEIEXPRESS</w:t>
      </w:r>
    </w:p>
    <w:p>
      <w:pPr>
        <w:jc w:val="center"/>
      </w:pPr>
      <w:r>
        <w:rPr>
          <w:rFonts w:ascii="Times New Roman" w:hAnsi="Times New Roman"/>
          <w:i/>
          <w:sz w:val="24"/>
        </w:rPr>
        <w:t>Báo cáo phân tích SDLC &amp; Luồng TPS - MIS</w:t>
      </w:r>
    </w:p>
    <w:p/>
    <w:p>
      <w:pPr>
        <w:pStyle w:val="Heading1"/>
      </w:pPr>
      <w:r>
        <w:t>1. Bối cảnh và mục tiêu</w:t>
      </w:r>
    </w:p>
    <w:p>
      <w:r>
        <w:t>RikkeiExpress cần đối soát thù lao tài xế theo tuần. Mỗi đơn DELIVERED được trả 20.000đ; tài xế có trên 50 đơn giao thành công được thưởng thêm 10%. Đơn DISPUTED phải tạm giữ thù lao cho đến khi tranh chấp được giải quyết.</w:t>
      </w:r>
    </w:p>
    <w:p>
      <w:pPr>
        <w:pStyle w:val="Heading1"/>
      </w:pPr>
      <w:r>
        <w:t>2. Danh mục 7 giai đoạn SDLC và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rFonts w:ascii="Times New Roman" w:hAnsi="Times New Roman"/>
                <w:b/>
                <w:sz w:val="21"/>
              </w:rPr>
              <w:t>Giai đoạn</w:t>
            </w:r>
          </w:p>
        </w:tc>
        <w:tc>
          <w:tcPr>
            <w:tcW w:type="dxa" w:w="4320"/>
            <w:vAlign w:val="center"/>
            <w:shd w:fill="D9EAF7"/>
          </w:tcPr>
          <w:p>
            <w:r/>
            <w:r>
              <w:rPr>
                <w:rFonts w:ascii="Times New Roman" w:hAnsi="Times New Roman"/>
                <w:b/>
                <w:sz w:val="21"/>
              </w:rPr>
              <w:t>Công việc chính của SA/đội dự án</w:t>
            </w:r>
          </w:p>
        </w:tc>
        <w:tc>
          <w:tcPr>
            <w:tcW w:type="dxa" w:w="3600"/>
            <w:vAlign w:val="center"/>
            <w:shd w:fill="D9EAF7"/>
          </w:tcPr>
          <w:p>
            <w:r/>
            <w:r>
              <w:rPr>
                <w:rFonts w:ascii="Times New Roman" w:hAnsi="Times New Roman"/>
                <w:b/>
                <w:sz w:val="21"/>
              </w:rPr>
              <w:t>Sản phẩm đầu ra (Deliverables)</w:t>
            </w:r>
          </w:p>
        </w:tc>
      </w:tr>
      <w:tr>
        <w:tc>
          <w:tcPr>
            <w:tcW w:type="dxa" w:w="2160"/>
            <w:vAlign w:val="center"/>
          </w:tcPr>
          <w:p>
            <w:r/>
            <w:r>
              <w:rPr>
                <w:rFonts w:ascii="Times New Roman" w:hAnsi="Times New Roman"/>
                <w:b w:val="0"/>
                <w:sz w:val="20"/>
              </w:rPr>
              <w:t>1. Lập kế hoạch (Planning)</w:t>
            </w:r>
          </w:p>
        </w:tc>
        <w:tc>
          <w:tcPr>
            <w:tcW w:type="dxa" w:w="4320"/>
            <w:vAlign w:val="center"/>
          </w:tcPr>
          <w:p>
            <w:r/>
            <w:r>
              <w:rPr>
                <w:rFonts w:ascii="Times New Roman" w:hAnsi="Times New Roman"/>
                <w:b w:val="0"/>
                <w:sz w:val="20"/>
              </w:rPr>
              <w:t>Xác định vấn đề tính sai thù lao; phạm vi; mục tiêu; nguồn lực; chi phí; rủi ro; lịch dự án.</w:t>
            </w:r>
          </w:p>
        </w:tc>
        <w:tc>
          <w:tcPr>
            <w:tcW w:type="dxa" w:w="3600"/>
            <w:vAlign w:val="center"/>
          </w:tcPr>
          <w:p>
            <w:r/>
            <w:r>
              <w:rPr>
                <w:rFonts w:ascii="Times New Roman" w:hAnsi="Times New Roman"/>
                <w:b w:val="0"/>
                <w:sz w:val="20"/>
              </w:rPr>
              <w:t>Project Charter; kế hoạch dự án; phạm vi sơ bộ; danh sách rủi ro.</w:t>
            </w:r>
          </w:p>
        </w:tc>
      </w:tr>
      <w:tr>
        <w:tc>
          <w:tcPr>
            <w:tcW w:type="dxa" w:w="2160"/>
            <w:vAlign w:val="center"/>
          </w:tcPr>
          <w:p>
            <w:r/>
            <w:r>
              <w:rPr>
                <w:rFonts w:ascii="Times New Roman" w:hAnsi="Times New Roman"/>
                <w:b w:val="0"/>
                <w:sz w:val="20"/>
              </w:rPr>
              <w:t>2. Phân tích (Analysis)</w:t>
            </w:r>
          </w:p>
        </w:tc>
        <w:tc>
          <w:tcPr>
            <w:tcW w:type="dxa" w:w="4320"/>
            <w:vAlign w:val="center"/>
          </w:tcPr>
          <w:p>
            <w:r/>
            <w:r>
              <w:rPr>
                <w:rFonts w:ascii="Times New Roman" w:hAnsi="Times New Roman"/>
                <w:b w:val="0"/>
                <w:sz w:val="20"/>
              </w:rPr>
              <w:t>Khảo sát kế toán, tài xế, tổng đài; đặc tả DELIVERED, DISPUTED, thưởng &gt;50 đơn; phân tích ngoại lệ.</w:t>
            </w:r>
          </w:p>
        </w:tc>
        <w:tc>
          <w:tcPr>
            <w:tcW w:type="dxa" w:w="3600"/>
            <w:vAlign w:val="center"/>
          </w:tcPr>
          <w:p>
            <w:r/>
            <w:r>
              <w:rPr>
                <w:rFonts w:ascii="Times New Roman" w:hAnsi="Times New Roman"/>
                <w:b w:val="0"/>
                <w:sz w:val="20"/>
              </w:rPr>
              <w:t>SRS; Business Rules; Use Case/User Stories; mô hình quy trình nghiệp vụ.</w:t>
            </w:r>
          </w:p>
        </w:tc>
      </w:tr>
      <w:tr>
        <w:tc>
          <w:tcPr>
            <w:tcW w:type="dxa" w:w="2160"/>
            <w:vAlign w:val="center"/>
          </w:tcPr>
          <w:p>
            <w:r/>
            <w:r>
              <w:rPr>
                <w:rFonts w:ascii="Times New Roman" w:hAnsi="Times New Roman"/>
                <w:b w:val="0"/>
                <w:sz w:val="20"/>
              </w:rPr>
              <w:t>3. Thiết kế (Design)</w:t>
            </w:r>
          </w:p>
        </w:tc>
        <w:tc>
          <w:tcPr>
            <w:tcW w:type="dxa" w:w="4320"/>
            <w:vAlign w:val="center"/>
          </w:tcPr>
          <w:p>
            <w:r/>
            <w:r>
              <w:rPr>
                <w:rFonts w:ascii="Times New Roman" w:hAnsi="Times New Roman"/>
                <w:b w:val="0"/>
                <w:sz w:val="20"/>
              </w:rPr>
              <w:t>Thiết kế CSDL giao dịch, API, luồng TPS→MIS, giao diện báo cáo và thuật toán đối soát.</w:t>
            </w:r>
          </w:p>
        </w:tc>
        <w:tc>
          <w:tcPr>
            <w:tcW w:type="dxa" w:w="3600"/>
            <w:vAlign w:val="center"/>
          </w:tcPr>
          <w:p>
            <w:r/>
            <w:r>
              <w:rPr>
                <w:rFonts w:ascii="Times New Roman" w:hAnsi="Times New Roman"/>
                <w:b w:val="0"/>
                <w:sz w:val="20"/>
              </w:rPr>
              <w:t>System Design; ERD/Class Diagram; API Spec; Wireframe; thiết kế luồng dữ liệu.</w:t>
            </w:r>
          </w:p>
        </w:tc>
      </w:tr>
      <w:tr>
        <w:tc>
          <w:tcPr>
            <w:tcW w:type="dxa" w:w="2160"/>
            <w:vAlign w:val="center"/>
          </w:tcPr>
          <w:p>
            <w:r/>
            <w:r>
              <w:rPr>
                <w:rFonts w:ascii="Times New Roman" w:hAnsi="Times New Roman"/>
                <w:b w:val="0"/>
                <w:sz w:val="20"/>
              </w:rPr>
              <w:t>4. Lập trình (Development)</w:t>
            </w:r>
          </w:p>
        </w:tc>
        <w:tc>
          <w:tcPr>
            <w:tcW w:type="dxa" w:w="4320"/>
            <w:vAlign w:val="center"/>
          </w:tcPr>
          <w:p>
            <w:r/>
            <w:r>
              <w:rPr>
                <w:rFonts w:ascii="Times New Roman" w:hAnsi="Times New Roman"/>
                <w:b w:val="0"/>
                <w:sz w:val="20"/>
              </w:rPr>
              <w:t>Xây dựng chức năng ghi nhận giao dịch, lọc trạng thái, tính thù lao và báo cáo MIS.</w:t>
            </w:r>
          </w:p>
        </w:tc>
        <w:tc>
          <w:tcPr>
            <w:tcW w:type="dxa" w:w="3600"/>
            <w:vAlign w:val="center"/>
          </w:tcPr>
          <w:p>
            <w:r/>
            <w:r>
              <w:rPr>
                <w:rFonts w:ascii="Times New Roman" w:hAnsi="Times New Roman"/>
                <w:b w:val="0"/>
                <w:sz w:val="20"/>
              </w:rPr>
              <w:t>Source code; database scripts; API; bản build nội bộ.</w:t>
            </w:r>
          </w:p>
        </w:tc>
      </w:tr>
      <w:tr>
        <w:tc>
          <w:tcPr>
            <w:tcW w:type="dxa" w:w="2160"/>
            <w:vAlign w:val="center"/>
          </w:tcPr>
          <w:p>
            <w:r/>
            <w:r>
              <w:rPr>
                <w:rFonts w:ascii="Times New Roman" w:hAnsi="Times New Roman"/>
                <w:b w:val="0"/>
                <w:sz w:val="20"/>
              </w:rPr>
              <w:t>5. Kiểm thử (Testing)</w:t>
            </w:r>
          </w:p>
        </w:tc>
        <w:tc>
          <w:tcPr>
            <w:tcW w:type="dxa" w:w="4320"/>
            <w:vAlign w:val="center"/>
          </w:tcPr>
          <w:p>
            <w:r/>
            <w:r>
              <w:rPr>
                <w:rFonts w:ascii="Times New Roman" w:hAnsi="Times New Roman"/>
                <w:b w:val="0"/>
                <w:sz w:val="20"/>
              </w:rPr>
              <w:t>Test quy tắc 20.000đ; ngưỡng 50/51; DISPUTED; dữ liệu rỗng; nhiều tài xế; hồi quy.</w:t>
            </w:r>
          </w:p>
        </w:tc>
        <w:tc>
          <w:tcPr>
            <w:tcW w:type="dxa" w:w="3600"/>
            <w:vAlign w:val="center"/>
          </w:tcPr>
          <w:p>
            <w:r/>
            <w:r>
              <w:rPr>
                <w:rFonts w:ascii="Times New Roman" w:hAnsi="Times New Roman"/>
                <w:b w:val="0"/>
                <w:sz w:val="20"/>
              </w:rPr>
              <w:t>Test Plan; Test Cases; Bug Report; Test Summary/UAT result.</w:t>
            </w:r>
          </w:p>
        </w:tc>
      </w:tr>
      <w:tr>
        <w:tc>
          <w:tcPr>
            <w:tcW w:type="dxa" w:w="2160"/>
            <w:vAlign w:val="center"/>
          </w:tcPr>
          <w:p>
            <w:r/>
            <w:r>
              <w:rPr>
                <w:rFonts w:ascii="Times New Roman" w:hAnsi="Times New Roman"/>
                <w:b w:val="0"/>
                <w:sz w:val="20"/>
              </w:rPr>
              <w:t>6. Triển khai (Deployment)</w:t>
            </w:r>
          </w:p>
        </w:tc>
        <w:tc>
          <w:tcPr>
            <w:tcW w:type="dxa" w:w="4320"/>
            <w:vAlign w:val="center"/>
          </w:tcPr>
          <w:p>
            <w:r/>
            <w:r>
              <w:rPr>
                <w:rFonts w:ascii="Times New Roman" w:hAnsi="Times New Roman"/>
                <w:b w:val="0"/>
                <w:sz w:val="20"/>
              </w:rPr>
              <w:t>Đưa hệ thống lên môi trường thật; migrate dữ liệu; đào tạo kế toán/tổng đài; giám sát sau phát hành.</w:t>
            </w:r>
          </w:p>
        </w:tc>
        <w:tc>
          <w:tcPr>
            <w:tcW w:type="dxa" w:w="3600"/>
            <w:vAlign w:val="center"/>
          </w:tcPr>
          <w:p>
            <w:r/>
            <w:r>
              <w:rPr>
                <w:rFonts w:ascii="Times New Roman" w:hAnsi="Times New Roman"/>
                <w:b w:val="0"/>
                <w:sz w:val="20"/>
              </w:rPr>
              <w:t>Release package; Deployment Guide; User Guide; biên bản nghiệm thu.</w:t>
            </w:r>
          </w:p>
        </w:tc>
      </w:tr>
      <w:tr>
        <w:tc>
          <w:tcPr>
            <w:tcW w:type="dxa" w:w="2160"/>
            <w:vAlign w:val="center"/>
          </w:tcPr>
          <w:p>
            <w:r/>
            <w:r>
              <w:rPr>
                <w:rFonts w:ascii="Times New Roman" w:hAnsi="Times New Roman"/>
                <w:b w:val="0"/>
                <w:sz w:val="20"/>
              </w:rPr>
              <w:t>7. Bảo trì (Maintenance)</w:t>
            </w:r>
          </w:p>
        </w:tc>
        <w:tc>
          <w:tcPr>
            <w:tcW w:type="dxa" w:w="4320"/>
            <w:vAlign w:val="center"/>
          </w:tcPr>
          <w:p>
            <w:r/>
            <w:r>
              <w:rPr>
                <w:rFonts w:ascii="Times New Roman" w:hAnsi="Times New Roman"/>
                <w:b w:val="0"/>
                <w:sz w:val="20"/>
              </w:rPr>
              <w:t>Sửa lỗi; theo dõi đối soát; cập nhật chính sách thưởng; tối ưu hiệu năng; sao lưu và hỗ trợ.</w:t>
            </w:r>
          </w:p>
        </w:tc>
        <w:tc>
          <w:tcPr>
            <w:tcW w:type="dxa" w:w="3600"/>
            <w:vAlign w:val="center"/>
          </w:tcPr>
          <w:p>
            <w:r/>
            <w:r>
              <w:rPr>
                <w:rFonts w:ascii="Times New Roman" w:hAnsi="Times New Roman"/>
                <w:b w:val="0"/>
                <w:sz w:val="20"/>
              </w:rPr>
              <w:t>Patch/Release notes; log vận hành; tài liệu thay đổi; báo cáo bảo trì.</w:t>
            </w:r>
          </w:p>
        </w:tc>
      </w:tr>
    </w:tbl>
    <w:p/>
    <w:p>
      <w:pPr>
        <w:pStyle w:val="Heading1"/>
      </w:pPr>
      <w:r>
        <w:t>3. Hậu quả của việc bỏ qua Analysis và Testing</w:t>
      </w:r>
    </w:p>
    <w:p>
      <w:pPr>
        <w:pStyle w:val="ListBullet"/>
      </w:pPr>
      <w:r>
        <w:t>Bỏ Analysis làm mất hoặc hiểu sai quy tắc nghiệp vụ, đặc biệt là trường hợp DISPUTED và ngưỡng thưởng &gt; 50 đơn.</w:t>
      </w:r>
    </w:p>
    <w:p>
      <w:pPr>
        <w:pStyle w:val="ListBullet"/>
      </w:pPr>
      <w:r>
        <w:t>Dev có thể lập trình theo giả định cá nhân, dẫn đến tính nhầm tiền tài xế, sai báo cáo MIS và phát sinh tranh chấp.</w:t>
      </w:r>
    </w:p>
    <w:p>
      <w:pPr>
        <w:pStyle w:val="ListBullet"/>
      </w:pPr>
      <w:r>
        <w:t>Bỏ Testing khiến lỗi tại mốc 50/51 đơn, đơn tranh chấp, dữ liệu rỗng hoặc trạng thái bất thường đi thẳng lên production.</w:t>
      </w:r>
    </w:p>
    <w:p>
      <w:pPr>
        <w:pStyle w:val="ListBullet"/>
      </w:pPr>
      <w:r>
        <w:t>Hậu quả kinh doanh gồm thất thoát chi phí, mất niềm tin của tài xế, tăng khiếu nại, tốn chi phí sửa lỗi và ảnh hưởng uy tín doanh nghiệp.</w:t>
      </w:r>
    </w:p>
    <w:p>
      <w:pPr>
        <w:pStyle w:val="Heading1"/>
      </w:pPr>
      <w:r>
        <w:t>4. Luồng chuyển đổi dữ liệu từ TPS sang MIS</w:t>
      </w:r>
    </w:p>
    <w:p>
      <w:pPr>
        <w:pStyle w:val="ListNumber"/>
      </w:pPr>
      <w:r>
        <w:t>TPS ghi nhận từng giao dịch của tài xế: mã đơn, mã tài xế, trạng thái giao hàng và thời điểm.</w:t>
      </w:r>
    </w:p>
    <w:p>
      <w:pPr>
        <w:pStyle w:val="ListNumber"/>
      </w:pPr>
      <w:r>
        <w:t>Hệ thống kiểm tra và chuẩn hóa trạng thái giao dịch.</w:t>
      </w:r>
    </w:p>
    <w:p>
      <w:pPr>
        <w:pStyle w:val="ListNumber"/>
      </w:pPr>
      <w:r>
        <w:t>Đơn DELIVERED được ghi nhận là đơn đủ điều kiện trả thù lao.</w:t>
      </w:r>
    </w:p>
    <w:p>
      <w:pPr>
        <w:pStyle w:val="ListNumber"/>
      </w:pPr>
      <w:r>
        <w:t>Đơn DISPUTED được tách sang danh sách tạm giữ, không cộng vào thù lao phải trả.</w:t>
      </w:r>
    </w:p>
    <w:p>
      <w:pPr>
        <w:pStyle w:val="ListNumber"/>
      </w:pPr>
      <w:r>
        <w:t>Hệ thống nhóm các giao dịch theo driver_id và theo tuần.</w:t>
      </w:r>
    </w:p>
    <w:p>
      <w:pPr>
        <w:pStyle w:val="ListNumber"/>
      </w:pPr>
      <w:r>
        <w:t>Tính thù lao cơ bản = số đơn DELIVERED × 20.000đ.</w:t>
      </w:r>
    </w:p>
    <w:p>
      <w:pPr>
        <w:pStyle w:val="ListNumber"/>
      </w:pPr>
      <w:r>
        <w:t>Nếu số đơn DELIVERED &gt; 50 thì cộng thưởng 10% trên thù lao cơ bản.</w:t>
      </w:r>
    </w:p>
    <w:p>
      <w:pPr>
        <w:pStyle w:val="ListNumber"/>
      </w:pPr>
      <w:r>
        <w:t>Tổng hợp số đơn thành công, số đơn tranh chấp, tiền tạm giữ, thưởng và tổng phải trả thành báo cáo MIS cho Kế toán.</w:t>
      </w:r>
    </w:p>
    <w:p>
      <w:pPr>
        <w:pStyle w:val="Heading1"/>
      </w:pPr>
      <w:r>
        <w:t>5. Mã nguồn Python calculate_driver_payout(transactions)</w:t>
      </w:r>
    </w:p>
    <w:p>
      <w:pPr>
        <w:pStyle w:val="CodeBlock"/>
        <w:shd w:fill="F2F2F2"/>
      </w:pPr>
      <w:r>
        <w:rPr>
          <w:rFonts w:ascii="Consolas" w:hAnsi="Consolas"/>
          <w:sz w:val="19"/>
        </w:rPr>
        <w:t>BASE_PAYOUT = 20_000</w:t>
        <w:br/>
        <w:t>BONUS_THRESHOLD = 50</w:t>
        <w:br/>
        <w:t>BONUS_RATE = 0.10</w:t>
        <w:br/>
        <w:br/>
        <w:br/>
        <w:t>def calculate_driver_payout(transactions):</w:t>
        <w:br/>
        <w:t xml:space="preserve">    reports = {}</w:t>
        <w:br/>
        <w:br/>
        <w:t xml:space="preserve">    for transaction in transactions:</w:t>
        <w:br/>
        <w:t xml:space="preserve">        driver_id = transaction.get("driver_id")</w:t>
        <w:br/>
        <w:t xml:space="preserve">        status = transaction.get("status", "").upper()</w:t>
        <w:br/>
        <w:br/>
        <w:t xml:space="preserve">        if not driver_id:</w:t>
        <w:br/>
        <w:t xml:space="preserve">            continue</w:t>
        <w:br/>
        <w:br/>
        <w:t xml:space="preserve">        if driver_id not in reports:</w:t>
        <w:br/>
        <w:t xml:space="preserve">            reports[driver_id] = {</w:t>
        <w:br/>
        <w:t xml:space="preserve">                "delivered_orders": 0,</w:t>
        <w:br/>
        <w:t xml:space="preserve">                "disputed_orders": 0,</w:t>
        <w:br/>
        <w:t xml:space="preserve">                "base_payout": 0,</w:t>
        <w:br/>
        <w:t xml:space="preserve">                "held_payout": 0,</w:t>
        <w:br/>
        <w:t xml:space="preserve">                "bonus": 0,</w:t>
        <w:br/>
        <w:t xml:space="preserve">                "total_payout": 0</w:t>
        <w:br/>
        <w:t xml:space="preserve">            }</w:t>
        <w:br/>
        <w:br/>
        <w:t xml:space="preserve">        if status == "DELIVERED":</w:t>
        <w:br/>
        <w:t xml:space="preserve">            reports[driver_id]["delivered_orders"] += 1</w:t>
        <w:br/>
        <w:t xml:space="preserve">        elif status == "DISPUTED":</w:t>
        <w:br/>
        <w:t xml:space="preserve">            reports[driver_id]["disputed_orders"] += 1</w:t>
        <w:br/>
        <w:t xml:space="preserve">            reports[driver_id]["held_payout"] += BASE_PAYOUT</w:t>
        <w:br/>
        <w:br/>
        <w:t xml:space="preserve">    for report in reports.values():</w:t>
        <w:br/>
        <w:t xml:space="preserve">        delivered = report["delivered_orders"]</w:t>
        <w:br/>
        <w:t xml:space="preserve">        base = delivered * BASE_PAYOUT</w:t>
        <w:br/>
        <w:t xml:space="preserve">        bonus = base * BONUS_RATE if delivered &gt; BONUS_THRESHOLD else 0</w:t>
        <w:br/>
        <w:br/>
        <w:t xml:space="preserve">        report["base_payout"] = base</w:t>
        <w:br/>
        <w:t xml:space="preserve">        report["bonus"] = int(bonus)</w:t>
        <w:br/>
        <w:t xml:space="preserve">        report["total_payout"] = base + int(bonus)</w:t>
        <w:br/>
        <w:br/>
        <w:t xml:space="preserve">    return reports</w:t>
        <w:br/>
        <w:br/>
        <w:br/>
        <w:t># Ví dụ kiểm thử</w:t>
        <w:br/>
        <w:t>transactions = [</w:t>
        <w:br/>
        <w:t xml:space="preserve">    {"order_id": "A01", "driver_id": "D01", "status": "DELIVERED"},</w:t>
        <w:br/>
        <w:t xml:space="preserve">    {"order_id": "A02", "driver_id": "D01", "status": "DISPUTED"},</w:t>
        <w:br/>
        <w:t xml:space="preserve">    {"order_id": "A03", "driver_id": "D01", "status": "DELIVERED"}</w:t>
        <w:br/>
        <w:t>]</w:t>
        <w:br/>
        <w:br/>
        <w:t>print(calculate_driver_payout(transactions))</w:t>
      </w:r>
    </w:p>
    <w:p>
      <w:pPr>
        <w:pStyle w:val="Heading1"/>
      </w:pPr>
      <w:r>
        <w:t>6. Kiểm thử các mốc quan trọng</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rFonts w:ascii="Times New Roman" w:hAnsi="Times New Roman"/>
                <w:b/>
                <w:sz w:val="21"/>
              </w:rPr>
              <w:t>Trường hợp</w:t>
            </w:r>
          </w:p>
        </w:tc>
        <w:tc>
          <w:tcPr>
            <w:tcW w:type="dxa" w:w="4032"/>
            <w:vAlign w:val="center"/>
            <w:shd w:fill="D9EAF7"/>
          </w:tcPr>
          <w:p>
            <w:r/>
            <w:r>
              <w:rPr>
                <w:rFonts w:ascii="Times New Roman" w:hAnsi="Times New Roman"/>
                <w:b/>
                <w:sz w:val="21"/>
              </w:rPr>
              <w:t>Kết quả</w:t>
            </w:r>
          </w:p>
        </w:tc>
        <w:tc>
          <w:tcPr>
            <w:tcW w:type="dxa" w:w="3456"/>
            <w:vAlign w:val="center"/>
            <w:shd w:fill="D9EAF7"/>
          </w:tcPr>
          <w:p>
            <w:r/>
            <w:r>
              <w:rPr>
                <w:rFonts w:ascii="Times New Roman" w:hAnsi="Times New Roman"/>
                <w:b/>
                <w:sz w:val="21"/>
              </w:rPr>
              <w:t>Ý nghĩa</w:t>
            </w:r>
          </w:p>
        </w:tc>
      </w:tr>
      <w:tr>
        <w:tc>
          <w:tcPr>
            <w:tcW w:type="dxa" w:w="2592"/>
            <w:vAlign w:val="center"/>
          </w:tcPr>
          <w:p>
            <w:r/>
            <w:r>
              <w:rPr>
                <w:rFonts w:ascii="Times New Roman" w:hAnsi="Times New Roman"/>
                <w:b w:val="0"/>
                <w:sz w:val="20"/>
              </w:rPr>
              <w:t>0 đơn DELIVERED</w:t>
            </w:r>
          </w:p>
        </w:tc>
        <w:tc>
          <w:tcPr>
            <w:tcW w:type="dxa" w:w="4032"/>
            <w:vAlign w:val="center"/>
          </w:tcPr>
          <w:p>
            <w:r/>
            <w:r>
              <w:rPr>
                <w:rFonts w:ascii="Times New Roman" w:hAnsi="Times New Roman"/>
                <w:b w:val="0"/>
                <w:sz w:val="20"/>
              </w:rPr>
              <w:t>0đ, không thưởng</w:t>
            </w:r>
          </w:p>
        </w:tc>
        <w:tc>
          <w:tcPr>
            <w:tcW w:type="dxa" w:w="3456"/>
            <w:vAlign w:val="center"/>
          </w:tcPr>
          <w:p>
            <w:r/>
            <w:r>
              <w:rPr>
                <w:rFonts w:ascii="Times New Roman" w:hAnsi="Times New Roman"/>
                <w:b w:val="0"/>
                <w:sz w:val="20"/>
              </w:rPr>
              <w:t>Tránh sai khi không có giao dịch hợp lệ</w:t>
            </w:r>
          </w:p>
        </w:tc>
      </w:tr>
      <w:tr>
        <w:tc>
          <w:tcPr>
            <w:tcW w:type="dxa" w:w="2592"/>
            <w:vAlign w:val="center"/>
          </w:tcPr>
          <w:p>
            <w:r/>
            <w:r>
              <w:rPr>
                <w:rFonts w:ascii="Times New Roman" w:hAnsi="Times New Roman"/>
                <w:b w:val="0"/>
                <w:sz w:val="20"/>
              </w:rPr>
              <w:t>50 đơn DELIVERED</w:t>
            </w:r>
          </w:p>
        </w:tc>
        <w:tc>
          <w:tcPr>
            <w:tcW w:type="dxa" w:w="4032"/>
            <w:vAlign w:val="center"/>
          </w:tcPr>
          <w:p>
            <w:r/>
            <w:r>
              <w:rPr>
                <w:rFonts w:ascii="Times New Roman" w:hAnsi="Times New Roman"/>
                <w:b w:val="0"/>
                <w:sz w:val="20"/>
              </w:rPr>
              <w:t>1.000.000đ, không thưởng</w:t>
            </w:r>
          </w:p>
        </w:tc>
        <w:tc>
          <w:tcPr>
            <w:tcW w:type="dxa" w:w="3456"/>
            <w:vAlign w:val="center"/>
          </w:tcPr>
          <w:p>
            <w:r/>
            <w:r>
              <w:rPr>
                <w:rFonts w:ascii="Times New Roman" w:hAnsi="Times New Roman"/>
                <w:b w:val="0"/>
                <w:sz w:val="20"/>
              </w:rPr>
              <w:t>Điều kiện là &gt; 50, không phải &gt;= 50</w:t>
            </w:r>
          </w:p>
        </w:tc>
      </w:tr>
      <w:tr>
        <w:tc>
          <w:tcPr>
            <w:tcW w:type="dxa" w:w="2592"/>
            <w:vAlign w:val="center"/>
          </w:tcPr>
          <w:p>
            <w:r/>
            <w:r>
              <w:rPr>
                <w:rFonts w:ascii="Times New Roman" w:hAnsi="Times New Roman"/>
                <w:b w:val="0"/>
                <w:sz w:val="20"/>
              </w:rPr>
              <w:t>51 đơn DELIVERED</w:t>
            </w:r>
          </w:p>
        </w:tc>
        <w:tc>
          <w:tcPr>
            <w:tcW w:type="dxa" w:w="4032"/>
            <w:vAlign w:val="center"/>
          </w:tcPr>
          <w:p>
            <w:r/>
            <w:r>
              <w:rPr>
                <w:rFonts w:ascii="Times New Roman" w:hAnsi="Times New Roman"/>
                <w:b w:val="0"/>
                <w:sz w:val="20"/>
              </w:rPr>
              <w:t>1.020.000đ + 102.000đ thưởng = 1.122.000đ</w:t>
            </w:r>
          </w:p>
        </w:tc>
        <w:tc>
          <w:tcPr>
            <w:tcW w:type="dxa" w:w="3456"/>
            <w:vAlign w:val="center"/>
          </w:tcPr>
          <w:p>
            <w:r/>
            <w:r>
              <w:rPr>
                <w:rFonts w:ascii="Times New Roman" w:hAnsi="Times New Roman"/>
                <w:b w:val="0"/>
                <w:sz w:val="20"/>
              </w:rPr>
              <w:t>Được cộng 10%</w:t>
            </w:r>
          </w:p>
        </w:tc>
      </w:tr>
      <w:tr>
        <w:tc>
          <w:tcPr>
            <w:tcW w:type="dxa" w:w="2592"/>
            <w:vAlign w:val="center"/>
          </w:tcPr>
          <w:p>
            <w:r/>
            <w:r>
              <w:rPr>
                <w:rFonts w:ascii="Times New Roman" w:hAnsi="Times New Roman"/>
                <w:b w:val="0"/>
                <w:sz w:val="20"/>
              </w:rPr>
              <w:t>Có đơn DISPUTED</w:t>
            </w:r>
          </w:p>
        </w:tc>
        <w:tc>
          <w:tcPr>
            <w:tcW w:type="dxa" w:w="4032"/>
            <w:vAlign w:val="center"/>
          </w:tcPr>
          <w:p>
            <w:r/>
            <w:r>
              <w:rPr>
                <w:rFonts w:ascii="Times New Roman" w:hAnsi="Times New Roman"/>
                <w:b w:val="0"/>
                <w:sz w:val="20"/>
              </w:rPr>
              <w:t>Không cộng vào số đơn trả tiền; tạm giữ 20.000đ/đơn</w:t>
            </w:r>
          </w:p>
        </w:tc>
        <w:tc>
          <w:tcPr>
            <w:tcW w:type="dxa" w:w="3456"/>
            <w:vAlign w:val="center"/>
          </w:tcPr>
          <w:p>
            <w:r/>
            <w:r>
              <w:rPr>
                <w:rFonts w:ascii="Times New Roman" w:hAnsi="Times New Roman"/>
                <w:b w:val="0"/>
                <w:sz w:val="20"/>
              </w:rPr>
              <w:t>Đúng Dispute Trap</w:t>
            </w:r>
          </w:p>
        </w:tc>
      </w:tr>
    </w:tbl>
    <w:p/>
    <w:p>
      <w:pPr>
        <w:pStyle w:val="Heading1"/>
      </w:pPr>
      <w:r>
        <w:t>7. Kết luận</w:t>
      </w:r>
    </w:p>
    <w:p>
      <w:r>
        <w:t>SDLC 7 giai đoạn giúp kiểm soát yêu cầu, thiết kế, chất lượng và vận hành có hệ thống. Với bài toán thù lao tài xế, Analysis và Testing là hai khâu bắt buộc để bảo vệ tính đúng đắn của quy tắc tiền lương, đặc biệt với tranh chấp và thưởng vượt mốc.</w:t>
      </w:r>
    </w:p>
    <w:sectPr w:rsidR="00FC693F" w:rsidRPr="0006063C" w:rsidSect="00034616">
      <w:footerReference w:type="default" r:id="rId9"/>
      <w:pgSz w:w="12240" w:h="15840"/>
      <w:pgMar w:top="1008"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