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[Vận dụng cơ bản] Chuẩn hóa Khảo sát &amp; Phân loại Yêu cầu: Phân hệ Kho Dược RikkeiCare</w:t>
      </w:r>
    </w:p>
    <w:p>
      <w:pPr>
        <w:pStyle w:val="Title"/>
      </w:pPr>
      <w:r>
        <w:t>CHUẨN HÓA KHẢO SÁT HIỆN TRẠNG &amp; ĐẶC TẢ YÊU CẦU HỆ THỐNG KHO DƯỢC RIKKEICARE</w:t>
      </w:r>
    </w:p>
    <w:p>
      <w:pPr>
        <w:pStyle w:val="Heading1"/>
      </w:pPr>
      <w:r>
        <w:t>1. Mục tiêu bài tập</w:t>
      </w:r>
    </w:p>
    <w:p>
      <w:pPr>
        <w:pStyle w:val="ListBullet"/>
        <w:spacing w:line="312" w:lineRule="auto"/>
        <w:ind w:left="340" w:hanging="170"/>
      </w:pPr>
      <w:r>
        <w:t>Rèn luyện kỹ năng phát hiện sai lệch nghiệp vụ trên tài liệu khảo sát hiện trường giả định (Sửa lỗi nghiệp vụ).</w:t>
      </w:r>
    </w:p>
    <w:p>
      <w:pPr>
        <w:pStyle w:val="ListBullet"/>
        <w:spacing w:line="312" w:lineRule="auto"/>
        <w:ind w:left="340" w:hanging="170"/>
      </w:pPr>
      <w:r>
        <w:t>Phân biệt chính xác ranh giới giữa Môi trường Nội bộ và Môi trường Bên ngoài chi phối hệ thống y tế.</w:t>
      </w:r>
    </w:p>
    <w:p>
      <w:pPr>
        <w:pStyle w:val="ListBullet"/>
        <w:spacing w:line="312" w:lineRule="auto"/>
        <w:ind w:left="340" w:hanging="170"/>
      </w:pPr>
      <w:r>
        <w:t>Phân định rạch ròi giữa Yêu cầu Chức năng (FR) và Yêu cầu Phi chức năng (NFR), làm tiền đề dữ liệu thuốc cho phân hệ EHR ở bài tiếp theo.</w:t>
      </w:r>
    </w:p>
    <w:p>
      <w:pPr>
        <w:pStyle w:val="Heading1"/>
      </w:pPr>
      <w:r>
        <w:t>2. Bối cảnh &amp; Yêu cầu bài toán</w:t>
      </w:r>
    </w:p>
    <w:p>
      <w:r>
        <w:t>Chuỗi bệnh viện và nhà thuốc RikkeiCare đang chuẩn bị số hóa phân hệ Quản lý Kho Dược nhằm chấm dứt tình trạng ghi chép sổ tay thủ công.</w:t>
      </w:r>
    </w:p>
    <w:p>
      <w:r>
        <w:t>Một chuyên viên phân tích tập sự vừa nộp bản “Bảng tổng hợp kết quả khảo sát hiện trường Kho Dược RikkeiCare”. Tuy nhiên, bản tài liệu này chứa 3 nhận định sai lầm nghiêm trọng:</w:t>
      </w:r>
    </w:p>
    <w:tbl>
      <w:tblPr>
        <w:tblW w:type="auto" w:w="0"/>
        <w:jc w:val="center"/>
        <w:tblLayout w:type="autofit"/>
        <w:tblLook w:firstColumn="1" w:firstRow="1" w:lastColumn="0" w:lastRow="0" w:noHBand="0" w:noVBand="1" w:val="04A0"/>
      </w:tblPr>
      <w:tblGrid>
        <w:gridCol w:w="9468"/>
      </w:tblGrid>
      <w:tr>
        <w:tc>
          <w:tcPr>
            <w:tcW w:type="dxa" w:w="9468"/>
            <w:shd w:fill="F2F2F2"/>
            <w:tcMar>
              <w:top w:w="140" w:type="dxa"/>
              <w:start w:w="160" w:type="dxa"/>
              <w:bottom w:w="140" w:type="dxa"/>
              <w:end w:w="160" w:type="dxa"/>
            </w:tcMar>
          </w:tcPr>
          <w:p>
            <w:r>
              <w:rPr>
                <w:b/>
              </w:rPr>
              <w:t>[HIỆN TRƯỜNG KHẢO SÁT GIẢ ĐỊNH - TÀI LIỆU CẦN PHẢN BIỆN &amp; SỬA LỖI]</w:t>
            </w:r>
          </w:p>
        </w:tc>
      </w:tr>
    </w:tbl>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shd w:fill="D9EAF7"/>
            <w:vAlign w:val="center"/>
            <w:tcMar>
              <w:top w:w="100" w:type="dxa"/>
              <w:start w:w="100" w:type="dxa"/>
              <w:bottom w:w="100" w:type="dxa"/>
              <w:end w:w="100" w:type="dxa"/>
            </w:tcMar>
          </w:tcPr>
          <w:p>
            <w:pPr>
              <w:jc w:val="center"/>
            </w:pPr>
            <w:r>
              <w:rPr>
                <w:b/>
              </w:rPr>
              <w:t>STT</w:t>
            </w:r>
          </w:p>
        </w:tc>
        <w:tc>
          <w:tcPr>
            <w:tcW w:type="dxa" w:w="2367"/>
            <w:shd w:fill="D9EAF7"/>
            <w:vAlign w:val="center"/>
            <w:tcMar>
              <w:top w:w="100" w:type="dxa"/>
              <w:start w:w="100" w:type="dxa"/>
              <w:bottom w:w="100" w:type="dxa"/>
              <w:end w:w="100" w:type="dxa"/>
            </w:tcMar>
          </w:tcPr>
          <w:p>
            <w:pPr>
              <w:jc w:val="center"/>
            </w:pPr>
            <w:r>
              <w:rPr>
                <w:b/>
              </w:rPr>
              <w:t>Hạng mục khảo sát</w:t>
            </w:r>
          </w:p>
        </w:tc>
        <w:tc>
          <w:tcPr>
            <w:tcW w:type="dxa" w:w="2367"/>
            <w:shd w:fill="D9EAF7"/>
            <w:vAlign w:val="center"/>
            <w:tcMar>
              <w:top w:w="100" w:type="dxa"/>
              <w:start w:w="100" w:type="dxa"/>
              <w:bottom w:w="100" w:type="dxa"/>
              <w:end w:w="100" w:type="dxa"/>
            </w:tcMar>
          </w:tcPr>
          <w:p>
            <w:pPr>
              <w:jc w:val="center"/>
            </w:pPr>
            <w:r>
              <w:rPr>
                <w:b/>
              </w:rPr>
              <w:t>Nội dung ghi nhận của Chuyên viên tập sự</w:t>
            </w:r>
          </w:p>
        </w:tc>
        <w:tc>
          <w:tcPr>
            <w:tcW w:type="dxa" w:w="2367"/>
            <w:shd w:fill="D9EAF7"/>
            <w:vAlign w:val="center"/>
            <w:tcMar>
              <w:top w:w="100" w:type="dxa"/>
              <w:start w:w="100" w:type="dxa"/>
              <w:bottom w:w="100" w:type="dxa"/>
              <w:end w:w="100" w:type="dxa"/>
            </w:tcMar>
          </w:tcPr>
          <w:p>
            <w:pPr>
              <w:jc w:val="center"/>
            </w:pPr>
            <w:r>
              <w:rPr>
                <w:b/>
              </w:rPr>
              <w:t>Đánh giá sơ bộ của Lead SA</w:t>
            </w:r>
          </w:p>
        </w:tc>
      </w:tr>
      <w:tr>
        <w:trPr>
          <w:cantSplit/>
        </w:trPr>
        <w:tc>
          <w:tcPr>
            <w:tcW w:type="dxa" w:w="2367"/>
            <w:vAlign w:val="top"/>
            <w:tcMar>
              <w:top w:w="100" w:type="dxa"/>
              <w:start w:w="100" w:type="dxa"/>
              <w:bottom w:w="100" w:type="dxa"/>
              <w:end w:w="100" w:type="dxa"/>
            </w:tcMar>
          </w:tcPr>
          <w:p>
            <w:pPr>
              <w:spacing w:line="276" w:lineRule="auto" w:after="40"/>
              <w:jc w:val="left"/>
            </w:pPr>
            <w:r>
              <w:t>1</w:t>
            </w:r>
          </w:p>
        </w:tc>
        <w:tc>
          <w:tcPr>
            <w:tcW w:type="dxa" w:w="2367"/>
            <w:vAlign w:val="top"/>
            <w:tcMar>
              <w:top w:w="100" w:type="dxa"/>
              <w:start w:w="100" w:type="dxa"/>
              <w:bottom w:w="100" w:type="dxa"/>
              <w:end w:w="100" w:type="dxa"/>
            </w:tcMar>
          </w:tcPr>
          <w:p>
            <w:pPr>
              <w:spacing w:line="276" w:lineRule="auto" w:after="40"/>
              <w:jc w:val="left"/>
            </w:pPr>
            <w:r>
              <w:t>Môi trường hệ thống</w:t>
            </w:r>
          </w:p>
        </w:tc>
        <w:tc>
          <w:tcPr>
            <w:tcW w:type="dxa" w:w="2367"/>
            <w:vAlign w:val="top"/>
            <w:tcMar>
              <w:top w:w="100" w:type="dxa"/>
              <w:start w:w="100" w:type="dxa"/>
              <w:bottom w:w="100" w:type="dxa"/>
              <w:end w:w="100" w:type="dxa"/>
            </w:tcMar>
          </w:tcPr>
          <w:p>
            <w:pPr>
              <w:spacing w:line="276" w:lineRule="auto" w:after="40"/>
              <w:jc w:val="left"/>
            </w:pPr>
            <w:r>
              <w:t>“Thông tư quản lý thuốc gây nghiện của Bộ Y tế là Môi trường Nội bộ của RikkeiCare.”</w:t>
            </w:r>
          </w:p>
        </w:tc>
        <w:tc>
          <w:tcPr>
            <w:tcW w:type="dxa" w:w="2367"/>
            <w:vAlign w:val="top"/>
            <w:tcMar>
              <w:top w:w="100" w:type="dxa"/>
              <w:start w:w="100" w:type="dxa"/>
              <w:bottom w:w="100" w:type="dxa"/>
              <w:end w:w="100" w:type="dxa"/>
            </w:tcMar>
          </w:tcPr>
          <w:p>
            <w:pPr>
              <w:spacing w:line="276" w:lineRule="auto" w:after="40"/>
              <w:jc w:val="left"/>
            </w:pPr>
            <w:r>
              <w:t>Sai bản chất môi trường quản lý</w:t>
            </w:r>
          </w:p>
        </w:tc>
      </w:tr>
      <w:tr>
        <w:trPr>
          <w:cantSplit/>
        </w:trPr>
        <w:tc>
          <w:tcPr>
            <w:tcW w:type="dxa" w:w="2367"/>
            <w:vAlign w:val="top"/>
            <w:tcMar>
              <w:top w:w="100" w:type="dxa"/>
              <w:start w:w="100" w:type="dxa"/>
              <w:bottom w:w="100" w:type="dxa"/>
              <w:end w:w="100" w:type="dxa"/>
            </w:tcMar>
          </w:tcPr>
          <w:p>
            <w:pPr>
              <w:spacing w:line="276" w:lineRule="auto" w:after="40"/>
              <w:jc w:val="left"/>
            </w:pPr>
            <w:r>
              <w:t>2</w:t>
            </w:r>
          </w:p>
        </w:tc>
        <w:tc>
          <w:tcPr>
            <w:tcW w:type="dxa" w:w="2367"/>
            <w:vAlign w:val="top"/>
            <w:tcMar>
              <w:top w:w="100" w:type="dxa"/>
              <w:start w:w="100" w:type="dxa"/>
              <w:bottom w:w="100" w:type="dxa"/>
              <w:end w:w="100" w:type="dxa"/>
            </w:tcMar>
          </w:tcPr>
          <w:p>
            <w:pPr>
              <w:spacing w:line="276" w:lineRule="auto" w:after="40"/>
              <w:jc w:val="left"/>
            </w:pPr>
            <w:r>
              <w:t>Khảo sát quy trình AS-IS</w:t>
            </w:r>
          </w:p>
        </w:tc>
        <w:tc>
          <w:tcPr>
            <w:tcW w:type="dxa" w:w="2367"/>
            <w:vAlign w:val="top"/>
            <w:tcMar>
              <w:top w:w="100" w:type="dxa"/>
              <w:start w:w="100" w:type="dxa"/>
              <w:bottom w:w="100" w:type="dxa"/>
              <w:end w:w="100" w:type="dxa"/>
            </w:tcMar>
          </w:tcPr>
          <w:p>
            <w:pPr>
              <w:spacing w:line="276" w:lineRule="auto" w:after="40"/>
              <w:jc w:val="left"/>
            </w:pPr>
            <w:r>
              <w:t>“Hiện tại kho dược vận hành hoàn hảo: Dược sĩ luôn nhớ chính xác hạn dùng của từng lô thuốc trong đầu nên không bao giờ có rủi ro xuất nhầm thuốc hết hạn.”</w:t>
            </w:r>
          </w:p>
        </w:tc>
        <w:tc>
          <w:tcPr>
            <w:tcW w:type="dxa" w:w="2367"/>
            <w:vAlign w:val="top"/>
            <w:tcMar>
              <w:top w:w="100" w:type="dxa"/>
              <w:start w:w="100" w:type="dxa"/>
              <w:bottom w:w="100" w:type="dxa"/>
              <w:end w:w="100" w:type="dxa"/>
            </w:tcMar>
          </w:tcPr>
          <w:p>
            <w:pPr>
              <w:spacing w:line="276" w:lineRule="auto" w:after="40"/>
              <w:jc w:val="left"/>
            </w:pPr>
            <w:r>
              <w:t>Bỏ qua hiện trường thực tế có bệnh nhân khiếu nại nhận thuốc quá hạn</w:t>
            </w:r>
          </w:p>
        </w:tc>
      </w:tr>
      <w:tr>
        <w:trPr>
          <w:cantSplit/>
        </w:trPr>
        <w:tc>
          <w:tcPr>
            <w:tcW w:type="dxa" w:w="2367"/>
            <w:vAlign w:val="top"/>
            <w:tcMar>
              <w:top w:w="100" w:type="dxa"/>
              <w:start w:w="100" w:type="dxa"/>
              <w:bottom w:w="100" w:type="dxa"/>
              <w:end w:w="100" w:type="dxa"/>
            </w:tcMar>
          </w:tcPr>
          <w:p>
            <w:pPr>
              <w:spacing w:line="276" w:lineRule="auto" w:after="40"/>
              <w:jc w:val="left"/>
            </w:pPr>
            <w:r>
              <w:t>3</w:t>
            </w:r>
          </w:p>
        </w:tc>
        <w:tc>
          <w:tcPr>
            <w:tcW w:type="dxa" w:w="2367"/>
            <w:vAlign w:val="top"/>
            <w:tcMar>
              <w:top w:w="100" w:type="dxa"/>
              <w:start w:w="100" w:type="dxa"/>
              <w:bottom w:w="100" w:type="dxa"/>
              <w:end w:w="100" w:type="dxa"/>
            </w:tcMar>
          </w:tcPr>
          <w:p>
            <w:pPr>
              <w:spacing w:line="276" w:lineRule="auto" w:after="40"/>
              <w:jc w:val="left"/>
            </w:pPr>
            <w:r>
              <w:t>Phân loại yêu cầu</w:t>
            </w:r>
          </w:p>
        </w:tc>
        <w:tc>
          <w:tcPr>
            <w:tcW w:type="dxa" w:w="2367"/>
            <w:vAlign w:val="top"/>
            <w:tcMar>
              <w:top w:w="100" w:type="dxa"/>
              <w:start w:w="100" w:type="dxa"/>
              <w:bottom w:w="100" w:type="dxa"/>
              <w:end w:w="100" w:type="dxa"/>
            </w:tcMar>
          </w:tcPr>
          <w:p>
            <w:pPr>
              <w:spacing w:line="276" w:lineRule="auto" w:after="40"/>
              <w:jc w:val="left"/>
            </w:pPr>
            <w:r>
              <w:t>“Hệ thống phải có chức năng tự động khóa các lô thuốc hết hạn sử dụng là Yêu cầu Phi chức năng.”</w:t>
            </w:r>
          </w:p>
        </w:tc>
        <w:tc>
          <w:tcPr>
            <w:tcW w:type="dxa" w:w="2367"/>
            <w:vAlign w:val="top"/>
            <w:tcMar>
              <w:top w:w="100" w:type="dxa"/>
              <w:start w:w="100" w:type="dxa"/>
              <w:bottom w:w="100" w:type="dxa"/>
              <w:end w:w="100" w:type="dxa"/>
            </w:tcMar>
          </w:tcPr>
          <w:p>
            <w:pPr>
              <w:spacing w:line="276" w:lineRule="auto" w:after="40"/>
              <w:jc w:val="left"/>
            </w:pPr>
            <w:r>
              <w:t>Lẫn lộn tính năng cốt lõi với ràng buộc kỹ thuật</w:t>
            </w:r>
          </w:p>
        </w:tc>
      </w:tr>
    </w:tbl>
    <w:p/>
    <w:p>
      <w:r>
        <w:t>Nếu chuyển giao tài liệu này cho đội ngũ thiết kế, hệ thống sẽ bị xây dựng sai quy chuẩn pháp lý và tiềm ẩn nguy cơ xuất thuốc quá hạn cho bệnh nhân.</w:t>
      </w:r>
    </w:p>
    <w:p>
      <w:pPr>
        <w:pStyle w:val="Heading1"/>
      </w:pPr>
      <w:r>
        <w:t>3. Quy tắc nghiệp vụ</w:t>
      </w:r>
    </w:p>
    <w:p>
      <w:pPr>
        <w:pStyle w:val="ListBullet"/>
        <w:spacing w:line="312" w:lineRule="auto"/>
        <w:ind w:left="340" w:hanging="170"/>
      </w:pPr>
      <w:r>
        <w:t>Ranh giới môi trường: Môi trường nội bộ bao gồm các yếu tố bên trong tổ chức có thể kiểm soát trực tiếp (nhân sự, quy trình làm việc, hạ tầng CNTT nội bộ). Môi trường bên ngoài là các yếu tố vĩ mô không thể kiểm soát trực tiếp (luật pháp, thông tư Bộ Y tế, nhà cung ứng dược phẩm).</w:t>
      </w:r>
    </w:p>
    <w:p>
      <w:pPr>
        <w:pStyle w:val="ListBullet"/>
        <w:spacing w:line="312" w:lineRule="auto"/>
        <w:ind w:left="340" w:hanging="170"/>
      </w:pPr>
      <w:r>
        <w:t>Quy tắc phân loại yêu cầu: Yêu cầu chức năng (FR) mô tả hành động, tính năng hệ thống bắt buộc phải thực hiện được (thường dùng động từ). Yêu cầu phi chức năng (NFR) mô tả đặc tính chất lượng, hiệu năng, bảo mật (thường dùng tính từ và chỉ số đo lường).</w:t>
      </w:r>
    </w:p>
    <w:p>
      <w:pPr>
        <w:pStyle w:val="Heading1"/>
      </w:pPr>
      <w:r>
        <w:t>4. Ràng buộc &amp; Bẫy dữ liệu (Edge Cases)</w:t>
      </w:r>
    </w:p>
    <w:tbl>
      <w:tblPr>
        <w:tblW w:type="auto" w:w="0"/>
        <w:jc w:val="center"/>
        <w:tblLayout w:type="autofit"/>
        <w:tblLook w:firstColumn="1" w:firstRow="1" w:lastColumn="0" w:lastRow="0" w:noHBand="0" w:noVBand="1" w:val="04A0"/>
      </w:tblPr>
      <w:tblGrid>
        <w:gridCol w:w="9468"/>
      </w:tblGrid>
      <w:tr>
        <w:tc>
          <w:tcPr>
            <w:tcW w:type="dxa" w:w="9468"/>
            <w:shd w:fill="F2F2F2"/>
            <w:tcMar>
              <w:top w:w="140" w:type="dxa"/>
              <w:start w:w="160" w:type="dxa"/>
              <w:bottom w:w="140" w:type="dxa"/>
              <w:end w:w="160" w:type="dxa"/>
            </w:tcMar>
          </w:tcPr>
          <w:p>
            <w:r>
              <w:rPr>
                <w:b/>
              </w:rPr>
              <w:t>[BẪY DỮ LIỆU DỊ BIỆT &amp; ĐIỀU KIỆN BIÊN CỐT LÕI - BẮT BUỘC XỬ LÝ]</w:t>
            </w:r>
          </w:p>
          <w:p>
            <w:pPr>
              <w:spacing w:after="60"/>
            </w:pPr>
            <w:r>
              <w:t>Bẫy thuốc kiểm soát đặc biệt (Restricted Medicine Trap): Nhóm thuốc hướng thần, gây nghiện (RESTRICTED) không được phép để 1 nhân viên tự xuất kho. Bắt buộc phải có cơ chế xác nhận kép (Dual-Authorization) từ Dược sĩ Trưởng khoa Dược.</w:t>
            </w:r>
          </w:p>
        </w:tc>
      </w:tr>
    </w:tbl>
    <w:p/>
    <w:p>
      <w:pPr>
        <w:pStyle w:val="Heading1"/>
      </w:pPr>
      <w:r>
        <w:t>5. Yêu cầu bài làm</w:t>
      </w:r>
    </w:p>
    <w:p>
      <w:pPr>
        <w:pStyle w:val="Heading2"/>
      </w:pPr>
      <w:r>
        <w:t>Phần 1 - Bóc tách lỗi sai nghiệp vụ (Sửa lỗi)</w:t>
      </w:r>
    </w:p>
    <w:p>
      <w:pPr>
        <w:pStyle w:val="ListBullet"/>
        <w:spacing w:line="312" w:lineRule="auto"/>
        <w:ind w:left="340" w:hanging="170"/>
      </w:pPr>
      <w:r>
        <w:t>Với mỗi nhận định trong bảng trên, viết 1 câu ngắn nêu nguyên nhân sai và 1 câu nêu hậu quả nghiệp vụ nếu không sửa.</w:t>
      </w:r>
    </w:p>
    <w:p>
      <w:pPr>
        <w:pStyle w:val="Heading2"/>
      </w:pPr>
      <w:r>
        <w:t>Phần 2 - Điền khuyết Bảng Phân loại Môi trường &amp; Yêu cầu</w:t>
      </w:r>
    </w:p>
    <w:p>
      <w:pPr>
        <w:pStyle w:val="ListBullet"/>
        <w:spacing w:line="312" w:lineRule="auto"/>
        <w:ind w:left="340" w:hanging="170"/>
      </w:pPr>
      <w:r>
        <w:t>Hoàn thiện dòng còn thiếu trong bảng phân loại môi trường sau (dòng điền phải có nhắc đến bẫy dữ liệu RESTRICTED ở Mục 4):</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shd w:fill="D9EAF7"/>
            <w:vAlign w:val="center"/>
            <w:tcMar>
              <w:top w:w="100" w:type="dxa"/>
              <w:start w:w="100" w:type="dxa"/>
              <w:bottom w:w="100" w:type="dxa"/>
              <w:end w:w="100" w:type="dxa"/>
            </w:tcMar>
          </w:tcPr>
          <w:p>
            <w:pPr>
              <w:jc w:val="center"/>
            </w:pPr>
            <w:r>
              <w:rPr>
                <w:b/>
              </w:rPr>
              <w:t>Yếu tố khảo sát tại Kho Dược</w:t>
            </w:r>
          </w:p>
        </w:tc>
        <w:tc>
          <w:tcPr>
            <w:tcW w:type="dxa" w:w="3156"/>
            <w:shd w:fill="D9EAF7"/>
            <w:vAlign w:val="center"/>
            <w:tcMar>
              <w:top w:w="100" w:type="dxa"/>
              <w:start w:w="100" w:type="dxa"/>
              <w:bottom w:w="100" w:type="dxa"/>
              <w:end w:w="100" w:type="dxa"/>
            </w:tcMar>
          </w:tcPr>
          <w:p>
            <w:pPr>
              <w:jc w:val="center"/>
            </w:pPr>
            <w:r>
              <w:rPr>
                <w:b/>
              </w:rPr>
              <w:t>Thuộc loại Môi trường</w:t>
            </w:r>
          </w:p>
        </w:tc>
        <w:tc>
          <w:tcPr>
            <w:tcW w:type="dxa" w:w="3156"/>
            <w:shd w:fill="D9EAF7"/>
            <w:vAlign w:val="center"/>
            <w:tcMar>
              <w:top w:w="100" w:type="dxa"/>
              <w:start w:w="100" w:type="dxa"/>
              <w:bottom w:w="100" w:type="dxa"/>
              <w:end w:w="100" w:type="dxa"/>
            </w:tcMar>
          </w:tcPr>
          <w:p>
            <w:pPr>
              <w:jc w:val="center"/>
            </w:pPr>
            <w:r>
              <w:rPr>
                <w:b/>
              </w:rPr>
              <w:t>Tác động trực tiếp đến phần mềm</w:t>
            </w:r>
          </w:p>
        </w:tc>
      </w:tr>
      <w:tr>
        <w:trPr>
          <w:cantSplit/>
        </w:trPr>
        <w:tc>
          <w:tcPr>
            <w:tcW w:type="dxa" w:w="3156"/>
            <w:vAlign w:val="top"/>
            <w:tcMar>
              <w:top w:w="100" w:type="dxa"/>
              <w:start w:w="100" w:type="dxa"/>
              <w:bottom w:w="100" w:type="dxa"/>
              <w:end w:w="100" w:type="dxa"/>
            </w:tcMar>
          </w:tcPr>
          <w:p>
            <w:pPr>
              <w:spacing w:line="276" w:lineRule="auto" w:after="40"/>
              <w:jc w:val="left"/>
            </w:pPr>
            <w:r>
              <w:t>Kỹ năng vi tính &amp; thói quen ghi sổ của Dược sĩ</w:t>
            </w:r>
          </w:p>
        </w:tc>
        <w:tc>
          <w:tcPr>
            <w:tcW w:type="dxa" w:w="3156"/>
            <w:vAlign w:val="top"/>
            <w:tcMar>
              <w:top w:w="100" w:type="dxa"/>
              <w:start w:w="100" w:type="dxa"/>
              <w:bottom w:w="100" w:type="dxa"/>
              <w:end w:w="100" w:type="dxa"/>
            </w:tcMar>
          </w:tcPr>
          <w:p>
            <w:pPr>
              <w:spacing w:line="276" w:lineRule="auto" w:after="40"/>
              <w:jc w:val="left"/>
            </w:pPr>
            <w:r>
              <w:t>Môi trường Nội bộ</w:t>
            </w:r>
          </w:p>
        </w:tc>
        <w:tc>
          <w:tcPr>
            <w:tcW w:type="dxa" w:w="3156"/>
            <w:vAlign w:val="top"/>
            <w:tcMar>
              <w:top w:w="100" w:type="dxa"/>
              <w:start w:w="100" w:type="dxa"/>
              <w:bottom w:w="100" w:type="dxa"/>
              <w:end w:w="100" w:type="dxa"/>
            </w:tcMar>
          </w:tcPr>
          <w:p>
            <w:pPr>
              <w:spacing w:line="276" w:lineRule="auto" w:after="40"/>
              <w:jc w:val="left"/>
            </w:pPr>
            <w:r>
              <w:t>Cần giao diện tối giản, hỗ trợ quét mã vạch</w:t>
            </w:r>
          </w:p>
        </w:tc>
      </w:tr>
      <w:tr>
        <w:trPr>
          <w:cantSplit/>
        </w:trPr>
        <w:tc>
          <w:tcPr>
            <w:tcW w:type="dxa" w:w="3156"/>
            <w:vAlign w:val="top"/>
            <w:tcMar>
              <w:top w:w="100" w:type="dxa"/>
              <w:start w:w="100" w:type="dxa"/>
              <w:bottom w:w="100" w:type="dxa"/>
              <w:end w:w="100" w:type="dxa"/>
            </w:tcMar>
          </w:tcPr>
          <w:p>
            <w:pPr>
              <w:spacing w:line="276" w:lineRule="auto" w:after="40"/>
              <w:jc w:val="left"/>
            </w:pPr>
            <w:r>
              <w:t>Thông tư &amp; Chế tài xử phạt của Bộ Y tế</w:t>
            </w:r>
          </w:p>
        </w:tc>
        <w:tc>
          <w:tcPr>
            <w:tcW w:type="dxa" w:w="3156"/>
            <w:vAlign w:val="top"/>
            <w:tcMar>
              <w:top w:w="100" w:type="dxa"/>
              <w:start w:w="100" w:type="dxa"/>
              <w:bottom w:w="100" w:type="dxa"/>
              <w:end w:w="100" w:type="dxa"/>
            </w:tcMar>
          </w:tcPr>
          <w:p>
            <w:pPr>
              <w:spacing w:line="276" w:lineRule="auto" w:after="40"/>
              <w:jc w:val="left"/>
            </w:pPr>
            <w:r>
              <w:t>Môi trường Bên ngoài</w:t>
            </w:r>
          </w:p>
        </w:tc>
        <w:tc>
          <w:tcPr>
            <w:tcW w:type="dxa" w:w="3156"/>
            <w:vAlign w:val="top"/>
            <w:tcMar>
              <w:top w:w="100" w:type="dxa"/>
              <w:start w:w="100" w:type="dxa"/>
              <w:bottom w:w="100" w:type="dxa"/>
              <w:end w:w="100" w:type="dxa"/>
            </w:tcMar>
          </w:tcPr>
          <w:p>
            <w:pPr>
              <w:spacing w:line="276" w:lineRule="auto" w:after="40"/>
              <w:jc w:val="left"/>
            </w:pPr>
            <w:r>
              <w:t>Bắt buộc khóa tự động thuốc hết hạn, lưu audit log</w:t>
            </w:r>
          </w:p>
        </w:tc>
      </w:tr>
      <w:tr>
        <w:trPr>
          <w:cantSplit/>
        </w:trPr>
        <w:tc>
          <w:tcPr>
            <w:tcW w:type="dxa" w:w="3156"/>
            <w:vAlign w:val="top"/>
            <w:tcMar>
              <w:top w:w="100" w:type="dxa"/>
              <w:start w:w="100" w:type="dxa"/>
              <w:bottom w:w="100" w:type="dxa"/>
              <w:end w:w="100" w:type="dxa"/>
            </w:tcMar>
          </w:tcPr>
          <w:p>
            <w:pPr>
              <w:spacing w:line="276" w:lineRule="auto" w:after="40"/>
              <w:jc w:val="left"/>
            </w:pPr>
            <w:r>
              <w:t>Hạ tầng máy chủ và mạng LAN nội bộ bệnh viện</w:t>
            </w:r>
          </w:p>
        </w:tc>
        <w:tc>
          <w:tcPr>
            <w:tcW w:type="dxa" w:w="3156"/>
            <w:vAlign w:val="top"/>
            <w:tcMar>
              <w:top w:w="100" w:type="dxa"/>
              <w:start w:w="100" w:type="dxa"/>
              <w:bottom w:w="100" w:type="dxa"/>
              <w:end w:w="100" w:type="dxa"/>
            </w:tcMar>
          </w:tcPr>
          <w:p>
            <w:pPr>
              <w:spacing w:line="276" w:lineRule="auto" w:after="40"/>
              <w:jc w:val="left"/>
            </w:pPr>
            <w:r>
              <w:t>(Học viên điền)</w:t>
            </w:r>
          </w:p>
        </w:tc>
        <w:tc>
          <w:tcPr>
            <w:tcW w:type="dxa" w:w="3156"/>
            <w:vAlign w:val="top"/>
            <w:tcMar>
              <w:top w:w="100" w:type="dxa"/>
              <w:start w:w="100" w:type="dxa"/>
              <w:bottom w:w="100" w:type="dxa"/>
              <w:end w:w="100" w:type="dxa"/>
            </w:tcMar>
          </w:tcPr>
          <w:p>
            <w:pPr>
              <w:spacing w:line="276" w:lineRule="auto" w:after="40"/>
              <w:jc w:val="left"/>
            </w:pPr>
            <w:r>
              <w:t>(Học viên điền)</w:t>
            </w:r>
          </w:p>
        </w:tc>
      </w:tr>
    </w:tbl>
    <w:p/>
    <w:p>
      <w:pPr>
        <w:pStyle w:val="ListBullet"/>
        <w:spacing w:line="312" w:lineRule="auto"/>
        <w:ind w:left="340" w:hanging="170"/>
      </w:pPr>
      <w:r>
        <w:t>Viết 1 Yêu cầu Chức năng (FR) và 1 Yêu cầu Phi chức năng (NFR) cho phân hệ Kho Dược.</w:t>
      </w:r>
    </w:p>
    <w:p>
      <w:pPr>
        <w:pStyle w:val="Heading1"/>
      </w:pPr>
      <w:r>
        <w:t>6. Kết quả mong đợi</w:t>
      </w:r>
    </w:p>
    <w:p>
      <w:pPr>
        <w:pStyle w:val="ListBullet"/>
        <w:spacing w:line="312" w:lineRule="auto"/>
        <w:ind w:left="340" w:hanging="170"/>
      </w:pPr>
      <w:r>
        <w:t>Bản bóc tách 3 lỗi sắc sảo, chỉ rõ tư duy đúng đắn của một nhà phân tích.</w:t>
      </w:r>
    </w:p>
    <w:p>
      <w:pPr>
        <w:pStyle w:val="ListBullet"/>
        <w:spacing w:line="312" w:lineRule="auto"/>
        <w:ind w:left="340" w:hanging="170"/>
      </w:pPr>
      <w:r>
        <w:t>1 dòng bảng phân loại môi trường hoàn thiện chính xác, có gắn với cơ chế xác nhận kép RESTRICTED.</w:t>
      </w:r>
    </w:p>
    <w:p>
      <w:pPr>
        <w:pStyle w:val="ListBullet"/>
        <w:spacing w:line="312" w:lineRule="auto"/>
        <w:ind w:left="340" w:hanging="170"/>
      </w:pPr>
      <w:r>
        <w:t>1 FR và 1 NFR viết đúng chuẩn phân loại.</w:t>
      </w:r>
    </w:p>
    <w:p>
      <w:pPr>
        <w:pStyle w:val="Heading1"/>
      </w:pPr>
      <w:r>
        <w:t>7. Quy định nộp bài</w:t>
      </w:r>
    </w:p>
    <w:p>
      <w:pPr>
        <w:pStyle w:val="ListBullet"/>
        <w:spacing w:line="312" w:lineRule="auto"/>
        <w:ind w:left="340" w:hanging="170"/>
      </w:pPr>
      <w:r>
        <w:t>Nộp file Báo cáo Hiệu chỉnh Yêu cầu Kho Dược (định dạng PDF/Word/Markdown).</w:t>
      </w:r>
    </w:p>
    <w:p>
      <w:pPr>
        <w:pStyle w:val="ListBullet"/>
        <w:spacing w:line="312" w:lineRule="auto"/>
        <w:ind w:left="340" w:hanging="170"/>
      </w:pPr>
      <w:r>
        <w:t>Dán link của repository lên phần nộp bài trên hệ thống.</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ss3_bt1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