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[Vận dụng cơ bản] Ma trận stakeholder &amp; giải quyết xung đột bảo mật hồ sơ EHR</w:t>
      </w:r>
    </w:p>
    <w:p>
      <w:pPr>
        <w:pStyle w:val="Title"/>
      </w:pPr>
      <w:r>
        <w:t>MA TRẬN STAKEHOLDER &amp; GIẢI QUYẾT XUNG ĐỘT BẢO MẬT HỒ SƠ EHR</w:t>
      </w:r>
    </w:p>
    <w:p>
      <w:pPr>
        <w:pStyle w:val="Heading1"/>
      </w:pPr>
      <w:r>
        <w:t>1. Mục tiêu bài tập</w:t>
      </w:r>
    </w:p>
    <w:p>
      <w:pPr>
        <w:pStyle w:val="ListBullet"/>
        <w:spacing w:line="312" w:lineRule="auto"/>
        <w:ind w:left="340" w:hanging="170"/>
      </w:pPr>
      <w:r>
        <w:t>Kế thừa cấu trúc dữ liệu thuốc và danh mục kho dược đã chuẩn hóa từ Bài 1 làm tiền đề phân tích phân hệ Hồ sơ sức khỏe điện tử (EHR - Electronic Health Record).</w:t>
      </w:r>
    </w:p>
    <w:p>
      <w:pPr>
        <w:pStyle w:val="ListBullet"/>
        <w:spacing w:line="312" w:lineRule="auto"/>
        <w:ind w:left="340" w:hanging="170"/>
      </w:pPr>
      <w:r>
        <w:t>Phân biệt bản chất giữa Bên liên quan (Stakeholder là Con người/Tổ chức) và Thực thể kỹ thuật (Hệ thống/Thiết bị).</w:t>
      </w:r>
    </w:p>
    <w:p>
      <w:pPr>
        <w:pStyle w:val="ListBullet"/>
        <w:spacing w:line="312" w:lineRule="auto"/>
        <w:ind w:left="340" w:hanging="170"/>
      </w:pPr>
      <w:r>
        <w:t>Thành thạo kỹ năng điền khuyết Ma trận Quyền lực - Mức độ quan tâm (Power-Interest Matrix) 4 ô.</w:t>
      </w:r>
    </w:p>
    <w:p>
      <w:pPr>
        <w:pStyle w:val="Heading1"/>
      </w:pPr>
      <w:r>
        <w:t>2. Bối cảnh &amp; Yêu cầu bài toán</w:t>
      </w:r>
    </w:p>
    <w:p>
      <w:pPr>
        <w:pStyle w:val="ListBullet"/>
        <w:spacing w:line="312" w:lineRule="auto"/>
        <w:ind w:left="340" w:hanging="170"/>
      </w:pPr>
      <w:r>
        <w:t>Dự án RikkeiCare EHR được khởi động nhằm hợp nhất toàn bộ dữ liệu lịch sử khám bệnh, kết quả xét nghiệm và lịch sử dùng thuốc của bệnh nhân trên nền tảng số.</w:t>
      </w:r>
    </w:p>
    <w:p>
      <w:pPr>
        <w:pStyle w:val="ListBullet"/>
        <w:spacing w:line="312" w:lineRule="auto"/>
        <w:ind w:left="340" w:hanging="170"/>
      </w:pPr>
      <w:r>
        <w:t>Bộ phận phân tích nhận được một bảng danh sách khảo sát bên liên quan do nhóm tiền nhiệm để lại, trong đó đang bị lẫn lộn giữa con người với thiết bị kỹ thuật.</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[HIỆN TRƯỜNG KHẢO SÁT GIẢ ĐỊNH - TÀI LIỆU CẦN PHÂN ĐỊNH LẠI]</w:t>
            </w:r>
          </w:p>
          <w:p>
            <w:pPr>
              <w:spacing w:after="60"/>
            </w:pPr>
            <w:r>
              <w:t>Danh sách đối tượng khảo sát được bàn giao gồm 5 mục:</w:t>
            </w:r>
          </w:p>
          <w:p>
            <w:pPr>
              <w:spacing w:after="60"/>
            </w:pPr>
            <w:r>
              <w:t>1. Bác sĩ điều trị trực tiếp</w:t>
            </w:r>
          </w:p>
          <w:p>
            <w:pPr>
              <w:spacing w:after="60"/>
            </w:pPr>
            <w:r>
              <w:t>2. Máy chủ cơ sở dữ liệu Oracle</w:t>
            </w:r>
          </w:p>
          <w:p>
            <w:pPr>
              <w:spacing w:after="60"/>
            </w:pPr>
            <w:r>
              <w:t>3. Ban Giám đốc Bệnh viện RikkeiCare</w:t>
            </w:r>
          </w:p>
          <w:p>
            <w:pPr>
              <w:spacing w:after="60"/>
            </w:pPr>
            <w:r>
              <w:t>4. Bệnh nhân và Thân nhân người bệnh</w:t>
            </w:r>
          </w:p>
          <w:p>
            <w:pPr>
              <w:spacing w:after="60"/>
            </w:pPr>
            <w:r>
              <w:t>5. Thanh tra Pháp chế &amp; Bảo mật Y tế (Bộ Y tế)</w:t>
            </w:r>
          </w:p>
          <w:p>
            <w:pPr>
              <w:spacing w:after="60"/>
            </w:pPr>
            <w:r>
              <w:t>Đề xuất quản lý bị sai lệch từ nhóm cũ: Nhóm cũ đề xuất xếp “Máy chủ cơ sở dữ liệu” vào ô Quản lý chặt chẽ (Manage Closely) vì máy chủ rất đắt tiền.</w:t>
            </w:r>
          </w:p>
        </w:tc>
      </w:tr>
    </w:tbl>
    <w:p/>
    <w:p>
      <w:r>
        <w:t>Đồng thời, dự án đang xảy ra xung đột gay gắt: Bác sĩ điều trị yêu cầu mở quyền xem toàn bộ lịch sử bệnh án ngay lập tức không cần xác thực; trong khi Cán bộ Pháp chế bắt buộc phải có sự đồng ý (Consent) bằng mã xác nhận của bệnh nhân mới được mở thông tin nhạy cảm.</w:t>
      </w:r>
    </w:p>
    <w:p>
      <w:pPr>
        <w:pStyle w:val="Heading1"/>
      </w:pPr>
      <w:r>
        <w:t>3. Quy tắc nghiệp vụ</w:t>
      </w:r>
    </w:p>
    <w:p>
      <w:pPr>
        <w:pStyle w:val="ListBullet"/>
        <w:spacing w:line="312" w:lineRule="auto"/>
        <w:ind w:left="340" w:hanging="170"/>
      </w:pPr>
      <w:r>
        <w:t>Bản chất Stakeholder: Stakeholder bắt buộc phải là cá nhân, nhóm người hoặc tổ chức có quyền lợi, vai trò hoặc chịu ảnh hưởng bởi hệ thống. Phần cứng, phần mềm, thiết bị mạng hoặc cơ sở dữ liệu KHÔNG PHẢI là Stakeholder.</w:t>
      </w:r>
    </w:p>
    <w:p>
      <w:pPr>
        <w:pStyle w:val="ListBullet"/>
        <w:spacing w:line="312" w:lineRule="auto"/>
        <w:ind w:left="340" w:hanging="170"/>
      </w:pPr>
      <w:r>
        <w:t>Bốn góc phần tư của Ma trận Quyền lực - Mức độ quan tâm: Quyền lực cao, Quan tâm cao → Quản lý chặt chẽ (Manage Closely); Quyền lực cao, Quan tâm thấp → Giữ hài lòng (Keep Satisfied); Quyền lực thấp, Quan tâm cao → Giữ thông tin thường xuyên (Keep Informed); Quyền lực thấp, Quan tâm thấp → Giám sát tối thiểu (Monitor).</w:t>
      </w:r>
    </w:p>
    <w:p>
      <w:pPr>
        <w:pStyle w:val="Heading1"/>
      </w:pPr>
      <w:r>
        <w:t>4. Ràng buộc &amp; Bẫy dữ liệu (Edge Cases)</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[BẪY DỮ LIỆU DỊ BIỆT &amp; ĐIỀU KIỆN BIÊN CỐT LÕI - BẮT BUỘC XỬ LÝ]</w:t>
            </w:r>
          </w:p>
          <w:p>
            <w:pPr>
              <w:spacing w:after="60"/>
            </w:pPr>
            <w:r>
              <w:t>Bẫy xung đột Tiện ích vs Bảo mật (Privacy vs Convenience Trap): Khi bệnh nhân cấp cứu trong tình trạng hôn mê bất tỉnh không thể cung cấp mã xác nhận, hệ thống phải có cơ chế cấp quyền khẩn cấp (Emergency Override) có ghi vết nhật ký kiểm toán, không được để bệnh nhân tử vong vì bị chặn quyền truy cập thông tin cấp cứu.</w:t>
            </w:r>
          </w:p>
        </w:tc>
      </w:tr>
    </w:tbl>
    <w:p/>
    <w:p>
      <w:pPr>
        <w:pStyle w:val="Heading1"/>
      </w:pPr>
      <w:r>
        <w:t>5. Yêu cầu bài làm</w:t>
      </w:r>
    </w:p>
    <w:p>
      <w:pPr>
        <w:pStyle w:val="Heading2"/>
      </w:pPr>
      <w:r>
        <w:t>Phần 1 - Thanh lọc danh sách &amp; Loại bỏ thực thể kỹ thuật</w:t>
      </w:r>
    </w:p>
    <w:p>
      <w:pPr>
        <w:pStyle w:val="ListBullet"/>
        <w:spacing w:line="312" w:lineRule="auto"/>
        <w:ind w:left="340" w:hanging="170"/>
      </w:pPr>
      <w:r>
        <w:t>Từ danh sách 5 đối tượng trên, chỉ rõ đối tượng nào là Stakeholder thực thụ (giữ lại), đối tượng nào là Thực thể kỹ thuật cần loại bỏ.</w:t>
      </w:r>
    </w:p>
    <w:p>
      <w:pPr>
        <w:pStyle w:val="Heading2"/>
      </w:pPr>
      <w:r>
        <w:t>Phần 2 - Điền khuyết Ma trận Stakeholder 4 ô</w:t>
      </w:r>
    </w:p>
    <w:p>
      <w:pPr>
        <w:pStyle w:val="ListBullet"/>
        <w:spacing w:line="312" w:lineRule="auto"/>
        <w:ind w:left="340" w:hanging="170"/>
      </w:pPr>
      <w:r>
        <w:t>Ma trận dưới đây đã điền sẵn 2 ô mẫu, hoàn thiện nốt 2 ô còn lại bằng đúng Stakeholder thực thụ còn dư và 1 câu hành động tương tác phù hợp:</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shd w:fill="D9EAF7"/>
            <w:vAlign w:val="center"/>
            <w:tcMar>
              <w:top w:w="100" w:type="dxa"/>
              <w:start w:w="100" w:type="dxa"/>
              <w:bottom w:w="100" w:type="dxa"/>
              <w:end w:w="100" w:type="dxa"/>
            </w:tcMar>
          </w:tcPr>
          <w:p>
            <w:pPr>
              <w:jc w:val="center"/>
            </w:pPr>
            <w:r>
              <w:rPr>
                <w:b/>
              </w:rPr>
              <w:t>Nhóm chiến lược</w:t>
            </w:r>
          </w:p>
        </w:tc>
        <w:tc>
          <w:tcPr>
            <w:tcW w:type="dxa" w:w="2367"/>
            <w:shd w:fill="D9EAF7"/>
            <w:vAlign w:val="center"/>
            <w:tcMar>
              <w:top w:w="100" w:type="dxa"/>
              <w:start w:w="100" w:type="dxa"/>
              <w:bottom w:w="100" w:type="dxa"/>
              <w:end w:w="100" w:type="dxa"/>
            </w:tcMar>
          </w:tcPr>
          <w:p>
            <w:pPr>
              <w:jc w:val="center"/>
            </w:pPr>
            <w:r>
              <w:rPr>
                <w:b/>
              </w:rPr>
              <w:t>Tiêu chí</w:t>
            </w:r>
          </w:p>
        </w:tc>
        <w:tc>
          <w:tcPr>
            <w:tcW w:type="dxa" w:w="2367"/>
            <w:shd w:fill="D9EAF7"/>
            <w:vAlign w:val="center"/>
            <w:tcMar>
              <w:top w:w="100" w:type="dxa"/>
              <w:start w:w="100" w:type="dxa"/>
              <w:bottom w:w="100" w:type="dxa"/>
              <w:end w:w="100" w:type="dxa"/>
            </w:tcMar>
          </w:tcPr>
          <w:p>
            <w:pPr>
              <w:jc w:val="center"/>
            </w:pPr>
            <w:r>
              <w:rPr>
                <w:b/>
              </w:rPr>
              <w:t>Stakeholder</w:t>
            </w:r>
          </w:p>
        </w:tc>
        <w:tc>
          <w:tcPr>
            <w:tcW w:type="dxa" w:w="2367"/>
            <w:shd w:fill="D9EAF7"/>
            <w:vAlign w:val="center"/>
            <w:tcMar>
              <w:top w:w="100" w:type="dxa"/>
              <w:start w:w="100" w:type="dxa"/>
              <w:bottom w:w="100" w:type="dxa"/>
              <w:end w:w="100" w:type="dxa"/>
            </w:tcMar>
          </w:tcPr>
          <w:p>
            <w:pPr>
              <w:jc w:val="center"/>
            </w:pPr>
            <w:r>
              <w:rPr>
                <w:b/>
              </w:rPr>
              <w:t>Hành động tương tác chủ chốt</w:t>
            </w:r>
          </w:p>
        </w:tc>
      </w:tr>
      <w:tr>
        <w:trPr>
          <w:cantSplit/>
        </w:trPr>
        <w:tc>
          <w:tcPr>
            <w:tcW w:type="dxa" w:w="2367"/>
            <w:vAlign w:val="top"/>
            <w:tcMar>
              <w:top w:w="100" w:type="dxa"/>
              <w:start w:w="100" w:type="dxa"/>
              <w:bottom w:w="100" w:type="dxa"/>
              <w:end w:w="100" w:type="dxa"/>
            </w:tcMar>
          </w:tcPr>
          <w:p>
            <w:pPr>
              <w:spacing w:line="276" w:lineRule="auto" w:after="40"/>
              <w:jc w:val="left"/>
            </w:pPr>
            <w:r>
              <w:t>Quản lý chặt chẽ (Manage Closely)</w:t>
            </w:r>
          </w:p>
        </w:tc>
        <w:tc>
          <w:tcPr>
            <w:tcW w:type="dxa" w:w="2367"/>
            <w:vAlign w:val="top"/>
            <w:tcMar>
              <w:top w:w="100" w:type="dxa"/>
              <w:start w:w="100" w:type="dxa"/>
              <w:bottom w:w="100" w:type="dxa"/>
              <w:end w:w="100" w:type="dxa"/>
            </w:tcMar>
          </w:tcPr>
          <w:p>
            <w:pPr>
              <w:spacing w:line="276" w:lineRule="auto" w:after="40"/>
              <w:jc w:val="left"/>
            </w:pPr>
            <w:r>
              <w:t>Quyền lực Cao - Quan tâm Cao</w:t>
            </w:r>
          </w:p>
        </w:tc>
        <w:tc>
          <w:tcPr>
            <w:tcW w:type="dxa" w:w="2367"/>
            <w:vAlign w:val="top"/>
            <w:tcMar>
              <w:top w:w="100" w:type="dxa"/>
              <w:start w:w="100" w:type="dxa"/>
              <w:bottom w:w="100" w:type="dxa"/>
              <w:end w:w="100" w:type="dxa"/>
            </w:tcMar>
          </w:tcPr>
          <w:p>
            <w:pPr>
              <w:spacing w:line="276" w:lineRule="auto" w:after="40"/>
              <w:jc w:val="left"/>
            </w:pPr>
            <w:r>
              <w:t>Ban Giám đốc Bệnh viện</w:t>
            </w:r>
          </w:p>
        </w:tc>
        <w:tc>
          <w:tcPr>
            <w:tcW w:type="dxa" w:w="2367"/>
            <w:vAlign w:val="top"/>
            <w:tcMar>
              <w:top w:w="100" w:type="dxa"/>
              <w:start w:w="100" w:type="dxa"/>
              <w:bottom w:w="100" w:type="dxa"/>
              <w:end w:w="100" w:type="dxa"/>
            </w:tcMar>
          </w:tcPr>
          <w:p>
            <w:pPr>
              <w:spacing w:line="276" w:lineRule="auto" w:after="40"/>
              <w:jc w:val="left"/>
            </w:pPr>
            <w:r>
              <w:t>Báo cáo tiến độ trực tiếp, tham gia mọi quyết định lớn</w:t>
            </w:r>
          </w:p>
        </w:tc>
      </w:tr>
      <w:tr>
        <w:trPr>
          <w:cantSplit/>
        </w:trPr>
        <w:tc>
          <w:tcPr>
            <w:tcW w:type="dxa" w:w="2367"/>
            <w:vAlign w:val="top"/>
            <w:tcMar>
              <w:top w:w="100" w:type="dxa"/>
              <w:start w:w="100" w:type="dxa"/>
              <w:bottom w:w="100" w:type="dxa"/>
              <w:end w:w="100" w:type="dxa"/>
            </w:tcMar>
          </w:tcPr>
          <w:p>
            <w:pPr>
              <w:spacing w:line="276" w:lineRule="auto" w:after="40"/>
              <w:jc w:val="left"/>
            </w:pPr>
            <w:r>
              <w:t>Giữ hài lòng (Keep Satisfied)</w:t>
            </w:r>
          </w:p>
        </w:tc>
        <w:tc>
          <w:tcPr>
            <w:tcW w:type="dxa" w:w="2367"/>
            <w:vAlign w:val="top"/>
            <w:tcMar>
              <w:top w:w="100" w:type="dxa"/>
              <w:start w:w="100" w:type="dxa"/>
              <w:bottom w:w="100" w:type="dxa"/>
              <w:end w:w="100" w:type="dxa"/>
            </w:tcMar>
          </w:tcPr>
          <w:p>
            <w:pPr>
              <w:spacing w:line="276" w:lineRule="auto" w:after="40"/>
              <w:jc w:val="left"/>
            </w:pPr>
            <w:r>
              <w:t>Quyền lực Cao - Quan tâm Thấp</w:t>
            </w:r>
          </w:p>
        </w:tc>
        <w:tc>
          <w:tcPr>
            <w:tcW w:type="dxa" w:w="2367"/>
            <w:vAlign w:val="top"/>
            <w:tcMar>
              <w:top w:w="100" w:type="dxa"/>
              <w:start w:w="100" w:type="dxa"/>
              <w:bottom w:w="100" w:type="dxa"/>
              <w:end w:w="100" w:type="dxa"/>
            </w:tcMar>
          </w:tcPr>
          <w:p>
            <w:pPr>
              <w:spacing w:line="276" w:lineRule="auto" w:after="40"/>
              <w:jc w:val="left"/>
            </w:pPr>
            <w:r>
              <w:t>(Học viên điền)</w:t>
            </w:r>
          </w:p>
        </w:tc>
        <w:tc>
          <w:tcPr>
            <w:tcW w:type="dxa" w:w="2367"/>
            <w:vAlign w:val="top"/>
            <w:tcMar>
              <w:top w:w="100" w:type="dxa"/>
              <w:start w:w="100" w:type="dxa"/>
              <w:bottom w:w="100" w:type="dxa"/>
              <w:end w:w="100" w:type="dxa"/>
            </w:tcMar>
          </w:tcPr>
          <w:p>
            <w:pPr>
              <w:spacing w:line="276" w:lineRule="auto" w:after="40"/>
              <w:jc w:val="left"/>
            </w:pPr>
            <w:r>
              <w:t>(Học viên điền)</w:t>
            </w:r>
          </w:p>
        </w:tc>
      </w:tr>
      <w:tr>
        <w:trPr>
          <w:cantSplit/>
        </w:trPr>
        <w:tc>
          <w:tcPr>
            <w:tcW w:type="dxa" w:w="2367"/>
            <w:vAlign w:val="top"/>
            <w:tcMar>
              <w:top w:w="100" w:type="dxa"/>
              <w:start w:w="100" w:type="dxa"/>
              <w:bottom w:w="100" w:type="dxa"/>
              <w:end w:w="100" w:type="dxa"/>
            </w:tcMar>
          </w:tcPr>
          <w:p>
            <w:pPr>
              <w:spacing w:line="276" w:lineRule="auto" w:after="40"/>
              <w:jc w:val="left"/>
            </w:pPr>
            <w:r>
              <w:t>Giữ thông tin (Keep Informed)</w:t>
            </w:r>
          </w:p>
        </w:tc>
        <w:tc>
          <w:tcPr>
            <w:tcW w:type="dxa" w:w="2367"/>
            <w:vAlign w:val="top"/>
            <w:tcMar>
              <w:top w:w="100" w:type="dxa"/>
              <w:start w:w="100" w:type="dxa"/>
              <w:bottom w:w="100" w:type="dxa"/>
              <w:end w:w="100" w:type="dxa"/>
            </w:tcMar>
          </w:tcPr>
          <w:p>
            <w:pPr>
              <w:spacing w:line="276" w:lineRule="auto" w:after="40"/>
              <w:jc w:val="left"/>
            </w:pPr>
            <w:r>
              <w:t>Quyền lực Thấp - Quan tâm Cao</w:t>
            </w:r>
          </w:p>
        </w:tc>
        <w:tc>
          <w:tcPr>
            <w:tcW w:type="dxa" w:w="2367"/>
            <w:vAlign w:val="top"/>
            <w:tcMar>
              <w:top w:w="100" w:type="dxa"/>
              <w:start w:w="100" w:type="dxa"/>
              <w:bottom w:w="100" w:type="dxa"/>
              <w:end w:w="100" w:type="dxa"/>
            </w:tcMar>
          </w:tcPr>
          <w:p>
            <w:pPr>
              <w:spacing w:line="276" w:lineRule="auto" w:after="40"/>
              <w:jc w:val="left"/>
            </w:pPr>
            <w:r>
              <w:t>(Học viên điền)</w:t>
            </w:r>
          </w:p>
        </w:tc>
        <w:tc>
          <w:tcPr>
            <w:tcW w:type="dxa" w:w="2367"/>
            <w:vAlign w:val="top"/>
            <w:tcMar>
              <w:top w:w="100" w:type="dxa"/>
              <w:start w:w="100" w:type="dxa"/>
              <w:bottom w:w="100" w:type="dxa"/>
              <w:end w:w="100" w:type="dxa"/>
            </w:tcMar>
          </w:tcPr>
          <w:p>
            <w:pPr>
              <w:spacing w:line="276" w:lineRule="auto" w:after="40"/>
              <w:jc w:val="left"/>
            </w:pPr>
            <w:r>
              <w:t>(Học viên điền)</w:t>
            </w:r>
          </w:p>
        </w:tc>
      </w:tr>
      <w:tr>
        <w:trPr>
          <w:cantSplit/>
        </w:trPr>
        <w:tc>
          <w:tcPr>
            <w:tcW w:type="dxa" w:w="2367"/>
            <w:vAlign w:val="top"/>
            <w:tcMar>
              <w:top w:w="100" w:type="dxa"/>
              <w:start w:w="100" w:type="dxa"/>
              <w:bottom w:w="100" w:type="dxa"/>
              <w:end w:w="100" w:type="dxa"/>
            </w:tcMar>
          </w:tcPr>
          <w:p>
            <w:pPr>
              <w:spacing w:line="276" w:lineRule="auto" w:after="40"/>
              <w:jc w:val="left"/>
            </w:pPr>
            <w:r>
              <w:t>Giám sát tối thiểu (Monitor)</w:t>
            </w:r>
          </w:p>
        </w:tc>
        <w:tc>
          <w:tcPr>
            <w:tcW w:type="dxa" w:w="2367"/>
            <w:vAlign w:val="top"/>
            <w:tcMar>
              <w:top w:w="100" w:type="dxa"/>
              <w:start w:w="100" w:type="dxa"/>
              <w:bottom w:w="100" w:type="dxa"/>
              <w:end w:w="100" w:type="dxa"/>
            </w:tcMar>
          </w:tcPr>
          <w:p>
            <w:pPr>
              <w:spacing w:line="276" w:lineRule="auto" w:after="40"/>
              <w:jc w:val="left"/>
            </w:pPr>
            <w:r>
              <w:t>Quyền lực Thấp - Quan tâm Thấp</w:t>
            </w:r>
          </w:p>
        </w:tc>
        <w:tc>
          <w:tcPr>
            <w:tcW w:type="dxa" w:w="2367"/>
            <w:vAlign w:val="top"/>
            <w:tcMar>
              <w:top w:w="100" w:type="dxa"/>
              <w:start w:w="100" w:type="dxa"/>
              <w:bottom w:w="100" w:type="dxa"/>
              <w:end w:w="100" w:type="dxa"/>
            </w:tcMar>
          </w:tcPr>
          <w:p>
            <w:pPr>
              <w:spacing w:line="276" w:lineRule="auto" w:after="40"/>
              <w:jc w:val="left"/>
            </w:pPr>
            <w:r>
              <w:t>Bệnh nhân và Thân nhân (nói chung, ở cấp độ quản trị dự án)</w:t>
            </w:r>
          </w:p>
        </w:tc>
        <w:tc>
          <w:tcPr>
            <w:tcW w:type="dxa" w:w="2367"/>
            <w:vAlign w:val="top"/>
            <w:tcMar>
              <w:top w:w="100" w:type="dxa"/>
              <w:start w:w="100" w:type="dxa"/>
              <w:bottom w:w="100" w:type="dxa"/>
              <w:end w:w="100" w:type="dxa"/>
            </w:tcMar>
          </w:tcPr>
          <w:p>
            <w:pPr>
              <w:spacing w:line="276" w:lineRule="auto" w:after="40"/>
              <w:jc w:val="left"/>
            </w:pPr>
            <w:r>
              <w:t>Thông báo định kỳ qua email/app, không cần họp riêng</w:t>
            </w:r>
          </w:p>
        </w:tc>
      </w:tr>
    </w:tbl>
    <w:p/>
    <w:p>
      <w:pPr>
        <w:pStyle w:val="ListBullet"/>
        <w:spacing w:line="312" w:lineRule="auto"/>
        <w:ind w:left="340" w:hanging="170"/>
      </w:pPr>
      <w:r>
        <w:t>Đề xuất 1 câu giải pháp dung hòa xung đột giữa Bác sĩ và Pháp chế, trong đó phải nêu rõ cơ chế Emergency Override khi bệnh nhân hôn mê không thể xác nhận.</w:t>
      </w:r>
    </w:p>
    <w:p>
      <w:pPr>
        <w:pStyle w:val="Heading1"/>
      </w:pPr>
      <w:r>
        <w:t>6. Kết quả mong đợi</w:t>
      </w:r>
    </w:p>
    <w:p>
      <w:pPr>
        <w:pStyle w:val="ListBullet"/>
        <w:spacing w:line="312" w:lineRule="auto"/>
        <w:ind w:left="340" w:hanging="170"/>
      </w:pPr>
      <w:r>
        <w:t>Danh sách Stakeholder được thanh lọc sạch sẽ, không còn lẫn lộn thiết bị máy móc.</w:t>
      </w:r>
    </w:p>
    <w:p>
      <w:pPr>
        <w:pStyle w:val="ListBullet"/>
        <w:spacing w:line="312" w:lineRule="auto"/>
        <w:ind w:left="340" w:hanging="170"/>
      </w:pPr>
      <w:r>
        <w:t>2 ô còn lại của Ma trận Stakeholder điền đúng, kèm hành động tương tác phù hợp.</w:t>
      </w:r>
    </w:p>
    <w:p>
      <w:pPr>
        <w:pStyle w:val="ListBullet"/>
        <w:spacing w:line="312" w:lineRule="auto"/>
        <w:ind w:left="340" w:hanging="170"/>
      </w:pPr>
      <w:r>
        <w:t>Giải pháp dung hòa ngắn gọn, có nhắc đến Emergency Override.</w:t>
      </w:r>
    </w:p>
    <w:p>
      <w:pPr>
        <w:pStyle w:val="Heading1"/>
      </w:pPr>
      <w:r>
        <w:t>7. Quy định nộp bài</w:t>
      </w:r>
    </w:p>
    <w:p>
      <w:pPr>
        <w:pStyle w:val="ListBullet"/>
        <w:spacing w:line="312" w:lineRule="auto"/>
        <w:ind w:left="340" w:hanging="170"/>
      </w:pPr>
      <w:r>
        <w:t>Nộp file Báo cáo Phân tích Stakeholder Hồ sơ EHR (định dạng PDF/Word/Markdown).</w:t>
      </w:r>
    </w:p>
    <w:p>
      <w:pPr>
        <w:pStyle w:val="ListBullet"/>
        <w:spacing w:line="312" w:lineRule="auto"/>
        <w:ind w:left="340" w:hanging="170"/>
      </w:pPr>
      <w:r>
        <w:t>Dán link của repository lên phần nộp bài trên hệ thống.</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ss3_bt2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