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[Vận dụng chuyên sâu] Lựa chọn chiến lược thu thập yêu cầu &amp; mô tả quy trình TO-BE cho Telemedicine</w:t>
      </w:r>
    </w:p>
    <w:p>
      <w:pPr>
        <w:pStyle w:val="Title"/>
      </w:pPr>
      <w:r>
        <w:t>LỰA CHỌN CHIẾN LƯỢC THU THẬP YÊU CẦU &amp; MÔ TẢ QUY TRÌNH TO-BE CHO TELEMEDICINE</w:t>
      </w:r>
    </w:p>
    <w:p>
      <w:pPr>
        <w:pStyle w:val="Heading1"/>
      </w:pPr>
      <w:r>
        <w:t>1. Mục tiêu bài tập</w:t>
      </w:r>
    </w:p>
    <w:p>
      <w:pPr>
        <w:pStyle w:val="ListBullet"/>
        <w:spacing w:line="312" w:lineRule="auto"/>
        <w:ind w:left="340" w:hanging="170"/>
      </w:pPr>
      <w:r>
        <w:t>Xây dựng quy trình phân hệ Khám &amp; Tư vấn từ xa (RikkeiCare Telemedicine).</w:t>
      </w:r>
    </w:p>
    <w:p>
      <w:pPr>
        <w:pStyle w:val="ListBullet"/>
        <w:spacing w:line="312" w:lineRule="auto"/>
        <w:ind w:left="340" w:hanging="170"/>
      </w:pPr>
      <w:r>
        <w:t>Biết lựa chọn và biện luận kỹ thuật thu thập yêu cầu phù hợp nhất với từng tình huống thực tế, thay vì áp dụng máy móc cả 4 kỹ thuật.</w:t>
      </w:r>
    </w:p>
    <w:p>
      <w:pPr>
        <w:pStyle w:val="ListBullet"/>
        <w:spacing w:line="312" w:lineRule="auto"/>
        <w:ind w:left="340" w:hanging="170"/>
      </w:pPr>
      <w:r>
        <w:t>Phân định FR/NFR cho một tình huống nghiệp vụ cụ thể.</w:t>
      </w:r>
    </w:p>
    <w:p>
      <w:pPr>
        <w:pStyle w:val="Heading1"/>
      </w:pPr>
      <w:r>
        <w:t>2. Bối cảnh &amp; Yêu cầu bài toán</w:t>
      </w:r>
    </w:p>
    <w:p>
      <w:r>
        <w:t>Hệ thống y tế RikkeiCare triển khai phân hệ Tư vấn &amp; Khám bệnh từ xa RikkeiCare Telemedicine.</w:t>
      </w:r>
    </w:p>
    <w:p>
      <w:r>
        <w:t>Khảo sát lý thuyết ban đầu: Báo cáo của phòng Kế hoạch ghi nhận mỗi ca tư vấn video chỉ mất 7 phút. Nhưng khi quan sát ngầm thực tế hiện trường, mỗi ca tư vấn lại kéo dài tới 22 phút do ứng dụng chập chờn, bác sĩ lúng túng khi tìm bệnh án cũ, và bệnh nhân lớn tuổi không biết bật micro.</w:t>
      </w:r>
    </w:p>
    <w:p>
      <w:r>
        <w:t>Học viên trong vai trò Chuyên viên Phân tích Hệ thống (SA) phải lựa chọn đúng kỹ thuật thu thập thông tin để làm rõ sự thật hiện trường này.</w:t>
      </w:r>
    </w:p>
    <w:p>
      <w:pPr>
        <w:pStyle w:val="Heading1"/>
      </w:pPr>
      <w:r>
        <w:t>3. Quy tắc nghiệp vụ</w:t>
      </w:r>
    </w:p>
    <w:p>
      <w:r>
        <w:t>4 kỹ thuật thu thập yêu cầu và đặc điểm sử dụng:</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shd w:fill="D9EAF7"/>
            <w:vAlign w:val="center"/>
            <w:tcMar>
              <w:top w:w="100" w:type="dxa"/>
              <w:start w:w="100" w:type="dxa"/>
              <w:bottom w:w="100" w:type="dxa"/>
              <w:end w:w="100" w:type="dxa"/>
            </w:tcMar>
          </w:tcPr>
          <w:p>
            <w:pPr>
              <w:jc w:val="center"/>
            </w:pPr>
            <w:r>
              <w:rPr>
                <w:b/>
              </w:rPr>
              <w:t>Kỹ thuật</w:t>
            </w:r>
          </w:p>
        </w:tc>
        <w:tc>
          <w:tcPr>
            <w:tcW w:type="dxa" w:w="3156"/>
            <w:shd w:fill="D9EAF7"/>
            <w:vAlign w:val="center"/>
            <w:tcMar>
              <w:top w:w="100" w:type="dxa"/>
              <w:start w:w="100" w:type="dxa"/>
              <w:bottom w:w="100" w:type="dxa"/>
              <w:end w:w="100" w:type="dxa"/>
            </w:tcMar>
          </w:tcPr>
          <w:p>
            <w:pPr>
              <w:jc w:val="center"/>
            </w:pPr>
            <w:r>
              <w:rPr>
                <w:b/>
              </w:rPr>
              <w:t>Mục tiêu chính</w:t>
            </w:r>
          </w:p>
        </w:tc>
        <w:tc>
          <w:tcPr>
            <w:tcW w:type="dxa" w:w="3156"/>
            <w:shd w:fill="D9EAF7"/>
            <w:vAlign w:val="center"/>
            <w:tcMar>
              <w:top w:w="100" w:type="dxa"/>
              <w:start w:w="100" w:type="dxa"/>
              <w:bottom w:w="100" w:type="dxa"/>
              <w:end w:w="100" w:type="dxa"/>
            </w:tcMar>
          </w:tcPr>
          <w:p>
            <w:pPr>
              <w:jc w:val="center"/>
            </w:pPr>
            <w:r>
              <w:rPr>
                <w:b/>
              </w:rPr>
              <w:t>Đối tượng phù hợp</w:t>
            </w:r>
          </w:p>
        </w:tc>
      </w:tr>
      <w:tr>
        <w:trPr>
          <w:cantSplit/>
        </w:trPr>
        <w:tc>
          <w:tcPr>
            <w:tcW w:type="dxa" w:w="3156"/>
            <w:vAlign w:val="top"/>
            <w:tcMar>
              <w:top w:w="100" w:type="dxa"/>
              <w:start w:w="100" w:type="dxa"/>
              <w:bottom w:w="100" w:type="dxa"/>
              <w:end w:w="100" w:type="dxa"/>
            </w:tcMar>
          </w:tcPr>
          <w:p>
            <w:pPr>
              <w:spacing w:line="276" w:lineRule="auto" w:after="40"/>
              <w:jc w:val="left"/>
            </w:pPr>
            <w:r>
              <w:t>Phân tích tài liệu</w:t>
            </w:r>
          </w:p>
        </w:tc>
        <w:tc>
          <w:tcPr>
            <w:tcW w:type="dxa" w:w="3156"/>
            <w:vAlign w:val="top"/>
            <w:tcMar>
              <w:top w:w="100" w:type="dxa"/>
              <w:start w:w="100" w:type="dxa"/>
              <w:bottom w:w="100" w:type="dxa"/>
              <w:end w:w="100" w:type="dxa"/>
            </w:tcMar>
          </w:tcPr>
          <w:p>
            <w:pPr>
              <w:spacing w:line="276" w:lineRule="auto" w:after="40"/>
              <w:jc w:val="left"/>
            </w:pPr>
            <w:r>
              <w:t>Nắm vững thuật ngữ y khoa &amp; khung pháp lý Telehealth</w:t>
            </w:r>
          </w:p>
        </w:tc>
        <w:tc>
          <w:tcPr>
            <w:tcW w:type="dxa" w:w="3156"/>
            <w:vAlign w:val="top"/>
            <w:tcMar>
              <w:top w:w="100" w:type="dxa"/>
              <w:start w:w="100" w:type="dxa"/>
              <w:bottom w:w="100" w:type="dxa"/>
              <w:end w:w="100" w:type="dxa"/>
            </w:tcMar>
          </w:tcPr>
          <w:p>
            <w:pPr>
              <w:spacing w:line="276" w:lineRule="auto" w:after="40"/>
              <w:jc w:val="left"/>
            </w:pPr>
            <w:r>
              <w:t>Quy chế bệnh viện, bệnh án mẫu</w:t>
            </w:r>
          </w:p>
        </w:tc>
      </w:tr>
      <w:tr>
        <w:trPr>
          <w:cantSplit/>
        </w:trPr>
        <w:tc>
          <w:tcPr>
            <w:tcW w:type="dxa" w:w="3156"/>
            <w:vAlign w:val="top"/>
            <w:tcMar>
              <w:top w:w="100" w:type="dxa"/>
              <w:start w:w="100" w:type="dxa"/>
              <w:bottom w:w="100" w:type="dxa"/>
              <w:end w:w="100" w:type="dxa"/>
            </w:tcMar>
          </w:tcPr>
          <w:p>
            <w:pPr>
              <w:spacing w:line="276" w:lineRule="auto" w:after="40"/>
              <w:jc w:val="left"/>
            </w:pPr>
            <w:r>
              <w:t>Quan sát hiện trường</w:t>
            </w:r>
          </w:p>
        </w:tc>
        <w:tc>
          <w:tcPr>
            <w:tcW w:type="dxa" w:w="3156"/>
            <w:vAlign w:val="top"/>
            <w:tcMar>
              <w:top w:w="100" w:type="dxa"/>
              <w:start w:w="100" w:type="dxa"/>
              <w:bottom w:w="100" w:type="dxa"/>
              <w:end w:w="100" w:type="dxa"/>
            </w:tcMar>
          </w:tcPr>
          <w:p>
            <w:pPr>
              <w:spacing w:line="276" w:lineRule="auto" w:after="40"/>
              <w:jc w:val="left"/>
            </w:pPr>
            <w:r>
              <w:t>Phát hiện thao tác ngầm &amp; thời gian trễ thực tế mà người dùng không tự kể ra</w:t>
            </w:r>
          </w:p>
        </w:tc>
        <w:tc>
          <w:tcPr>
            <w:tcW w:type="dxa" w:w="3156"/>
            <w:vAlign w:val="top"/>
            <w:tcMar>
              <w:top w:w="100" w:type="dxa"/>
              <w:start w:w="100" w:type="dxa"/>
              <w:bottom w:w="100" w:type="dxa"/>
              <w:end w:w="100" w:type="dxa"/>
            </w:tcMar>
          </w:tcPr>
          <w:p>
            <w:pPr>
              <w:spacing w:line="276" w:lineRule="auto" w:after="40"/>
              <w:jc w:val="left"/>
            </w:pPr>
            <w:r>
              <w:t>Bác sĩ, Điều dưỡng trực tiếp</w:t>
            </w:r>
          </w:p>
        </w:tc>
      </w:tr>
      <w:tr>
        <w:trPr>
          <w:cantSplit/>
        </w:trPr>
        <w:tc>
          <w:tcPr>
            <w:tcW w:type="dxa" w:w="3156"/>
            <w:vAlign w:val="top"/>
            <w:tcMar>
              <w:top w:w="100" w:type="dxa"/>
              <w:start w:w="100" w:type="dxa"/>
              <w:bottom w:w="100" w:type="dxa"/>
              <w:end w:w="100" w:type="dxa"/>
            </w:tcMar>
          </w:tcPr>
          <w:p>
            <w:pPr>
              <w:spacing w:line="276" w:lineRule="auto" w:after="40"/>
              <w:jc w:val="left"/>
            </w:pPr>
            <w:r>
              <w:t>Phỏng vấn sâu</w:t>
            </w:r>
          </w:p>
        </w:tc>
        <w:tc>
          <w:tcPr>
            <w:tcW w:type="dxa" w:w="3156"/>
            <w:vAlign w:val="top"/>
            <w:tcMar>
              <w:top w:w="100" w:type="dxa"/>
              <w:start w:w="100" w:type="dxa"/>
              <w:bottom w:w="100" w:type="dxa"/>
              <w:end w:w="100" w:type="dxa"/>
            </w:tcMar>
          </w:tcPr>
          <w:p>
            <w:pPr>
              <w:spacing w:line="276" w:lineRule="auto" w:after="40"/>
              <w:jc w:val="left"/>
            </w:pPr>
            <w:r>
              <w:t>Đào sâu nguyên nhân gốc rễ (Root cause) qua câu hỏi “Tại sao?”</w:t>
            </w:r>
          </w:p>
        </w:tc>
        <w:tc>
          <w:tcPr>
            <w:tcW w:type="dxa" w:w="3156"/>
            <w:vAlign w:val="top"/>
            <w:tcMar>
              <w:top w:w="100" w:type="dxa"/>
              <w:start w:w="100" w:type="dxa"/>
              <w:bottom w:w="100" w:type="dxa"/>
              <w:end w:w="100" w:type="dxa"/>
            </w:tcMar>
          </w:tcPr>
          <w:p>
            <w:pPr>
              <w:spacing w:line="276" w:lineRule="auto" w:after="40"/>
              <w:jc w:val="left"/>
            </w:pPr>
            <w:r>
              <w:t>Bác sĩ trưởng khoa, Điều dưỡng trưởng</w:t>
            </w:r>
          </w:p>
        </w:tc>
      </w:tr>
      <w:tr>
        <w:trPr>
          <w:cantSplit/>
        </w:trPr>
        <w:tc>
          <w:tcPr>
            <w:tcW w:type="dxa" w:w="3156"/>
            <w:vAlign w:val="top"/>
            <w:tcMar>
              <w:top w:w="100" w:type="dxa"/>
              <w:start w:w="100" w:type="dxa"/>
              <w:bottom w:w="100" w:type="dxa"/>
              <w:end w:w="100" w:type="dxa"/>
            </w:tcMar>
          </w:tcPr>
          <w:p>
            <w:pPr>
              <w:spacing w:line="276" w:lineRule="auto" w:after="40"/>
              <w:jc w:val="left"/>
            </w:pPr>
            <w:r>
              <w:t>Khảo sát diện rộng</w:t>
            </w:r>
          </w:p>
        </w:tc>
        <w:tc>
          <w:tcPr>
            <w:tcW w:type="dxa" w:w="3156"/>
            <w:vAlign w:val="top"/>
            <w:tcMar>
              <w:top w:w="100" w:type="dxa"/>
              <w:start w:w="100" w:type="dxa"/>
              <w:bottom w:w="100" w:type="dxa"/>
              <w:end w:w="100" w:type="dxa"/>
            </w:tcMar>
          </w:tcPr>
          <w:p>
            <w:pPr>
              <w:spacing w:line="276" w:lineRule="auto" w:after="40"/>
              <w:jc w:val="left"/>
            </w:pPr>
            <w:r>
              <w:t>Thu thập số liệu thống kê định lượng trên quy mô lớn</w:t>
            </w:r>
          </w:p>
        </w:tc>
        <w:tc>
          <w:tcPr>
            <w:tcW w:type="dxa" w:w="3156"/>
            <w:vAlign w:val="top"/>
            <w:tcMar>
              <w:top w:w="100" w:type="dxa"/>
              <w:start w:w="100" w:type="dxa"/>
              <w:bottom w:w="100" w:type="dxa"/>
              <w:end w:w="100" w:type="dxa"/>
            </w:tcMar>
          </w:tcPr>
          <w:p>
            <w:pPr>
              <w:spacing w:line="276" w:lineRule="auto" w:after="40"/>
              <w:jc w:val="left"/>
            </w:pPr>
            <w:r>
              <w:t>Số đông bác sĩ, bệnh nhân</w:t>
            </w:r>
          </w:p>
        </w:tc>
      </w:tr>
    </w:tbl>
    <w:p/>
    <w:p>
      <w:pPr>
        <w:pStyle w:val="Heading1"/>
      </w:pPr>
      <w:r>
        <w:t>4. Ràng buộc &amp; Bẫy dữ liệu (Edge Cases)</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[BẪY DỮ LIỆU DỊ BIỆT &amp; ĐIỀU KIỆN BIÊN CỐT LÕI - BẮT BUỘC XỬ LÝ]</w:t>
            </w:r>
          </w:p>
          <w:p>
            <w:pPr>
              <w:spacing w:after="60"/>
            </w:pPr>
            <w:r>
              <w:t>Bẫy sự cố đường truyền giữa ca khám: Khi mạng Internet bị ngắt giữa chừng trong lúc bác sĩ đang tư vấn, hệ thống phải tự động lưu tạm ghi chú đơn thuốc và cho phép khôi phục lại phiên làm việc ngay khi có kết nối.</w:t>
            </w:r>
          </w:p>
        </w:tc>
      </w:tr>
    </w:tbl>
    <w:p/>
    <w:p>
      <w:pPr>
        <w:pStyle w:val="Heading1"/>
      </w:pPr>
      <w:r>
        <w:t>5. Yêu cầu bài làm</w:t>
      </w:r>
    </w:p>
    <w:p>
      <w:pPr>
        <w:pStyle w:val="Heading2"/>
      </w:pPr>
      <w:r>
        <w:t>Phần 1 - Lựa chọn Kỹ thuật Thu thập Yêu cầu phù hợp nhất</w:t>
      </w:r>
    </w:p>
    <w:p>
      <w:pPr>
        <w:pStyle w:val="ListBullet"/>
        <w:spacing w:line="312" w:lineRule="auto"/>
        <w:ind w:left="340" w:hanging="170"/>
      </w:pPr>
      <w:r>
        <w:t>Trong 4 kỹ thuật ở bảng trên, chọn ra đúng 2 kỹ thuật phù hợp nhất để phát hiện ra khoảng chênh lệch 22 phút (thực tế) so với 7 phút (báo cáo lý thuyết) ở trên.</w:t>
      </w:r>
    </w:p>
    <w:p>
      <w:pPr>
        <w:pStyle w:val="ListBullet"/>
        <w:spacing w:line="312" w:lineRule="auto"/>
        <w:ind w:left="340" w:hanging="170"/>
      </w:pPr>
      <w:r>
        <w:t>Viết 2-3 câu giải thích tại sao 2 kỹ thuật đó phù hợp hơn 2 kỹ thuật còn lại trong đúng tình huống này.</w:t>
      </w:r>
    </w:p>
    <w:p>
      <w:pPr>
        <w:pStyle w:val="Heading2"/>
      </w:pPr>
      <w:r>
        <w:t>Phần 2 - Đặc tả Yêu cầu Hệ thống</w:t>
      </w:r>
    </w:p>
    <w:p>
      <w:pPr>
        <w:pStyle w:val="ListBullet"/>
        <w:spacing w:line="312" w:lineRule="auto"/>
        <w:ind w:left="340" w:hanging="170"/>
      </w:pPr>
      <w:r>
        <w:t>Viết 2 câu hỏi phỏng vấn sâu dạng “Tại sao?” dành cho Bác sĩ điều trị để tìm nguyên nhân gốc rễ gây chậm trễ ca khám.</w:t>
      </w:r>
    </w:p>
    <w:p>
      <w:pPr>
        <w:pStyle w:val="ListBullet"/>
        <w:spacing w:line="312" w:lineRule="auto"/>
        <w:ind w:left="340" w:hanging="170"/>
      </w:pPr>
      <w:r>
        <w:t>Viết 1 Yêu cầu Chức năng (FR) và 1 Yêu cầu Phi chức năng (NFR) để xử lý bẫy sự cố đường truyền ở Mục 4.</w:t>
      </w:r>
    </w:p>
    <w:p>
      <w:pPr>
        <w:pStyle w:val="Heading1"/>
      </w:pPr>
      <w:r>
        <w:t>6. Kết quả mong đợi</w:t>
      </w:r>
    </w:p>
    <w:p>
      <w:pPr>
        <w:pStyle w:val="ListBullet"/>
        <w:spacing w:line="312" w:lineRule="auto"/>
        <w:ind w:left="340" w:hanging="170"/>
      </w:pPr>
      <w:r>
        <w:t>Lựa chọn kỹ thuật đúng đắn kèm lập luận thuyết phục, thể hiện tư duy phân tích thay vì học vẹt.</w:t>
      </w:r>
    </w:p>
    <w:p>
      <w:pPr>
        <w:pStyle w:val="ListBullet"/>
        <w:spacing w:line="312" w:lineRule="auto"/>
        <w:ind w:left="340" w:hanging="170"/>
      </w:pPr>
      <w:r>
        <w:t>2 câu hỏi phỏng vấn sắc bén, đúng kỹ thuật đào sâu “Tại sao”.</w:t>
      </w:r>
    </w:p>
    <w:p>
      <w:pPr>
        <w:pStyle w:val="ListBullet"/>
        <w:spacing w:line="312" w:lineRule="auto"/>
        <w:ind w:left="340" w:hanging="170"/>
      </w:pPr>
      <w:r>
        <w:t>1 FR và 1 NFR bám sát bẫy sự cố đường truyền.</w:t>
      </w:r>
    </w:p>
    <w:p>
      <w:pPr>
        <w:pStyle w:val="Heading1"/>
      </w:pPr>
      <w:r>
        <w:t>7. Quy định nộp bài</w:t>
      </w:r>
    </w:p>
    <w:p>
      <w:pPr>
        <w:pStyle w:val="ListBullet"/>
        <w:spacing w:line="312" w:lineRule="auto"/>
        <w:ind w:left="340" w:hanging="170"/>
      </w:pPr>
      <w:r>
        <w:t>Nộp file Báo cáo Chiến lược Thu thập Yêu cầu (PDF/Word/Markdown).</w:t>
      </w:r>
    </w:p>
    <w:p>
      <w:pPr>
        <w:pStyle w:val="ListBullet"/>
        <w:spacing w:line="312" w:lineRule="auto"/>
        <w:ind w:left="340" w:hanging="170"/>
      </w:pPr>
      <w:r>
        <w:t>Dán link của repository lên phần nộp bài trên hệ thống.</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