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</w:t>
      </w: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 report analysis</w:t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4a853"/>
          <w:sz w:val="24"/>
          <w:szCs w:val="24"/>
          <w:rtl w:val="0"/>
        </w:rPr>
        <w:t xml:space="preserve">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 you continue through this course, you may use this template to record your findings after completing an activity or to take notes on what you've learned about a specific tool or concept.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You can also use this chart as a way to practice applying the NIST framework to different situations you encounter.</w:t>
      </w: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Summary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Identify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Protect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Detect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360" w:lineRule="auto"/>
              <w:ind w:left="0" w:firstLine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Respond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Recover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80"/>
        <w:tblGridChange w:id="0">
          <w:tblGrid>
            <w:gridCol w:w="100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Reflections/Notes: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1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2">
    <w:pPr>
      <w:rPr/>
    </w:pPr>
    <w:r w:rsidDel="00000000" w:rsidR="00000000" w:rsidRPr="00000000">
      <w:rPr/>
      <w:drawing>
        <wp:inline distB="114300" distT="114300" distL="114300" distR="114300">
          <wp:extent cx="1096601" cy="81438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26277" l="13942" r="18910" t="28613"/>
                  <a:stretch>
                    <a:fillRect/>
                  </a:stretch>
                </pic:blipFill>
                <pic:spPr>
                  <a:xfrm>
                    <a:off x="0" y="0"/>
                    <a:ext cx="1096601" cy="8143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