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98672B">
      <w:pPr>
        <w:pBdr>
          <w:bottom w:val="single" w:color="auto" w:sz="4" w:space="1"/>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THẬP, LÀM RÕ YÊU CẦU CỦA ỨNG DỤNG</w:t>
      </w:r>
    </w:p>
    <w:p w14:paraId="43BAC4EC">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Pr>
          <w:rFonts w:ascii="Times New Roman" w:hAnsi="Times New Roman" w:cs="Times New Roman"/>
          <w:color w:val="FF0000"/>
          <w:sz w:val="26"/>
          <w:szCs w:val="26"/>
        </w:rPr>
        <w:t xml:space="preserve">08 </w:t>
      </w:r>
      <w:r>
        <w:rPr>
          <w:rFonts w:ascii="Times New Roman" w:hAnsi="Times New Roman" w:cs="Times New Roman"/>
          <w:sz w:val="26"/>
          <w:szCs w:val="26"/>
        </w:rPr>
        <w:t xml:space="preserve">- Thành viên nhóm </w:t>
      </w:r>
    </w:p>
    <w:p w14:paraId="6F216594">
      <w:pPr>
        <w:pStyle w:val="13"/>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Nguyễn Quang Huy - 24634021 (Nhóm trưởng)</w:t>
      </w:r>
    </w:p>
    <w:p w14:paraId="6F297330">
      <w:pPr>
        <w:pStyle w:val="13"/>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Nguyễn Văn Trí – 24643551</w:t>
      </w:r>
    </w:p>
    <w:p w14:paraId="385C418D">
      <w:pPr>
        <w:pStyle w:val="13"/>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Đỗ Quốc Thịnh – 24641571 (Thư kí)</w:t>
      </w:r>
    </w:p>
    <w:p w14:paraId="797EF9C1">
      <w:pPr>
        <w:pStyle w:val="13"/>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Trần Phúc Khang – 24632571</w:t>
      </w:r>
    </w:p>
    <w:p w14:paraId="250937BD">
      <w:pPr>
        <w:pStyle w:val="13"/>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Nguyễn Hải Đăng - 24704331</w:t>
      </w:r>
    </w:p>
    <w:p w14:paraId="2434DD11">
      <w:pPr>
        <w:spacing w:after="120" w:line="240" w:lineRule="auto"/>
        <w:jc w:val="both"/>
        <w:rPr>
          <w:rFonts w:ascii="Times New Roman" w:hAnsi="Times New Roman" w:cs="Times New Roman"/>
          <w:b/>
          <w:color w:val="FF0000"/>
          <w:sz w:val="26"/>
          <w:szCs w:val="26"/>
        </w:rPr>
      </w:pPr>
      <w:r>
        <w:rPr>
          <w:rFonts w:ascii="Times New Roman" w:hAnsi="Times New Roman" w:cs="Times New Roman"/>
          <w:i/>
          <w:sz w:val="26"/>
          <w:szCs w:val="26"/>
        </w:rPr>
        <w:t>Tên ứng dụng:</w:t>
      </w:r>
      <w:r>
        <w:rPr>
          <w:rFonts w:ascii="Times New Roman" w:hAnsi="Times New Roman" w:cs="Times New Roman"/>
          <w:sz w:val="26"/>
          <w:szCs w:val="26"/>
        </w:rPr>
        <w:t xml:space="preserve"> </w:t>
      </w:r>
      <w:r>
        <w:rPr>
          <w:rFonts w:ascii="Times New Roman" w:hAnsi="Times New Roman" w:cs="Times New Roman"/>
          <w:b/>
          <w:color w:val="FF0000"/>
          <w:sz w:val="26"/>
          <w:szCs w:val="26"/>
        </w:rPr>
        <w:t>CHƯƠNG TRÌNH QUẢN LÝ NHA KHOA</w:t>
      </w:r>
    </w:p>
    <w:p w14:paraId="42340100">
      <w:pPr>
        <w:pBdr>
          <w:bottom w:val="single" w:color="auto" w:sz="4" w:space="1"/>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Thời gian thực hiện: Từ 03/08/2026 đến 26/10/2026 (15 tuần)</w:t>
      </w:r>
    </w:p>
    <w:p w14:paraId="60173EA1">
      <w:pPr>
        <w:pStyle w:val="13"/>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 yêu cầu:</w:t>
      </w:r>
    </w:p>
    <w:p w14:paraId="5DCD7A48">
      <w:pPr>
        <w:pStyle w:val="13"/>
        <w:numPr>
          <w:ilvl w:val="0"/>
          <w:numId w:val="3"/>
        </w:numPr>
        <w:spacing w:after="120" w:line="240" w:lineRule="auto"/>
        <w:jc w:val="both"/>
        <w:rPr>
          <w:rFonts w:ascii="Times New Roman" w:hAnsi="Times New Roman" w:cs="Times New Roman"/>
          <w:bCs/>
          <w:sz w:val="26"/>
          <w:szCs w:val="26"/>
        </w:rPr>
      </w:pPr>
      <w:r>
        <w:rPr>
          <w:rFonts w:ascii="Times New Roman" w:hAnsi="Times New Roman" w:cs="Times New Roman"/>
          <w:b/>
          <w:sz w:val="26"/>
          <w:szCs w:val="26"/>
        </w:rPr>
        <w:t>Khảo sát hiện trạng:</w:t>
      </w:r>
    </w:p>
    <w:p w14:paraId="558F5B4F">
      <w:pPr>
        <w:pStyle w:val="13"/>
        <w:numPr>
          <w:ilvl w:val="0"/>
          <w:numId w:val="3"/>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10FBAA59">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Tác nhân và trách nhiệm</w:t>
      </w:r>
    </w:p>
    <w:p w14:paraId="4B5F5A92">
      <w:pPr>
        <w:pStyle w:val="13"/>
        <w:numPr>
          <w:ilvl w:val="0"/>
          <w:numId w:val="0"/>
        </w:numPr>
        <w:spacing w:after="120" w:line="240" w:lineRule="auto"/>
        <w:ind w:left="360" w:leftChars="0" w:firstLine="716" w:firstLineChars="0"/>
        <w:jc w:val="both"/>
        <w:rPr>
          <w:rFonts w:hint="default" w:ascii="Times New Roman" w:hAnsi="Times New Roman" w:eastAsia="Calibri" w:cs="Times New Roman"/>
          <w:b w:val="0"/>
          <w:bCs w:val="0"/>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Lễ tân</w:t>
      </w:r>
      <w:r>
        <w:rPr>
          <w:rFonts w:hint="default" w:ascii="Times New Roman" w:hAnsi="Times New Roman" w:eastAsia="Calibri" w:cs="Times New Roman"/>
          <w:color w:val="000000" w:themeColor="text1"/>
          <w:sz w:val="24"/>
          <w:szCs w:val="24"/>
          <w:lang w:val="en-US"/>
          <w14:textFill>
            <w14:solidFill>
              <w14:schemeClr w14:val="tx1"/>
            </w14:solidFill>
          </w14:textFill>
        </w:rPr>
        <w:t>:</w:t>
      </w:r>
      <w:r>
        <w:rPr>
          <w:rFonts w:hint="default" w:ascii="Times New Roman" w:hAnsi="Times New Roman" w:eastAsia="Calibri" w:cs="Times New Roman"/>
          <w:b w:val="0"/>
          <w:bCs w:val="0"/>
          <w:color w:val="000000" w:themeColor="text1"/>
          <w:sz w:val="24"/>
          <w:szCs w:val="24"/>
          <w:lang w:val="en-US"/>
          <w14:textFill>
            <w14:solidFill>
              <w14:schemeClr w14:val="tx1"/>
            </w14:solidFill>
          </w14:textFill>
        </w:rPr>
        <w:t xml:space="preserve"> </w:t>
      </w:r>
      <w:r>
        <w:rPr>
          <w:rFonts w:hint="default" w:ascii="Times New Roman" w:hAnsi="Times New Roman" w:eastAsia="SimSun" w:cs="Times New Roman"/>
          <w:b w:val="0"/>
          <w:bCs w:val="0"/>
          <w:sz w:val="24"/>
          <w:szCs w:val="24"/>
        </w:rPr>
        <w:t>Tiếp nhận bệnh nhân, quản lý thông tin bệnh nhân, quản lý lịch hẹn, check-in và điều phối bệnh nhân, hỗ trợ thanh toán, nhắc lịch/tái khám và bảo mật thông tin bệnh nhân.</w:t>
      </w:r>
    </w:p>
    <w:p w14:paraId="4CC58BEB">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2</w:t>
      </w:r>
      <w:r>
        <w:rPr>
          <w:rFonts w:hint="default" w:ascii="Times New Roman" w:hAnsi="Times New Roman" w:cs="Times New Roman"/>
          <w:color w:val="000000" w:themeColor="text1"/>
          <w:sz w:val="24"/>
          <w:szCs w:val="24"/>
          <w14:textFill>
            <w14:solidFill>
              <w14:schemeClr w14:val="tx1"/>
            </w14:solidFill>
          </w14:textFill>
        </w:rPr>
        <w:t>. Quy trình xác định chi phí</w:t>
      </w:r>
    </w:p>
    <w:p w14:paraId="79A0DFAB">
      <w:pPr>
        <w:pStyle w:val="13"/>
        <w:numPr>
          <w:ilvl w:val="0"/>
          <w:numId w:val="0"/>
        </w:numPr>
        <w:spacing w:after="120" w:line="240" w:lineRule="auto"/>
        <w:ind w:left="360" w:leftChars="0" w:firstLine="716" w:firstLineChars="0"/>
        <w:jc w:val="both"/>
        <w:rPr>
          <w:rFonts w:hint="default" w:ascii="Times New Roman" w:hAnsi="Times New Roman" w:eastAsia="Calibri" w:cs="Times New Roman"/>
          <w:color w:val="5B9BD5" w:themeColor="accent1"/>
          <w:sz w:val="24"/>
          <w:szCs w:val="24"/>
          <w14:textFill>
            <w14:solidFill>
              <w14:schemeClr w14:val="accent1"/>
            </w14:solidFill>
          </w14:textFill>
        </w:rPr>
      </w:pPr>
      <w:r>
        <w:rPr>
          <w:rFonts w:hint="default" w:ascii="Times New Roman" w:hAnsi="Times New Roman" w:eastAsia="Calibri" w:cs="Times New Roman"/>
          <w:b/>
          <w:color w:val="000000" w:themeColor="text1"/>
          <w:sz w:val="24"/>
          <w:szCs w:val="24"/>
          <w14:textFill>
            <w14:solidFill>
              <w14:schemeClr w14:val="tx1"/>
            </w14:solidFill>
          </w14:textFill>
        </w:rPr>
        <w:t>Công thức:</w:t>
      </w:r>
      <w:r>
        <w:rPr>
          <w:rFonts w:hint="default" w:ascii="Times New Roman" w:hAnsi="Times New Roman" w:eastAsia="Calibri" w:cs="Times New Roman"/>
          <w:b/>
          <w:color w:val="5B9BD5" w:themeColor="accent1"/>
          <w:sz w:val="24"/>
          <w:szCs w:val="24"/>
          <w14:textFill>
            <w14:solidFill>
              <w14:schemeClr w14:val="accent1"/>
            </w14:solidFill>
          </w14:textFill>
        </w:rPr>
        <w:t xml:space="preserve"> </w:t>
      </w:r>
      <w:r>
        <w:rPr>
          <w:rFonts w:hint="default" w:ascii="Times New Roman" w:hAnsi="Times New Roman" w:eastAsia="Calibri" w:cs="Times New Roman"/>
          <w:color w:val="5B9BD5" w:themeColor="accent1"/>
          <w:sz w:val="24"/>
          <w:szCs w:val="24"/>
          <w14:textFill>
            <w14:solidFill>
              <w14:schemeClr w14:val="accent1"/>
            </w14:solidFill>
          </w14:textFill>
        </w:rPr>
        <w:t xml:space="preserve">Tổng phải thu = Tiền dịch vụ + Thuốc/vật tư tính riêng + Chi phí phát sinh + Thuế (nếu có) - Giảm giá - Bảo hiểm/hỗ trợ (nếu có). </w:t>
      </w:r>
    </w:p>
    <w:p w14:paraId="310D8B98">
      <w:pPr>
        <w:pStyle w:val="13"/>
        <w:numPr>
          <w:ilvl w:val="0"/>
          <w:numId w:val="0"/>
        </w:numPr>
        <w:spacing w:after="120" w:line="240" w:lineRule="auto"/>
        <w:ind w:left="1440" w:leftChars="0" w:firstLine="720" w:firstLineChars="0"/>
        <w:jc w:val="both"/>
        <w:rPr>
          <w:rFonts w:hint="default" w:ascii="Times New Roman" w:hAnsi="Times New Roman" w:eastAsia="Calibri" w:cs="Times New Roman"/>
          <w:color w:val="5B9BD5" w:themeColor="accent1"/>
          <w:sz w:val="24"/>
          <w:szCs w:val="24"/>
          <w14:textFill>
            <w14:solidFill>
              <w14:schemeClr w14:val="accent1"/>
            </w14:solidFill>
          </w14:textFill>
        </w:rPr>
      </w:pPr>
    </w:p>
    <w:p w14:paraId="005E48BF">
      <w:pPr>
        <w:pStyle w:val="13"/>
        <w:numPr>
          <w:ilvl w:val="0"/>
          <w:numId w:val="0"/>
        </w:numPr>
        <w:spacing w:after="120" w:line="240" w:lineRule="auto"/>
        <w:ind w:left="1440" w:leftChars="0" w:firstLine="720" w:firstLineChars="0"/>
        <w:jc w:val="both"/>
        <w:rPr>
          <w:rFonts w:hint="default" w:ascii="Times New Roman" w:hAnsi="Times New Roman" w:eastAsia="Calibri"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5B9BD5" w:themeColor="accent1"/>
          <w:sz w:val="24"/>
          <w:szCs w:val="24"/>
          <w14:textFill>
            <w14:solidFill>
              <w14:schemeClr w14:val="accent1"/>
            </w14:solidFill>
          </w14:textFill>
        </w:rPr>
        <w:t>Số còn lại = Tổng phải thu - Tiền cọc - Các lần thanh toán trước.</w:t>
      </w:r>
    </w:p>
    <w:p w14:paraId="7B296B03">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Mỗi dịch vụ được thể hiện thành một dòng riêng gồm dịch vụ, vị trí điều trị, số lượng, đơn giá, thành tiền, người chỉ định, người thực hiện và trạng thái.</w:t>
      </w:r>
    </w:p>
    <w:p w14:paraId="3E3017B3">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Thuốc, vật tư, ghép xương, mão sứ, Abutment hoặc khoản bổ sung phải ghi rõ đã nằm trong gói hay tính riêng để tránh thu trùng.</w:t>
      </w:r>
    </w:p>
    <w:p w14:paraId="528CA947">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Mỗi khoản giảm giá phải lưu loại giảm, giá trị, lý do, chương trình, thời hạn và người phê duyệt; giữ nguyên đơn giá gốc.</w:t>
      </w:r>
    </w:p>
    <w:p w14:paraId="5183C190">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Tiền cọc phải gắn với bệnh nhân và dịch vụ/liệu trình, có số tiền, ngày thu, phương thức, người thu và điều kiện hoàn/không hoàn.</w:t>
      </w:r>
    </w:p>
    <w:p w14:paraId="4787AE98">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3</w:t>
      </w:r>
      <w:r>
        <w:rPr>
          <w:rFonts w:hint="default" w:ascii="Times New Roman" w:hAnsi="Times New Roman" w:cs="Times New Roman"/>
          <w:color w:val="000000" w:themeColor="text1"/>
          <w:sz w:val="24"/>
          <w:szCs w:val="24"/>
          <w14:textFill>
            <w14:solidFill>
              <w14:schemeClr w14:val="tx1"/>
            </w14:solidFill>
          </w14:textFill>
        </w:rPr>
        <w:t>. Quy trình thanh toán của lễ tân/thu ngân</w:t>
      </w:r>
      <w:bookmarkStart w:id="0" w:name="_GoBack"/>
      <w:bookmarkEnd w:id="0"/>
    </w:p>
    <w:p w14:paraId="2BA783C1">
      <w:pPr>
        <w:pStyle w:val="4"/>
        <w:keepNext w:val="0"/>
        <w:keepLines w:val="0"/>
        <w:widowControl/>
        <w:suppressLineNumbers w:val="0"/>
        <w:ind w:firstLine="720" w:firstLineChars="0"/>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3.1. Quy trình nghiệp vụ thanh toán</w:t>
      </w:r>
    </w:p>
    <w:p w14:paraId="065CFEA2">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1: Tiếp nhận yêu cầu thanh toán</w:t>
      </w:r>
    </w:p>
    <w:p w14:paraId="3B6578FF">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Sau khi bác sĩ xác nhận các dịch vụ đã thực hiện, lễ tân/thu ngân mở hồ sơ thanh toán của bệnh nhân trên hệ thống. Hệ thống hiển thị thông tin bệnh nhân, lần khám hoặc liệu trình, các dịch vụ đã thực hiện, đơn giá, số lượng và các khoản liên quan.</w:t>
      </w:r>
    </w:p>
    <w:p w14:paraId="77DE6F84">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2: Kiểm tra các dịch vụ được tính tiền</w:t>
      </w:r>
    </w:p>
    <w:p w14:paraId="72572963">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 xml:space="preserve">Lễ tân/thu ngân đối chiếu danh sách dịch vụ với thông tin điều trị đã được bác sĩ xác nhận. Chỉ các dịch vụ có trạng thái </w:t>
      </w:r>
      <w:r>
        <w:rPr>
          <w:rStyle w:val="11"/>
          <w:rFonts w:hint="default" w:ascii="Times New Roman" w:hAnsi="Times New Roman" w:cs="Times New Roman"/>
        </w:rPr>
        <w:t>“Đã thực hiện”</w:t>
      </w:r>
      <w:r>
        <w:rPr>
          <w:rFonts w:hint="default" w:ascii="Times New Roman" w:hAnsi="Times New Roman" w:cs="Times New Roman"/>
        </w:rPr>
        <w:t xml:space="preserve"> hoặc </w:t>
      </w:r>
      <w:r>
        <w:rPr>
          <w:rStyle w:val="11"/>
          <w:rFonts w:hint="default" w:ascii="Times New Roman" w:hAnsi="Times New Roman" w:cs="Times New Roman"/>
        </w:rPr>
        <w:t>“Xác nhận phải thu”</w:t>
      </w:r>
      <w:r>
        <w:rPr>
          <w:rFonts w:hint="default" w:ascii="Times New Roman" w:hAnsi="Times New Roman" w:cs="Times New Roman"/>
        </w:rPr>
        <w:t xml:space="preserve"> mới được đưa vào thanh toán. Dịch vụ chưa thực hiện, đã hủy hoặc nhập nhầm không được tính vào tổng chi phí.</w:t>
      </w:r>
    </w:p>
    <w:p w14:paraId="15690880">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Nếu phát hiện sai lệch về dịch vụ, số lượng, vị trí điều trị hoặc vật liệu sử dụng, lễ tân không được tự ý sửa thông tin chuyên môn mà phải chuyển lại cho bác sĩ hoặc người có thẩm quyền xác nhận.</w:t>
      </w:r>
    </w:p>
    <w:p w14:paraId="5B6F11D0">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3: Xác định tổng số tiền phải thu</w:t>
      </w:r>
    </w:p>
    <w:p w14:paraId="475678D8">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Hệ thống tự động tổng hợp:</w:t>
      </w:r>
    </w:p>
    <w:p w14:paraId="59E55180">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Tiền dịch vụ đã thực hiện. </w:t>
      </w:r>
    </w:p>
    <w:p w14:paraId="08B8C06A">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Tiền thuốc, vật tư hoặc sản phẩm tính riêng. </w:t>
      </w:r>
    </w:p>
    <w:p w14:paraId="5930FF7D">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Chi phí phát sinh đã được xác nhận. </w:t>
      </w:r>
    </w:p>
    <w:p w14:paraId="7117FF13">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Thuế hoặc khoản phụ thu nếu có. </w:t>
      </w:r>
    </w:p>
    <w:p w14:paraId="62720238">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Khoản giảm giá, ưu đãi hoặc hỗ trợ. </w:t>
      </w:r>
    </w:p>
    <w:p w14:paraId="5E91D6F5">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Tiền cọc đã thu. </w:t>
      </w:r>
    </w:p>
    <w:p w14:paraId="261B1600">
      <w:pPr>
        <w:keepNext w:val="0"/>
        <w:keepLines w:val="0"/>
        <w:widowControl/>
        <w:numPr>
          <w:ilvl w:val="0"/>
          <w:numId w:val="5"/>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Các lần thanh toán trước. </w:t>
      </w:r>
    </w:p>
    <w:p w14:paraId="3CBE93D3">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Hệ thống tính và hiển thị các giá trị: tổng tiền trước giảm, số tiền được giảm, tổng phải thu, số đã thanh toán và số tiền còn lại.</w:t>
      </w:r>
    </w:p>
    <w:p w14:paraId="6A3CB182">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4: Kiểm tra giảm giá và khoản phát sinh</w:t>
      </w:r>
    </w:p>
    <w:p w14:paraId="764350CB">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Lễ tân/thu ngân kiểm tra căn cứ áp dụng giảm giá, chương trình ưu đãi và các khoản phát sinh. Trường hợp giảm giá vượt hạn mức được phân quyền, hệ thống yêu cầu quản lý phê duyệt trước khi tiếp tục thanh toán.</w:t>
      </w:r>
    </w:p>
    <w:p w14:paraId="4DB586A3">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Mọi khoản phát sinh phải có nội dung, số tiền, lý do, người đề nghị và người xác nhận. Hệ thống không cho phép nhập một khoản thu không xác định được nguồn gốc.</w:t>
      </w:r>
    </w:p>
    <w:p w14:paraId="547FBF4E">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5: Thông báo chi phí cho bệnh nhân</w:t>
      </w:r>
    </w:p>
    <w:p w14:paraId="7C343EAE">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Trước khi thu tiền, lễ tân/thu ngân trình bày cho bệnh nhân các thông tin:</w:t>
      </w:r>
    </w:p>
    <w:p w14:paraId="42A512B0">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Dịch vụ và số lượng đã thực hiện. </w:t>
      </w:r>
    </w:p>
    <w:p w14:paraId="759A7F2B">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Đơn giá và thành tiền của từng dịch vụ. </w:t>
      </w:r>
    </w:p>
    <w:p w14:paraId="6516D24D">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Khoản giảm giá hoặc ưu đãi. </w:t>
      </w:r>
    </w:p>
    <w:p w14:paraId="4960BD37">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Tiền cọc và số tiền đã thanh toán trước đó. </w:t>
      </w:r>
    </w:p>
    <w:p w14:paraId="313026FD">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Tổng số tiền phải thanh toán. </w:t>
      </w:r>
    </w:p>
    <w:p w14:paraId="53077175">
      <w:pPr>
        <w:keepNext w:val="0"/>
        <w:keepLines w:val="0"/>
        <w:widowControl/>
        <w:numPr>
          <w:ilvl w:val="0"/>
          <w:numId w:val="6"/>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Số tiền còn nợ sau lần thanh toán hiện tại, nếu có. </w:t>
      </w:r>
    </w:p>
    <w:p w14:paraId="4626CF7B">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Bệnh nhân được kiểm tra lại thông tin trước khi lựa chọn phương thức thanh toán.</w:t>
      </w:r>
    </w:p>
    <w:p w14:paraId="115506F9">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6: Lựa chọn hình thức thanh toán</w:t>
      </w:r>
    </w:p>
    <w:p w14:paraId="15BA1165">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Bệnh nhân có thể lựa chọn:</w:t>
      </w:r>
    </w:p>
    <w:p w14:paraId="2050A0F0">
      <w:pPr>
        <w:keepNext w:val="0"/>
        <w:keepLines w:val="0"/>
        <w:widowControl/>
        <w:numPr>
          <w:ilvl w:val="0"/>
          <w:numId w:val="7"/>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Thanh toán toàn bộ. </w:t>
      </w:r>
    </w:p>
    <w:p w14:paraId="5AFA047B">
      <w:pPr>
        <w:keepNext w:val="0"/>
        <w:keepLines w:val="0"/>
        <w:widowControl/>
        <w:numPr>
          <w:ilvl w:val="0"/>
          <w:numId w:val="7"/>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Thanh toán một phần. </w:t>
      </w:r>
    </w:p>
    <w:p w14:paraId="4D1EFDE5">
      <w:pPr>
        <w:keepNext w:val="0"/>
        <w:keepLines w:val="0"/>
        <w:widowControl/>
        <w:numPr>
          <w:ilvl w:val="0"/>
          <w:numId w:val="7"/>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Thanh toán theo từng giai đoạn của liệu trình. </w:t>
      </w:r>
    </w:p>
    <w:p w14:paraId="34EC96BB">
      <w:pPr>
        <w:keepNext w:val="0"/>
        <w:keepLines w:val="0"/>
        <w:widowControl/>
        <w:numPr>
          <w:ilvl w:val="0"/>
          <w:numId w:val="7"/>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Khấu trừ từ tiền cọc. </w:t>
      </w:r>
    </w:p>
    <w:p w14:paraId="4DA685E7">
      <w:pPr>
        <w:keepNext w:val="0"/>
        <w:keepLines w:val="0"/>
        <w:widowControl/>
        <w:numPr>
          <w:ilvl w:val="0"/>
          <w:numId w:val="7"/>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Kết hợp nhiều phương thức trong cùng một lần thanh toán. </w:t>
      </w:r>
    </w:p>
    <w:p w14:paraId="558FEB7C">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Trường hợp thanh toán một phần, hệ thống phải ghi nhận số còn lại và ngày hoặc giai đoạn dự kiến thanh toán tiếp theo.</w:t>
      </w:r>
    </w:p>
    <w:p w14:paraId="0E52F6C8">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7: Tiếp nhận và xác nhận tiền thanh toán</w:t>
      </w:r>
    </w:p>
    <w:p w14:paraId="5D4C5A1D">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Lễ tân/thu ngân nhập số tiền thực nhận và phương thức thanh toán. Hệ thống kiểm tra số tiền không được âm và không được vượt quá nghĩa vụ thanh toán, trừ trường hợp được phép ghi nhận tiền trả trước.</w:t>
      </w:r>
    </w:p>
    <w:p w14:paraId="34B22B49">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Đối với giao dịch điện tử, chỉ xác nhận thanh toán khi phòng khám đã kiểm tra được trạng thái giao dịch thành công trên tài khoản ngân hàng, thiết bị POS hoặc kênh thanh toán chính thức.</w:t>
      </w:r>
    </w:p>
    <w:p w14:paraId="54ADE6DC">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Nếu bệnh nhân sử dụng nhiều phương thức, hệ thống phải tách riêng số tiền của từng phương thức, ví dụ: 2.000.000 đồng tiền mặt và 3.000.000 đồng chuyển khoản.</w:t>
      </w:r>
    </w:p>
    <w:p w14:paraId="12C51E2E">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8: Ghi nhận giao dịch</w:t>
      </w:r>
    </w:p>
    <w:p w14:paraId="417ADDE5">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Sau khi thu tiền thành công, hệ thống tạo một giao dịch thanh toán mới gồm:</w:t>
      </w:r>
    </w:p>
    <w:p w14:paraId="7F991829">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Mã giao dịch. </w:t>
      </w:r>
    </w:p>
    <w:p w14:paraId="7FE93FE9">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Mã bệnh nhân. </w:t>
      </w:r>
    </w:p>
    <w:p w14:paraId="74949204">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Lần khám hoặc liệu trình liên quan. </w:t>
      </w:r>
    </w:p>
    <w:p w14:paraId="29CA9225">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Số tiền thanh toán. </w:t>
      </w:r>
    </w:p>
    <w:p w14:paraId="6BD4F98F">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Phương thức thanh toán. </w:t>
      </w:r>
    </w:p>
    <w:p w14:paraId="5CF4AD7A">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Mã tham chiếu của giao dịch điện tử. </w:t>
      </w:r>
    </w:p>
    <w:p w14:paraId="10FCD769">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Thời điểm thanh toán. </w:t>
      </w:r>
    </w:p>
    <w:p w14:paraId="328EA49C">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Nhân viên thu tiền. </w:t>
      </w:r>
    </w:p>
    <w:p w14:paraId="2312FE3B">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Số tiền đã trả và số còn lại sau giao dịch. </w:t>
      </w:r>
    </w:p>
    <w:p w14:paraId="6C3BFE91">
      <w:pPr>
        <w:keepNext w:val="0"/>
        <w:keepLines w:val="0"/>
        <w:widowControl/>
        <w:numPr>
          <w:ilvl w:val="0"/>
          <w:numId w:val="8"/>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Trạng thái giao dịch. </w:t>
      </w:r>
    </w:p>
    <w:p w14:paraId="3D668D8F">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Mỗi lần thanh toán phải được lưu thành một giao dịch độc lập. Không sửa đè giao dịch đã chốt.</w:t>
      </w:r>
    </w:p>
    <w:p w14:paraId="621B2788">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9: Cập nhật trạng thái thanh toán</w:t>
      </w:r>
    </w:p>
    <w:p w14:paraId="3807A88A">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Căn cứ vào tổng phải thu và số tiền hợp lệ đã nhận, hệ thống tự động cập nhật trạng thái:</w:t>
      </w:r>
    </w:p>
    <w:p w14:paraId="666C70BD">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Chưa thanh toán:</w:t>
      </w:r>
      <w:r>
        <w:rPr>
          <w:rFonts w:hint="default" w:ascii="Times New Roman" w:hAnsi="Times New Roman" w:cs="Times New Roman"/>
        </w:rPr>
        <w:t xml:space="preserve"> chưa phát sinh khoản thu. </w:t>
      </w:r>
    </w:p>
    <w:p w14:paraId="322A2C81">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Đã đặt cọc:</w:t>
      </w:r>
      <w:r>
        <w:rPr>
          <w:rFonts w:hint="default" w:ascii="Times New Roman" w:hAnsi="Times New Roman" w:cs="Times New Roman"/>
        </w:rPr>
        <w:t xml:space="preserve"> đã thu tiền cọc nhưng chưa hoàn thành nghĩa vụ thanh toán. </w:t>
      </w:r>
    </w:p>
    <w:p w14:paraId="0586C61C">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Thanh toán một phần:</w:t>
      </w:r>
      <w:r>
        <w:rPr>
          <w:rFonts w:hint="default" w:ascii="Times New Roman" w:hAnsi="Times New Roman" w:cs="Times New Roman"/>
        </w:rPr>
        <w:t xml:space="preserve"> đã thu một phần và vẫn còn số tiền phải thu. </w:t>
      </w:r>
    </w:p>
    <w:p w14:paraId="209C5E11">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Đã thanh toán đủ:</w:t>
      </w:r>
      <w:r>
        <w:rPr>
          <w:rFonts w:hint="default" w:ascii="Times New Roman" w:hAnsi="Times New Roman" w:cs="Times New Roman"/>
        </w:rPr>
        <w:t xml:space="preserve"> tổng số tiền hợp lệ đã thu bằng tổng phải thu. </w:t>
      </w:r>
    </w:p>
    <w:p w14:paraId="25CAB3D5">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Quá hạn:</w:t>
      </w:r>
      <w:r>
        <w:rPr>
          <w:rFonts w:hint="default" w:ascii="Times New Roman" w:hAnsi="Times New Roman" w:cs="Times New Roman"/>
        </w:rPr>
        <w:t xml:space="preserve"> khoản còn lại đã vượt ngày thanh toán dự kiến. </w:t>
      </w:r>
    </w:p>
    <w:p w14:paraId="4D3246E7">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Đã hủy:</w:t>
      </w:r>
      <w:r>
        <w:rPr>
          <w:rFonts w:hint="default" w:ascii="Times New Roman" w:hAnsi="Times New Roman" w:cs="Times New Roman"/>
        </w:rPr>
        <w:t xml:space="preserve"> giao dịch được hủy theo đúng quy trình. </w:t>
      </w:r>
    </w:p>
    <w:p w14:paraId="176D8D36">
      <w:pPr>
        <w:keepNext w:val="0"/>
        <w:keepLines w:val="0"/>
        <w:widowControl/>
        <w:numPr>
          <w:ilvl w:val="0"/>
          <w:numId w:val="9"/>
        </w:numPr>
        <w:suppressLineNumbers w:val="0"/>
        <w:spacing w:before="0" w:beforeAutospacing="1" w:after="0" w:afterAutospacing="1"/>
        <w:ind w:left="1560" w:leftChars="0" w:hanging="360"/>
        <w:rPr>
          <w:rFonts w:hint="default" w:ascii="Times New Roman" w:hAnsi="Times New Roman" w:cs="Times New Roman"/>
        </w:rPr>
      </w:pPr>
      <w:r>
        <w:rPr>
          <w:rStyle w:val="11"/>
          <w:rFonts w:hint="default" w:ascii="Times New Roman" w:hAnsi="Times New Roman" w:cs="Times New Roman"/>
        </w:rPr>
        <w:t>Đã hoàn tiền:</w:t>
      </w:r>
      <w:r>
        <w:rPr>
          <w:rFonts w:hint="default" w:ascii="Times New Roman" w:hAnsi="Times New Roman" w:cs="Times New Roman"/>
        </w:rPr>
        <w:t xml:space="preserve"> toàn bộ hoặc một phần tiền đã được hoàn trả. </w:t>
      </w:r>
    </w:p>
    <w:p w14:paraId="315E0037">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10: Lập và giao chứng từ</w:t>
      </w:r>
    </w:p>
    <w:p w14:paraId="48E99D17">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Hệ thống tạo phiếu thu cho từng lần thanh toán. Phiếu thu phải thể hiện tối thiểu mã phiếu, bệnh nhân, nội dung thu, số tiền, phương thức, thời điểm và nhân viên thu tiền.</w:t>
      </w:r>
    </w:p>
    <w:p w14:paraId="6D984B37">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Lễ tân/thu ngân có thể in phiếu thu hoặc gửi bản điện tử cho bệnh nhân. Nếu bệnh nhân yêu cầu hóa đơn điện tử, yêu cầu được chuyển đến tài khoản có thẩm quyền xử lý.</w:t>
      </w:r>
    </w:p>
    <w:p w14:paraId="00AA6419">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11: Hoàn tất và chuyển sang công việc tiếp theo</w:t>
      </w:r>
    </w:p>
    <w:p w14:paraId="596DDCE5">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Sau khi hoàn tất giao dịch, lễ tân/thu ngân:</w:t>
      </w:r>
    </w:p>
    <w:p w14:paraId="27D1DAB5">
      <w:pPr>
        <w:keepNext w:val="0"/>
        <w:keepLines w:val="0"/>
        <w:widowControl/>
        <w:numPr>
          <w:ilvl w:val="0"/>
          <w:numId w:val="10"/>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Kiểm tra lại trạng thái thanh toán. </w:t>
      </w:r>
    </w:p>
    <w:p w14:paraId="0DE3B30A">
      <w:pPr>
        <w:keepNext w:val="0"/>
        <w:keepLines w:val="0"/>
        <w:widowControl/>
        <w:numPr>
          <w:ilvl w:val="0"/>
          <w:numId w:val="10"/>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Thông báo số tiền còn lại và thời hạn thanh toán tiếp theo. </w:t>
      </w:r>
    </w:p>
    <w:p w14:paraId="770C461B">
      <w:pPr>
        <w:keepNext w:val="0"/>
        <w:keepLines w:val="0"/>
        <w:widowControl/>
        <w:numPr>
          <w:ilvl w:val="0"/>
          <w:numId w:val="10"/>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Giao hoặc gửi phiếu thu cho bệnh nhân. </w:t>
      </w:r>
    </w:p>
    <w:p w14:paraId="123CBE0F">
      <w:pPr>
        <w:keepNext w:val="0"/>
        <w:keepLines w:val="0"/>
        <w:widowControl/>
        <w:numPr>
          <w:ilvl w:val="0"/>
          <w:numId w:val="10"/>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Đặt lịch điều trị hoặc tái khám tiếp theo nếu cần. </w:t>
      </w:r>
    </w:p>
    <w:p w14:paraId="732E5892">
      <w:pPr>
        <w:keepNext w:val="0"/>
        <w:keepLines w:val="0"/>
        <w:widowControl/>
        <w:numPr>
          <w:ilvl w:val="0"/>
          <w:numId w:val="10"/>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Lưu đầy đủ thông tin giao dịch để phục vụ tra cứu và đối soát. </w:t>
      </w:r>
    </w:p>
    <w:p w14:paraId="6AAD5612">
      <w:pPr>
        <w:pStyle w:val="10"/>
        <w:keepNext w:val="0"/>
        <w:keepLines w:val="0"/>
        <w:widowControl/>
        <w:suppressLineNumbers w:val="0"/>
        <w:ind w:left="720" w:leftChars="0" w:firstLine="720" w:firstLineChars="0"/>
        <w:rPr>
          <w:rFonts w:hint="default" w:ascii="Times New Roman" w:hAnsi="Times New Roman" w:cs="Times New Roman"/>
        </w:rPr>
      </w:pPr>
      <w:r>
        <w:rPr>
          <w:rStyle w:val="11"/>
          <w:rFonts w:hint="default" w:ascii="Times New Roman" w:hAnsi="Times New Roman" w:cs="Times New Roman"/>
        </w:rPr>
        <w:t>Bước 12: Đối soát cuối ca hoặc cuối ngày</w:t>
      </w:r>
    </w:p>
    <w:p w14:paraId="3DE8C414">
      <w:pPr>
        <w:pStyle w:val="10"/>
        <w:keepNext w:val="0"/>
        <w:keepLines w:val="0"/>
        <w:widowControl/>
        <w:suppressLineNumbers w:val="0"/>
        <w:ind w:left="720" w:leftChars="0" w:firstLine="720" w:firstLineChars="0"/>
        <w:rPr>
          <w:rFonts w:hint="default" w:ascii="Times New Roman" w:hAnsi="Times New Roman" w:cs="Times New Roman"/>
        </w:rPr>
      </w:pPr>
      <w:r>
        <w:rPr>
          <w:rFonts w:hint="default" w:ascii="Times New Roman" w:hAnsi="Times New Roman" w:cs="Times New Roman"/>
        </w:rPr>
        <w:t>Cuối ca, thu ngân tổng hợp giao dịch theo từng phương thức thanh toán và đối chiếu với:</w:t>
      </w:r>
    </w:p>
    <w:p w14:paraId="290B8E76">
      <w:pPr>
        <w:keepNext w:val="0"/>
        <w:keepLines w:val="0"/>
        <w:widowControl/>
        <w:numPr>
          <w:ilvl w:val="0"/>
          <w:numId w:val="11"/>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Tiền mặt thực tế trong quỹ. </w:t>
      </w:r>
    </w:p>
    <w:p w14:paraId="03E4DE16">
      <w:pPr>
        <w:keepNext w:val="0"/>
        <w:keepLines w:val="0"/>
        <w:widowControl/>
        <w:numPr>
          <w:ilvl w:val="0"/>
          <w:numId w:val="11"/>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Sao kê chuyển khoản. </w:t>
      </w:r>
    </w:p>
    <w:p w14:paraId="63464D8A">
      <w:pPr>
        <w:keepNext w:val="0"/>
        <w:keepLines w:val="0"/>
        <w:widowControl/>
        <w:numPr>
          <w:ilvl w:val="0"/>
          <w:numId w:val="11"/>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Báo cáo giao dịch POS. </w:t>
      </w:r>
    </w:p>
    <w:p w14:paraId="3C900B7A">
      <w:pPr>
        <w:keepNext w:val="0"/>
        <w:keepLines w:val="0"/>
        <w:widowControl/>
        <w:numPr>
          <w:ilvl w:val="0"/>
          <w:numId w:val="11"/>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 xml:space="preserve">Giao dịch mã QR hoặc ví điện tử. </w:t>
      </w:r>
    </w:p>
    <w:p w14:paraId="4DC698F8">
      <w:pPr>
        <w:keepNext w:val="0"/>
        <w:keepLines w:val="0"/>
        <w:widowControl/>
        <w:numPr>
          <w:ilvl w:val="0"/>
          <w:numId w:val="11"/>
        </w:numPr>
        <w:suppressLineNumbers w:val="0"/>
        <w:spacing w:before="0" w:beforeAutospacing="1" w:after="0" w:afterAutospacing="1"/>
        <w:ind w:left="1560" w:leftChars="0" w:hanging="360"/>
        <w:rPr>
          <w:rFonts w:hint="default" w:ascii="Times New Roman" w:hAnsi="Times New Roman" w:cs="Times New Roman"/>
        </w:rPr>
      </w:pPr>
      <w:r>
        <w:rPr>
          <w:rFonts w:hint="default" w:ascii="Times New Roman" w:hAnsi="Times New Roman" w:cs="Times New Roman"/>
        </w:rPr>
        <w:t>Phiếu thu và hóa đơn đã lập.</w:t>
      </w:r>
    </w:p>
    <w:p w14:paraId="3674A280">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4</w:t>
      </w:r>
      <w:r>
        <w:rPr>
          <w:rFonts w:hint="default" w:ascii="Times New Roman" w:hAnsi="Times New Roman" w:cs="Times New Roman"/>
          <w:color w:val="000000" w:themeColor="text1"/>
          <w:sz w:val="24"/>
          <w:szCs w:val="24"/>
          <w14:textFill>
            <w14:solidFill>
              <w14:schemeClr w14:val="tx1"/>
            </w14:solidFill>
          </w14:textFill>
        </w:rPr>
        <w:t>. Các luồng ngoại lệ</w:t>
      </w:r>
    </w:p>
    <w:p w14:paraId="5E038182">
      <w:pPr>
        <w:pStyle w:val="4"/>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4</w:t>
      </w:r>
      <w:r>
        <w:rPr>
          <w:rFonts w:hint="default" w:ascii="Times New Roman" w:hAnsi="Times New Roman" w:cs="Times New Roman"/>
          <w:color w:val="000000" w:themeColor="text1"/>
          <w:sz w:val="24"/>
          <w:szCs w:val="24"/>
          <w14:textFill>
            <w14:solidFill>
              <w14:schemeClr w14:val="tx1"/>
            </w14:solidFill>
          </w14:textFill>
        </w:rPr>
        <w:t>.1. Thanh toán một phần hoặc theo giai đoạn</w:t>
      </w:r>
    </w:p>
    <w:p w14:paraId="7A951FC0">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Ghi nhận tổng giá trị kế hoạch điều trị và lịch dự kiến thu tiền.</w:t>
      </w:r>
    </w:p>
    <w:p w14:paraId="2A44055C">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Mỗi lần thu tạo một giao dịch độc lập; không sửa đè giao dịch trước.</w:t>
      </w:r>
    </w:p>
    <w:p w14:paraId="4B1A9284">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Tự động tính số còn lại, cảnh báo khoản đến hạn/quá hạn và chỉ hoàn tất khi tổng tiền hợp lệ bằng nghĩa vụ thanh toán.</w:t>
      </w:r>
    </w:p>
    <w:p w14:paraId="7CE1513F">
      <w:pPr>
        <w:pStyle w:val="4"/>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4</w:t>
      </w:r>
      <w:r>
        <w:rPr>
          <w:rFonts w:hint="default" w:ascii="Times New Roman" w:hAnsi="Times New Roman" w:cs="Times New Roman"/>
          <w:color w:val="000000" w:themeColor="text1"/>
          <w:sz w:val="24"/>
          <w:szCs w:val="24"/>
          <w14:textFill>
            <w14:solidFill>
              <w14:schemeClr w14:val="tx1"/>
            </w14:solidFill>
          </w14:textFill>
        </w:rPr>
        <w:t>.2. Đặt cọc</w:t>
      </w:r>
    </w:p>
    <w:p w14:paraId="738D0121">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Tạo phiếu cọc gắn với bệnh nhân, dịch vụ hoặc kế hoạch điều trị.</w:t>
      </w:r>
    </w:p>
    <w:p w14:paraId="33A9D932">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Khi phát sinh khoản phải thu, phân bổ và khấu trừ tiền cọc có kiểm soát.</w:t>
      </w:r>
    </w:p>
    <w:p w14:paraId="2F09F121">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Nếu hủy điều trị, chọn hoàn cọc, giữ cọc hoặc chuyển sang dịch vụ khác theo chính sách đã thỏa thuận; bắt buộc ghi lý do và phê duyệt khi cần.</w:t>
      </w:r>
    </w:p>
    <w:p w14:paraId="1D36E94E">
      <w:pPr>
        <w:pStyle w:val="4"/>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lang w:val="en-US"/>
          <w14:textFill>
            <w14:solidFill>
              <w14:schemeClr w14:val="tx1"/>
            </w14:solidFill>
          </w14:textFill>
        </w:rPr>
        <w:t>4</w:t>
      </w:r>
      <w:r>
        <w:rPr>
          <w:rFonts w:hint="default" w:ascii="Times New Roman" w:hAnsi="Times New Roman" w:cs="Times New Roman"/>
          <w:color w:val="000000" w:themeColor="text1"/>
          <w:sz w:val="24"/>
          <w:szCs w:val="24"/>
          <w14:textFill>
            <w14:solidFill>
              <w14:schemeClr w14:val="tx1"/>
            </w14:solidFill>
          </w14:textFill>
        </w:rPr>
        <w:t>.3. Hủy, điều chỉnh và hoàn tiền</w:t>
      </w:r>
    </w:p>
    <w:p w14:paraId="137F491C">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Tra cứu giao dịch gốc; không xóa giao dịch cũ.</w:t>
      </w:r>
    </w:p>
    <w:p w14:paraId="3BF74D36">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Ghi lý do, số tiền, chứng từ liên quan, người đề nghị, người phê duyệt và phương thức hoàn.</w:t>
      </w:r>
    </w:p>
    <w:p w14:paraId="13730E36">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Tạo giao dịch đảo/điều chỉnh có liên kết với giao dịch gốc; cập nhật công nợ và mã tham chiếu hoàn tiền.</w:t>
      </w:r>
    </w:p>
    <w:p w14:paraId="24A30C64">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Nếu hóa đơn điện tử đã lập có sai sót, chuyển cho người phụ trách hóa đơn xử lý theo quy định thay vì chỉ sửa dữ liệu nội bộ.</w:t>
      </w:r>
    </w:p>
    <w:p w14:paraId="1CA54297">
      <w:pPr>
        <w:pStyle w:val="13"/>
        <w:numPr>
          <w:ilvl w:val="0"/>
          <w:numId w:val="0"/>
        </w:numPr>
        <w:spacing w:after="120" w:line="240" w:lineRule="auto"/>
        <w:ind w:left="360" w:leftChars="0"/>
        <w:jc w:val="both"/>
        <w:rPr>
          <w:rFonts w:hint="default" w:ascii="Times New Roman" w:hAnsi="Times New Roman" w:eastAsia="Calibri" w:cs="Times New Roman"/>
          <w:color w:val="000000" w:themeColor="text1"/>
          <w:sz w:val="24"/>
          <w:szCs w:val="24"/>
          <w:lang w:val="en-US"/>
          <w14:textFill>
            <w14:solidFill>
              <w14:schemeClr w14:val="tx1"/>
            </w14:solidFill>
          </w14:textFill>
        </w:rPr>
      </w:pPr>
    </w:p>
    <w:p w14:paraId="03225C1A">
      <w:pPr>
        <w:pStyle w:val="13"/>
        <w:numPr>
          <w:ilvl w:val="0"/>
          <w:numId w:val="3"/>
        </w:numPr>
        <w:spacing w:after="120" w:line="240" w:lineRule="auto"/>
        <w:jc w:val="both"/>
        <w:rPr>
          <w:rFonts w:hint="default" w:ascii="Times New Roman" w:hAnsi="Times New Roman" w:cs="Times New Roman"/>
          <w:b/>
          <w:color w:val="000000" w:themeColor="text1"/>
          <w:sz w:val="24"/>
          <w:szCs w:val="24"/>
          <w14:textFill>
            <w14:solidFill>
              <w14:schemeClr w14:val="tx1"/>
            </w14:solidFill>
          </w14:textFill>
        </w:rPr>
      </w:pPr>
      <w:r>
        <w:rPr>
          <w:rFonts w:hint="default" w:ascii="Times New Roman" w:hAnsi="Times New Roman" w:cs="Times New Roman"/>
          <w:b/>
          <w:color w:val="000000" w:themeColor="text1"/>
          <w:sz w:val="24"/>
          <w:szCs w:val="24"/>
          <w14:textFill>
            <w14:solidFill>
              <w14:schemeClr w14:val="tx1"/>
            </w14:solidFill>
          </w14:textFill>
        </w:rPr>
        <w:t>Quy định:</w:t>
      </w:r>
    </w:p>
    <w:p w14:paraId="6F7BD7F9">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1. Quy định về dịch vụ và giá</w:t>
      </w:r>
    </w:p>
    <w:p w14:paraId="7D39803A">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Cơ sở khám bệnh, chữa bệnh tư nhân được quyết định giá nhưng phải kê khai và niêm yết công khai theo quy định; bảng giá tại quầy và trên hệ thống phải thống nhất [1].</w:t>
      </w:r>
    </w:p>
    <w:p w14:paraId="6BF39B1C">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Hệ thống phải quản lý phiên bản giá, ngày có hiệu lực và người phê duyệt; không sửa đè lịch sử giá.</w:t>
      </w:r>
    </w:p>
    <w:p w14:paraId="37F56885">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Mỗi dòng dịch vụ phải lưu đơn giá thực tế đã áp dụng để có thể giải trình về sau.</w:t>
      </w:r>
    </w:p>
    <w:p w14:paraId="11923034">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Tên dịch vụ phải là tên hiển thị rõ cho nhân viên; các dịch vụ có tên gần giống nhau phải có mã riêng để tránh chọn nhầm.</w:t>
      </w:r>
    </w:p>
    <w:p w14:paraId="78F5D325">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Dịch vụ ngừng cung cấp được khóa khỏi chỉ định mới nhưng vẫn được giữ để tra cứu lịch sử.</w:t>
      </w:r>
    </w:p>
    <w:p w14:paraId="6FDBC8F3">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2. Quy định về chi phí và cung cấp thông tin</w:t>
      </w:r>
    </w:p>
    <w:p w14:paraId="47E5D235">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Trước khi thu tiền, nhân viên phải cho bệnh nhân kiểm tra dịch vụ, số lượng, đơn giá, giảm giá, tiền cọc, số đã trả và số còn lại.</w:t>
      </w:r>
    </w:p>
    <w:p w14:paraId="5B0C446A">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Khoản có thể phát sinh, nội dung chưa bao gồm và điều kiện hoàn cọc phải được thông báo rõ và lưu làm căn cứ xử lý.</w:t>
      </w:r>
    </w:p>
    <w:p w14:paraId="0DF51376">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Giảm giá không được làm thay đổi đơn giá gốc; mức vượt hạn quyền phải có phê duyệt.</w:t>
      </w:r>
    </w:p>
    <w:p w14:paraId="5380251E">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Chi phí dự kiến và chi phí thực tế phải được phân biệt; khoản phát sinh chuyên môn cần người có thẩm quyền xác nhận.</w:t>
      </w:r>
    </w:p>
    <w:p w14:paraId="74683526">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3. Quy định về thanh toán và chứng từ</w:t>
      </w:r>
    </w:p>
    <w:p w14:paraId="614F72CD">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Mỗi lần thanh toán phải có mã giao dịch, số tiền, phương thức, thời điểm, người thu và mã tham chiếu nếu là giao dịch điện tử.</w:t>
      </w:r>
    </w:p>
    <w:p w14:paraId="7A7E183F">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Phiếu thu và hóa đơn phải tra cứu được theo bệnh nhân, lần khám/liệu trình và giao dịch tương ứng.</w:t>
      </w:r>
    </w:p>
    <w:p w14:paraId="7B405823">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Giao dịch đã chốt không được sửa trực tiếp; mọi hủy, điều chỉnh hoặc hoàn tiền phải liên kết giao dịch gốc và có lý do.</w:t>
      </w:r>
    </w:p>
    <w:p w14:paraId="0981CBD1">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Cuối ca/cuối ngày phải đối soát theo từng phương thức, ghi nhận chênh lệch và có xác nhận của người giao - người nhận.</w:t>
      </w:r>
    </w:p>
    <w:p w14:paraId="79C65E56">
      <w:pPr>
        <w:pStyle w:val="3"/>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4. Hóa đơn điện tử và thuế giá trị gia tăng</w:t>
      </w:r>
    </w:p>
    <w:p w14:paraId="16AB03DC">
      <w:pPr>
        <w:spacing w:after="120"/>
        <w:ind w:firstLine="720" w:firstLine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i w:val="0"/>
          <w:color w:val="000000" w:themeColor="text1"/>
          <w:sz w:val="24"/>
          <w:szCs w:val="24"/>
          <w14:textFill>
            <w14:solidFill>
              <w14:schemeClr w14:val="tx1"/>
            </w14:solidFill>
          </w14:textFill>
        </w:rPr>
        <w:t xml:space="preserve">Theo Nghị định 123/2020/NĐ-CP và Nghị định 70/2025/NĐ-CP (có hiệu lực từ 01/06/2025), phần mềm nội bộ cần lưu từng phiếu thu, trạng thái yêu cầu hóa đơn, thông tin người mua khi cần, liên kết hóa </w:t>
      </w:r>
      <w:r>
        <w:rPr>
          <w:rFonts w:hint="default" w:ascii="Times New Roman" w:hAnsi="Times New Roman" w:eastAsia="Calibri" w:cs="Times New Roman"/>
          <w:i w:val="0"/>
          <w:color w:val="000000" w:themeColor="text1"/>
          <w:sz w:val="24"/>
          <w:szCs w:val="24"/>
          <w:lang w:val="en-US"/>
          <w14:textFill>
            <w14:solidFill>
              <w14:schemeClr w14:val="tx1"/>
            </w14:solidFill>
          </w14:textFill>
        </w:rPr>
        <w:tab/>
      </w:r>
      <w:r>
        <w:rPr>
          <w:rFonts w:hint="default" w:ascii="Times New Roman" w:hAnsi="Times New Roman" w:eastAsia="Calibri" w:cs="Times New Roman"/>
          <w:i w:val="0"/>
          <w:color w:val="000000" w:themeColor="text1"/>
          <w:sz w:val="24"/>
          <w:szCs w:val="24"/>
          <w14:textFill>
            <w14:solidFill>
              <w14:schemeClr w14:val="tx1"/>
            </w14:solidFill>
          </w14:textFill>
        </w:rPr>
        <w:t>đơn với giao dịch và dữ liệu tổng hợp cuối ngày [4], [5].</w:t>
      </w:r>
    </w:p>
    <w:p w14:paraId="59C3BFE2">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Khi người bệnh yêu cầu hóa đơn điện tử, cơ sở lập và giao hóa đơn theo quy định.</w:t>
      </w:r>
    </w:p>
    <w:p w14:paraId="3B840B96">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Khi người bệnh không yêu cầu và cơ sở đáp ứng điều kiện pháp luật, dữ liệu phiếu thu được dùng để tổng hợp lập hóa đơn điện tử cuối ngày.</w:t>
      </w:r>
    </w:p>
    <w:p w14:paraId="5B520955">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Việc phát hành, thay thế hoặc điều chỉnh hóa đơn chỉ do tài khoản có thẩm quyền thực hiện.</w:t>
      </w:r>
    </w:p>
    <w:p w14:paraId="313EEA39">
      <w:pPr>
        <w:keepLines/>
        <w:numPr>
          <w:ilvl w:val="0"/>
          <w:numId w:val="4"/>
        </w:numPr>
        <w:spacing w:after="80" w:line="288" w:lineRule="auto"/>
        <w:ind w:left="960" w:leftChars="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Calibri" w:cs="Times New Roman"/>
          <w:color w:val="000000" w:themeColor="text1"/>
          <w:sz w:val="24"/>
          <w:szCs w:val="24"/>
          <w14:textFill>
            <w14:solidFill>
              <w14:schemeClr w14:val="tx1"/>
            </w14:solidFill>
          </w14:textFill>
        </w:rPr>
        <w:t>Dịch vụ y tế thuộc nhóm không chịu thuế giá trị gia tăng theo Khoản 10 Điều 5 Luật Thuế giá trị gia tăng số 48/2024/QH15; hàng hóa hoặc khoản ngoài gói dịch vụ y tế phải được xác định riêng theo bản chất và hướng dẫn của kế toán/thuế [6].</w:t>
      </w:r>
    </w:p>
    <w:p w14:paraId="692C2735">
      <w:pPr>
        <w:keepLines/>
        <w:numPr>
          <w:ilvl w:val="0"/>
          <w:numId w:val="0"/>
        </w:numPr>
        <w:spacing w:after="80" w:line="288" w:lineRule="auto"/>
        <w:ind w:left="660" w:leftChars="0"/>
        <w:rPr>
          <w:rFonts w:hint="default" w:ascii="Times New Roman" w:hAnsi="Times New Roman" w:eastAsia="Calibri" w:cs="Times New Roman"/>
          <w:color w:val="000000" w:themeColor="text1"/>
          <w:sz w:val="24"/>
          <w:szCs w:val="24"/>
          <w14:textFill>
            <w14:solidFill>
              <w14:schemeClr w14:val="tx1"/>
            </w14:solidFill>
          </w14:textFill>
        </w:rPr>
      </w:pPr>
    </w:p>
    <w:p w14:paraId="4D9ADD24">
      <w:pPr>
        <w:pStyle w:val="2"/>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Tài liệu tham khảo</w:t>
      </w:r>
    </w:p>
    <w:p w14:paraId="20A3D440">
      <w:pPr>
        <w:spacing w:after="60"/>
        <w:ind w:left="288" w:hanging="288"/>
        <w:rPr>
          <w:rFonts w:hint="default" w:ascii="Times New Roman" w:hAnsi="Times New Roman" w:cs="Times New Roman"/>
        </w:rPr>
      </w:pPr>
      <w:r>
        <w:rPr>
          <w:rFonts w:hint="default" w:ascii="Times New Roman" w:hAnsi="Times New Roman" w:eastAsia="Calibri" w:cs="Times New Roman"/>
          <w:color w:val="202124"/>
          <w:sz w:val="19"/>
        </w:rPr>
        <w:t xml:space="preserve">[1] Quốc hội, Luật Khám bệnh, chữa bệnh số 15/2023/QH15, 2023. </w:t>
      </w:r>
      <w:r>
        <w:rPr>
          <w:rFonts w:hint="default" w:ascii="Times New Roman" w:hAnsi="Times New Roman" w:cs="Times New Roman"/>
        </w:rPr>
        <w:fldChar w:fldCharType="begin"/>
      </w:r>
      <w:r>
        <w:rPr>
          <w:rFonts w:hint="default" w:ascii="Times New Roman" w:hAnsi="Times New Roman" w:cs="Times New Roman"/>
        </w:rPr>
        <w:instrText xml:space="preserve"> HYPERLINK "https://vbpl.vn/van-ban/chi-tiet/luat-kham-benh-chua-benh-2023-so-15-2023-qh15--168125" </w:instrText>
      </w:r>
      <w:r>
        <w:rPr>
          <w:rFonts w:hint="default" w:ascii="Times New Roman" w:hAnsi="Times New Roman" w:cs="Times New Roman"/>
        </w:rPr>
        <w:fldChar w:fldCharType="separate"/>
      </w:r>
      <w:r>
        <w:rPr>
          <w:rStyle w:val="9"/>
          <w:rFonts w:hint="default" w:ascii="Times New Roman" w:hAnsi="Times New Roman" w:cs="Times New Roman"/>
        </w:rPr>
        <w:t>https://vbpl.vn/van-ban/chi-tiet/luat-kham-benh-chua-benh-2023-so-15-2023-qh15--168125</w:t>
      </w:r>
      <w:r>
        <w:rPr>
          <w:rFonts w:hint="default" w:ascii="Times New Roman" w:hAnsi="Times New Roman" w:cs="Times New Roman"/>
        </w:rPr>
        <w:fldChar w:fldCharType="end"/>
      </w:r>
    </w:p>
    <w:p w14:paraId="19F1D1CC">
      <w:pPr>
        <w:spacing w:after="60"/>
        <w:ind w:left="288" w:hanging="288"/>
        <w:rPr>
          <w:rFonts w:hint="default" w:ascii="Times New Roman" w:hAnsi="Times New Roman" w:cs="Times New Roman"/>
        </w:rPr>
      </w:pPr>
      <w:r>
        <w:rPr>
          <w:rFonts w:hint="default" w:ascii="Times New Roman" w:hAnsi="Times New Roman" w:eastAsia="Calibri" w:cs="Times New Roman"/>
          <w:color w:val="202124"/>
          <w:sz w:val="19"/>
        </w:rPr>
        <w:t xml:space="preserve">[2] Peace Dentistry, Bảng giá nha khoa năm 2026, truy cập ngày 18/08/2026. </w:t>
      </w:r>
      <w:r>
        <w:rPr>
          <w:rFonts w:hint="default" w:ascii="Times New Roman" w:hAnsi="Times New Roman" w:cs="Times New Roman"/>
        </w:rPr>
        <w:fldChar w:fldCharType="begin"/>
      </w:r>
      <w:r>
        <w:rPr>
          <w:rFonts w:hint="default" w:ascii="Times New Roman" w:hAnsi="Times New Roman" w:cs="Times New Roman"/>
        </w:rPr>
        <w:instrText xml:space="preserve"> HYPERLINK "https://nhakhoapeace.com/bang-gia/" </w:instrText>
      </w:r>
      <w:r>
        <w:rPr>
          <w:rFonts w:hint="default" w:ascii="Times New Roman" w:hAnsi="Times New Roman" w:cs="Times New Roman"/>
        </w:rPr>
        <w:fldChar w:fldCharType="separate"/>
      </w:r>
      <w:r>
        <w:rPr>
          <w:rStyle w:val="9"/>
          <w:rFonts w:hint="default" w:ascii="Times New Roman" w:hAnsi="Times New Roman" w:cs="Times New Roman"/>
        </w:rPr>
        <w:t>https://nhakhoapeace.com/bang-gia/</w:t>
      </w:r>
      <w:r>
        <w:rPr>
          <w:rFonts w:hint="default" w:ascii="Times New Roman" w:hAnsi="Times New Roman" w:cs="Times New Roman"/>
        </w:rPr>
        <w:fldChar w:fldCharType="end"/>
      </w:r>
    </w:p>
    <w:p w14:paraId="24C6F282">
      <w:pPr>
        <w:spacing w:after="60"/>
        <w:ind w:left="288" w:hanging="288"/>
        <w:rPr>
          <w:rFonts w:hint="default" w:ascii="Times New Roman" w:hAnsi="Times New Roman" w:cs="Times New Roman"/>
        </w:rPr>
      </w:pPr>
      <w:r>
        <w:rPr>
          <w:rFonts w:hint="default" w:ascii="Times New Roman" w:hAnsi="Times New Roman" w:eastAsia="Calibri" w:cs="Times New Roman"/>
          <w:color w:val="202124"/>
          <w:sz w:val="19"/>
        </w:rPr>
        <w:t>[</w:t>
      </w:r>
      <w:r>
        <w:rPr>
          <w:rFonts w:hint="default" w:ascii="Times New Roman" w:hAnsi="Times New Roman" w:eastAsia="Calibri" w:cs="Times New Roman"/>
          <w:color w:val="202124"/>
          <w:sz w:val="19"/>
          <w:lang w:val="en-US"/>
        </w:rPr>
        <w:t>3</w:t>
      </w:r>
      <w:r>
        <w:rPr>
          <w:rFonts w:hint="default" w:ascii="Times New Roman" w:hAnsi="Times New Roman" w:eastAsia="Calibri" w:cs="Times New Roman"/>
          <w:color w:val="202124"/>
          <w:sz w:val="19"/>
        </w:rPr>
        <w:t xml:space="preserve">] Chính phủ, Nghị định số 123/2020/NĐ-CP về hóa đơn, chứng từ, 2020. </w:t>
      </w:r>
      <w:r>
        <w:rPr>
          <w:rFonts w:hint="default" w:ascii="Times New Roman" w:hAnsi="Times New Roman" w:cs="Times New Roman"/>
        </w:rPr>
        <w:fldChar w:fldCharType="begin"/>
      </w:r>
      <w:r>
        <w:rPr>
          <w:rFonts w:hint="default" w:ascii="Times New Roman" w:hAnsi="Times New Roman" w:cs="Times New Roman"/>
        </w:rPr>
        <w:instrText xml:space="preserve"> HYPERLINK "https://congbao.chinhphu.vn/van-ban/nghi-dinh-so-123-2020-nd-cp-32290/32999.htm" </w:instrText>
      </w:r>
      <w:r>
        <w:rPr>
          <w:rFonts w:hint="default" w:ascii="Times New Roman" w:hAnsi="Times New Roman" w:cs="Times New Roman"/>
        </w:rPr>
        <w:fldChar w:fldCharType="separate"/>
      </w:r>
      <w:r>
        <w:rPr>
          <w:rStyle w:val="9"/>
          <w:rFonts w:hint="default" w:ascii="Times New Roman" w:hAnsi="Times New Roman" w:cs="Times New Roman"/>
        </w:rPr>
        <w:t>https://congbao.chinhphu.vn/van-ban/nghi-dinh-so-123-2020-nd-cp-32290/32999.htm</w:t>
      </w:r>
      <w:r>
        <w:rPr>
          <w:rFonts w:hint="default" w:ascii="Times New Roman" w:hAnsi="Times New Roman" w:cs="Times New Roman"/>
        </w:rPr>
        <w:fldChar w:fldCharType="end"/>
      </w:r>
    </w:p>
    <w:p w14:paraId="770E8059">
      <w:pPr>
        <w:spacing w:after="60"/>
        <w:ind w:left="288" w:hanging="288"/>
        <w:rPr>
          <w:rFonts w:hint="default" w:ascii="Times New Roman" w:hAnsi="Times New Roman" w:cs="Times New Roman"/>
        </w:rPr>
      </w:pPr>
      <w:r>
        <w:rPr>
          <w:rFonts w:hint="default" w:ascii="Times New Roman" w:hAnsi="Times New Roman" w:eastAsia="Calibri" w:cs="Times New Roman"/>
          <w:color w:val="202124"/>
          <w:sz w:val="19"/>
        </w:rPr>
        <w:t>[</w:t>
      </w:r>
      <w:r>
        <w:rPr>
          <w:rFonts w:hint="default" w:ascii="Times New Roman" w:hAnsi="Times New Roman" w:eastAsia="Calibri" w:cs="Times New Roman"/>
          <w:color w:val="202124"/>
          <w:sz w:val="19"/>
          <w:lang w:val="en-US"/>
        </w:rPr>
        <w:t>4</w:t>
      </w:r>
      <w:r>
        <w:rPr>
          <w:rFonts w:hint="default" w:ascii="Times New Roman" w:hAnsi="Times New Roman" w:eastAsia="Calibri" w:cs="Times New Roman"/>
          <w:color w:val="202124"/>
          <w:sz w:val="19"/>
        </w:rPr>
        <w:t xml:space="preserve">] Chính phủ, Nghị định số 70/2025/NĐ-CP sửa đổi Nghị định số 123/2020/NĐ-CP, 2025. </w:t>
      </w:r>
      <w:r>
        <w:rPr>
          <w:rFonts w:hint="default" w:ascii="Times New Roman" w:hAnsi="Times New Roman" w:cs="Times New Roman"/>
        </w:rPr>
        <w:fldChar w:fldCharType="begin"/>
      </w:r>
      <w:r>
        <w:rPr>
          <w:rFonts w:hint="default" w:ascii="Times New Roman" w:hAnsi="Times New Roman" w:cs="Times New Roman"/>
        </w:rPr>
        <w:instrText xml:space="preserve"> HYPERLINK "https://congbao.chinhphu.vn/van-ban/nghi-dinh-so-70-2025-nd-cp-44623/55799.htm" </w:instrText>
      </w:r>
      <w:r>
        <w:rPr>
          <w:rFonts w:hint="default" w:ascii="Times New Roman" w:hAnsi="Times New Roman" w:cs="Times New Roman"/>
        </w:rPr>
        <w:fldChar w:fldCharType="separate"/>
      </w:r>
      <w:r>
        <w:rPr>
          <w:rStyle w:val="9"/>
          <w:rFonts w:hint="default" w:ascii="Times New Roman" w:hAnsi="Times New Roman" w:cs="Times New Roman"/>
        </w:rPr>
        <w:t>https://congbao.chinhphu.vn/van-ban/nghi-dinh-so-70-2025-nd-cp-44623/55799.htm</w:t>
      </w:r>
      <w:r>
        <w:rPr>
          <w:rFonts w:hint="default" w:ascii="Times New Roman" w:hAnsi="Times New Roman" w:cs="Times New Roman"/>
        </w:rPr>
        <w:fldChar w:fldCharType="end"/>
      </w:r>
    </w:p>
    <w:p w14:paraId="7538620B">
      <w:pPr>
        <w:spacing w:after="60"/>
        <w:ind w:left="288" w:hanging="288"/>
        <w:rPr>
          <w:rFonts w:hint="default" w:ascii="Times New Roman" w:hAnsi="Times New Roman" w:cs="Times New Roman"/>
          <w:color w:val="2E74B5"/>
          <w:u w:val="single"/>
        </w:rPr>
      </w:pPr>
      <w:r>
        <w:rPr>
          <w:rFonts w:hint="default" w:ascii="Times New Roman" w:hAnsi="Times New Roman" w:eastAsia="Calibri" w:cs="Times New Roman"/>
          <w:color w:val="202124"/>
          <w:sz w:val="19"/>
        </w:rPr>
        <w:t>[</w:t>
      </w:r>
      <w:r>
        <w:rPr>
          <w:rFonts w:hint="default" w:ascii="Times New Roman" w:hAnsi="Times New Roman" w:eastAsia="Calibri" w:cs="Times New Roman"/>
          <w:color w:val="202124"/>
          <w:sz w:val="19"/>
          <w:lang w:val="en-US"/>
        </w:rPr>
        <w:t>5</w:t>
      </w:r>
      <w:r>
        <w:rPr>
          <w:rFonts w:hint="default" w:ascii="Times New Roman" w:hAnsi="Times New Roman" w:eastAsia="Calibri" w:cs="Times New Roman"/>
          <w:color w:val="202124"/>
          <w:sz w:val="19"/>
        </w:rPr>
        <w:t xml:space="preserve">] Quốc hội, Luật Thuế giá trị gia tăng số 48/2024/QH15, 2024. </w:t>
      </w:r>
      <w:r>
        <w:rPr>
          <w:rFonts w:hint="default" w:ascii="Times New Roman" w:hAnsi="Times New Roman" w:cs="Times New Roman"/>
        </w:rPr>
        <w:fldChar w:fldCharType="begin"/>
      </w:r>
      <w:r>
        <w:rPr>
          <w:rFonts w:hint="default" w:ascii="Times New Roman" w:hAnsi="Times New Roman" w:cs="Times New Roman"/>
        </w:rPr>
        <w:instrText xml:space="preserve"> HYPERLINK "https://vanban.chinhphu.vn/?docid=212476&amp;pageid=27160" </w:instrText>
      </w:r>
      <w:r>
        <w:rPr>
          <w:rFonts w:hint="default" w:ascii="Times New Roman" w:hAnsi="Times New Roman" w:cs="Times New Roman"/>
        </w:rPr>
        <w:fldChar w:fldCharType="separate"/>
      </w:r>
      <w:r>
        <w:rPr>
          <w:rStyle w:val="9"/>
          <w:rFonts w:hint="default" w:ascii="Times New Roman" w:hAnsi="Times New Roman" w:cs="Times New Roman"/>
        </w:rPr>
        <w:t>https://vanban.chinhphu.vn/?docid=212476&amp;pageid=27160</w:t>
      </w:r>
      <w:r>
        <w:rPr>
          <w:rFonts w:hint="default" w:ascii="Times New Roman" w:hAnsi="Times New Roman" w:cs="Times New Roman"/>
        </w:rPr>
        <w:fldChar w:fldCharType="end"/>
      </w:r>
    </w:p>
    <w:p w14:paraId="79A99559">
      <w:pPr>
        <w:keepLines/>
        <w:numPr>
          <w:ilvl w:val="0"/>
          <w:numId w:val="0"/>
        </w:numPr>
        <w:spacing w:after="80" w:line="288" w:lineRule="auto"/>
        <w:ind w:left="660" w:leftChars="0"/>
        <w:rPr>
          <w:rFonts w:hint="default" w:ascii="Times New Roman" w:hAnsi="Times New Roman" w:eastAsia="Calibri" w:cs="Times New Roman"/>
          <w:color w:val="000000" w:themeColor="text1"/>
          <w:sz w:val="24"/>
          <w:szCs w:val="24"/>
          <w14:textFill>
            <w14:solidFill>
              <w14:schemeClr w14:val="tx1"/>
            </w14:solidFill>
          </w14:textFill>
        </w:rPr>
      </w:pPr>
    </w:p>
    <w:p w14:paraId="637DE6BB">
      <w:pPr>
        <w:pStyle w:val="13"/>
        <w:numPr>
          <w:ilvl w:val="0"/>
          <w:numId w:val="0"/>
        </w:numPr>
        <w:spacing w:after="120" w:line="240" w:lineRule="auto"/>
        <w:ind w:left="360" w:leftChars="0"/>
        <w:jc w:val="both"/>
        <w:rPr>
          <w:rFonts w:ascii="Times New Roman" w:hAnsi="Times New Roman" w:cs="Times New Roman"/>
          <w:b/>
          <w:color w:val="000000" w:themeColor="text1"/>
          <w:sz w:val="26"/>
          <w:szCs w:val="26"/>
          <w14:textFill>
            <w14:solidFill>
              <w14:schemeClr w14:val="tx1"/>
            </w14:solidFill>
          </w14:textFill>
        </w:rPr>
      </w:pPr>
    </w:p>
    <w:p w14:paraId="77AEDAF5">
      <w:pPr>
        <w:pStyle w:val="13"/>
        <w:spacing w:after="120" w:line="240" w:lineRule="auto"/>
        <w:ind w:left="284"/>
        <w:jc w:val="both"/>
        <w:rPr>
          <w:rFonts w:ascii="Times New Roman" w:hAnsi="Times New Roman" w:cs="Times New Roman"/>
          <w:b/>
          <w:color w:val="000000" w:themeColor="text1"/>
          <w:sz w:val="26"/>
          <w:szCs w:val="26"/>
          <w14:textFill>
            <w14:solidFill>
              <w14:schemeClr w14:val="tx1"/>
            </w14:solidFill>
          </w14:textFill>
        </w:rPr>
      </w:pPr>
    </w:p>
    <w:p w14:paraId="0A12F37A">
      <w:pPr>
        <w:pStyle w:val="13"/>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Danh sách các câu hỏi khi thu thập và làm rõ yêu cầu của ứng dụng</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9"/>
        <w:gridCol w:w="3176"/>
        <w:gridCol w:w="3838"/>
        <w:gridCol w:w="2778"/>
      </w:tblGrid>
      <w:tr w14:paraId="49E0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4" w:type="pct"/>
          </w:tcPr>
          <w:p w14:paraId="14133636">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STT</w:t>
            </w:r>
          </w:p>
        </w:tc>
        <w:tc>
          <w:tcPr>
            <w:tcW w:w="1520" w:type="pct"/>
          </w:tcPr>
          <w:p w14:paraId="40137382">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Ghi chú</w:t>
            </w:r>
          </w:p>
        </w:tc>
      </w:tr>
      <w:tr w14:paraId="46B4E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47CAB395">
            <w:pPr>
              <w:spacing w:after="120" w:line="240" w:lineRule="auto"/>
              <w:rPr>
                <w:rFonts w:ascii="Times New Roman" w:hAnsi="Times New Roman" w:cs="Times New Roman"/>
                <w:sz w:val="26"/>
                <w:szCs w:val="26"/>
              </w:rPr>
            </w:pPr>
            <w:r>
              <w:rPr>
                <w:rFonts w:ascii="Times New Roman" w:hAnsi="Times New Roman" w:cs="Times New Roman"/>
                <w:sz w:val="26"/>
                <w:szCs w:val="26"/>
              </w:rPr>
              <w:t>1.</w:t>
            </w:r>
          </w:p>
        </w:tc>
        <w:tc>
          <w:tcPr>
            <w:tcW w:w="1520" w:type="pct"/>
            <w:vAlign w:val="center"/>
          </w:tcPr>
          <w:p w14:paraId="46583438">
            <w:pPr>
              <w:spacing w:after="120" w:line="240" w:lineRule="auto"/>
              <w:jc w:val="both"/>
              <w:rPr>
                <w:rFonts w:ascii="Times New Roman" w:hAnsi="Times New Roman" w:cs="Times New Roman"/>
                <w:sz w:val="26"/>
                <w:szCs w:val="26"/>
              </w:rPr>
            </w:pPr>
          </w:p>
        </w:tc>
        <w:tc>
          <w:tcPr>
            <w:tcW w:w="1836" w:type="pct"/>
            <w:vAlign w:val="center"/>
          </w:tcPr>
          <w:p w14:paraId="40D8210F">
            <w:pPr>
              <w:spacing w:after="120" w:line="240" w:lineRule="auto"/>
              <w:jc w:val="both"/>
              <w:rPr>
                <w:rFonts w:ascii="Times New Roman" w:hAnsi="Times New Roman" w:cs="Times New Roman"/>
                <w:sz w:val="26"/>
                <w:szCs w:val="26"/>
              </w:rPr>
            </w:pPr>
          </w:p>
        </w:tc>
        <w:tc>
          <w:tcPr>
            <w:tcW w:w="1330" w:type="pct"/>
          </w:tcPr>
          <w:p w14:paraId="3E7918B0">
            <w:pPr>
              <w:spacing w:after="120" w:line="240" w:lineRule="auto"/>
              <w:jc w:val="both"/>
              <w:rPr>
                <w:rFonts w:ascii="Times New Roman" w:hAnsi="Times New Roman" w:cs="Times New Roman"/>
                <w:sz w:val="26"/>
                <w:szCs w:val="26"/>
              </w:rPr>
            </w:pPr>
          </w:p>
        </w:tc>
      </w:tr>
      <w:tr w14:paraId="16CC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245EEB7B">
            <w:pPr>
              <w:spacing w:after="120" w:line="240" w:lineRule="auto"/>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pPr>
              <w:spacing w:after="120" w:line="240" w:lineRule="auto"/>
              <w:jc w:val="both"/>
              <w:rPr>
                <w:rFonts w:ascii="Times New Roman" w:hAnsi="Times New Roman" w:cs="Times New Roman"/>
                <w:sz w:val="26"/>
                <w:szCs w:val="26"/>
              </w:rPr>
            </w:pPr>
          </w:p>
        </w:tc>
        <w:tc>
          <w:tcPr>
            <w:tcW w:w="1836" w:type="pct"/>
            <w:vAlign w:val="center"/>
          </w:tcPr>
          <w:p w14:paraId="0B8232EC">
            <w:pPr>
              <w:spacing w:after="120" w:line="240" w:lineRule="auto"/>
              <w:jc w:val="both"/>
              <w:rPr>
                <w:rFonts w:ascii="Times New Roman" w:hAnsi="Times New Roman" w:cs="Times New Roman"/>
                <w:sz w:val="26"/>
                <w:szCs w:val="26"/>
              </w:rPr>
            </w:pPr>
          </w:p>
        </w:tc>
        <w:tc>
          <w:tcPr>
            <w:tcW w:w="1330" w:type="pct"/>
          </w:tcPr>
          <w:p w14:paraId="1CE84C85">
            <w:pPr>
              <w:spacing w:after="120" w:line="240" w:lineRule="auto"/>
              <w:jc w:val="both"/>
              <w:rPr>
                <w:rFonts w:ascii="Times New Roman" w:hAnsi="Times New Roman" w:cs="Times New Roman"/>
                <w:sz w:val="26"/>
                <w:szCs w:val="26"/>
              </w:rPr>
            </w:pPr>
          </w:p>
        </w:tc>
      </w:tr>
      <w:tr w14:paraId="09641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38B57504">
            <w:pPr>
              <w:spacing w:after="120" w:line="240" w:lineRule="auto"/>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pPr>
              <w:spacing w:after="120" w:line="240" w:lineRule="auto"/>
              <w:jc w:val="both"/>
              <w:rPr>
                <w:rFonts w:ascii="Times New Roman" w:hAnsi="Times New Roman" w:cs="Times New Roman"/>
                <w:sz w:val="26"/>
                <w:szCs w:val="26"/>
              </w:rPr>
            </w:pPr>
          </w:p>
        </w:tc>
        <w:tc>
          <w:tcPr>
            <w:tcW w:w="1836" w:type="pct"/>
            <w:vAlign w:val="center"/>
          </w:tcPr>
          <w:p w14:paraId="36A1B606">
            <w:pPr>
              <w:spacing w:after="120" w:line="240" w:lineRule="auto"/>
              <w:jc w:val="both"/>
              <w:rPr>
                <w:rFonts w:ascii="Times New Roman" w:hAnsi="Times New Roman" w:cs="Times New Roman"/>
                <w:sz w:val="26"/>
                <w:szCs w:val="26"/>
              </w:rPr>
            </w:pPr>
          </w:p>
        </w:tc>
        <w:tc>
          <w:tcPr>
            <w:tcW w:w="1330" w:type="pct"/>
          </w:tcPr>
          <w:p w14:paraId="74D0CD62">
            <w:pPr>
              <w:spacing w:after="120" w:line="240" w:lineRule="auto"/>
              <w:jc w:val="both"/>
              <w:rPr>
                <w:rFonts w:ascii="Times New Roman" w:hAnsi="Times New Roman" w:cs="Times New Roman"/>
                <w:sz w:val="26"/>
                <w:szCs w:val="26"/>
              </w:rPr>
            </w:pPr>
          </w:p>
        </w:tc>
      </w:tr>
      <w:tr w14:paraId="6137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5F67BC12">
            <w:pPr>
              <w:spacing w:after="120" w:line="240" w:lineRule="auto"/>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pPr>
              <w:spacing w:after="120" w:line="240" w:lineRule="auto"/>
              <w:jc w:val="both"/>
              <w:rPr>
                <w:rFonts w:ascii="Times New Roman" w:hAnsi="Times New Roman" w:cs="Times New Roman"/>
                <w:sz w:val="26"/>
                <w:szCs w:val="26"/>
              </w:rPr>
            </w:pPr>
          </w:p>
        </w:tc>
        <w:tc>
          <w:tcPr>
            <w:tcW w:w="1836" w:type="pct"/>
            <w:vAlign w:val="center"/>
          </w:tcPr>
          <w:p w14:paraId="03D2CFDE">
            <w:pPr>
              <w:spacing w:after="120" w:line="240" w:lineRule="auto"/>
              <w:jc w:val="both"/>
              <w:rPr>
                <w:rFonts w:ascii="Times New Roman" w:hAnsi="Times New Roman" w:cs="Times New Roman"/>
                <w:sz w:val="26"/>
                <w:szCs w:val="26"/>
              </w:rPr>
            </w:pPr>
          </w:p>
        </w:tc>
        <w:tc>
          <w:tcPr>
            <w:tcW w:w="1330" w:type="pct"/>
          </w:tcPr>
          <w:p w14:paraId="497D2667">
            <w:pPr>
              <w:spacing w:after="120" w:line="240" w:lineRule="auto"/>
              <w:jc w:val="both"/>
              <w:rPr>
                <w:rFonts w:ascii="Times New Roman" w:hAnsi="Times New Roman" w:cs="Times New Roman"/>
                <w:sz w:val="26"/>
                <w:szCs w:val="26"/>
              </w:rPr>
            </w:pPr>
          </w:p>
        </w:tc>
      </w:tr>
      <w:tr w14:paraId="299AF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1B7DF9E4">
            <w:pPr>
              <w:spacing w:after="120" w:line="240" w:lineRule="auto"/>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pPr>
              <w:spacing w:after="120" w:line="240" w:lineRule="auto"/>
              <w:jc w:val="both"/>
              <w:rPr>
                <w:rFonts w:ascii="Times New Roman" w:hAnsi="Times New Roman" w:cs="Times New Roman"/>
                <w:sz w:val="26"/>
                <w:szCs w:val="26"/>
              </w:rPr>
            </w:pPr>
          </w:p>
        </w:tc>
        <w:tc>
          <w:tcPr>
            <w:tcW w:w="1836" w:type="pct"/>
            <w:vAlign w:val="center"/>
          </w:tcPr>
          <w:p w14:paraId="4E496393">
            <w:pPr>
              <w:spacing w:after="120" w:line="240" w:lineRule="auto"/>
              <w:jc w:val="both"/>
              <w:rPr>
                <w:rFonts w:ascii="Times New Roman" w:hAnsi="Times New Roman" w:cs="Times New Roman"/>
                <w:sz w:val="26"/>
                <w:szCs w:val="26"/>
              </w:rPr>
            </w:pPr>
          </w:p>
        </w:tc>
        <w:tc>
          <w:tcPr>
            <w:tcW w:w="1330" w:type="pct"/>
          </w:tcPr>
          <w:p w14:paraId="707DEA85">
            <w:pPr>
              <w:spacing w:after="120" w:line="240" w:lineRule="auto"/>
              <w:jc w:val="both"/>
              <w:rPr>
                <w:rFonts w:ascii="Times New Roman" w:hAnsi="Times New Roman" w:cs="Times New Roman"/>
                <w:sz w:val="26"/>
                <w:szCs w:val="26"/>
              </w:rPr>
            </w:pPr>
          </w:p>
        </w:tc>
      </w:tr>
      <w:tr w14:paraId="050E5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38A80907">
            <w:pPr>
              <w:spacing w:after="120" w:line="240" w:lineRule="auto"/>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pPr>
              <w:spacing w:after="120" w:line="240" w:lineRule="auto"/>
              <w:jc w:val="both"/>
              <w:rPr>
                <w:rFonts w:ascii="Times New Roman" w:hAnsi="Times New Roman" w:cs="Times New Roman"/>
                <w:sz w:val="26"/>
                <w:szCs w:val="26"/>
              </w:rPr>
            </w:pPr>
          </w:p>
        </w:tc>
        <w:tc>
          <w:tcPr>
            <w:tcW w:w="1836" w:type="pct"/>
            <w:vAlign w:val="center"/>
          </w:tcPr>
          <w:p w14:paraId="3DACE522">
            <w:pPr>
              <w:spacing w:after="120" w:line="240" w:lineRule="auto"/>
              <w:jc w:val="both"/>
              <w:rPr>
                <w:rFonts w:ascii="Times New Roman" w:hAnsi="Times New Roman" w:cs="Times New Roman"/>
                <w:sz w:val="26"/>
                <w:szCs w:val="26"/>
              </w:rPr>
            </w:pPr>
          </w:p>
        </w:tc>
        <w:tc>
          <w:tcPr>
            <w:tcW w:w="1330" w:type="pct"/>
          </w:tcPr>
          <w:p w14:paraId="2CDF13FB">
            <w:pPr>
              <w:spacing w:after="120" w:line="240" w:lineRule="auto"/>
              <w:jc w:val="both"/>
              <w:rPr>
                <w:rFonts w:ascii="Times New Roman" w:hAnsi="Times New Roman" w:cs="Times New Roman"/>
                <w:sz w:val="26"/>
                <w:szCs w:val="26"/>
              </w:rPr>
            </w:pPr>
          </w:p>
        </w:tc>
      </w:tr>
      <w:tr w14:paraId="1535E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9" w:hRule="atLeast"/>
        </w:trPr>
        <w:tc>
          <w:tcPr>
            <w:tcW w:w="314" w:type="pct"/>
            <w:vAlign w:val="center"/>
          </w:tcPr>
          <w:p w14:paraId="12BB638C">
            <w:pPr>
              <w:spacing w:after="120" w:line="240" w:lineRule="auto"/>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pPr>
              <w:spacing w:after="120" w:line="240" w:lineRule="auto"/>
              <w:jc w:val="both"/>
              <w:rPr>
                <w:rFonts w:ascii="Times New Roman" w:hAnsi="Times New Roman" w:cs="Times New Roman"/>
                <w:sz w:val="26"/>
                <w:szCs w:val="26"/>
              </w:rPr>
            </w:pPr>
          </w:p>
        </w:tc>
        <w:tc>
          <w:tcPr>
            <w:tcW w:w="1836" w:type="pct"/>
            <w:vAlign w:val="center"/>
          </w:tcPr>
          <w:p w14:paraId="5EBDF8CB">
            <w:pPr>
              <w:spacing w:after="120" w:line="240" w:lineRule="auto"/>
              <w:jc w:val="both"/>
              <w:rPr>
                <w:rFonts w:ascii="Times New Roman" w:hAnsi="Times New Roman" w:cs="Times New Roman"/>
                <w:sz w:val="26"/>
                <w:szCs w:val="26"/>
              </w:rPr>
            </w:pPr>
          </w:p>
        </w:tc>
        <w:tc>
          <w:tcPr>
            <w:tcW w:w="1330" w:type="pct"/>
          </w:tcPr>
          <w:p w14:paraId="38FE775C">
            <w:pPr>
              <w:spacing w:after="120" w:line="240" w:lineRule="auto"/>
              <w:jc w:val="both"/>
              <w:rPr>
                <w:rFonts w:ascii="Times New Roman" w:hAnsi="Times New Roman" w:cs="Times New Roman"/>
                <w:sz w:val="26"/>
                <w:szCs w:val="26"/>
              </w:rPr>
            </w:pPr>
          </w:p>
        </w:tc>
      </w:tr>
      <w:tr w14:paraId="73844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502C1009">
            <w:pPr>
              <w:spacing w:after="120" w:line="240" w:lineRule="auto"/>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pPr>
              <w:spacing w:after="120" w:line="240" w:lineRule="auto"/>
              <w:jc w:val="both"/>
              <w:rPr>
                <w:rFonts w:ascii="Times New Roman" w:hAnsi="Times New Roman" w:cs="Times New Roman"/>
                <w:sz w:val="26"/>
                <w:szCs w:val="26"/>
              </w:rPr>
            </w:pPr>
          </w:p>
        </w:tc>
        <w:tc>
          <w:tcPr>
            <w:tcW w:w="1836" w:type="pct"/>
            <w:vAlign w:val="center"/>
          </w:tcPr>
          <w:p w14:paraId="75877717">
            <w:pPr>
              <w:spacing w:after="120" w:line="240" w:lineRule="auto"/>
              <w:jc w:val="both"/>
              <w:rPr>
                <w:rFonts w:ascii="Times New Roman" w:hAnsi="Times New Roman" w:cs="Times New Roman"/>
                <w:sz w:val="26"/>
                <w:szCs w:val="26"/>
              </w:rPr>
            </w:pPr>
          </w:p>
        </w:tc>
        <w:tc>
          <w:tcPr>
            <w:tcW w:w="1330" w:type="pct"/>
          </w:tcPr>
          <w:p w14:paraId="68F0A8AF">
            <w:pPr>
              <w:spacing w:after="120" w:line="240" w:lineRule="auto"/>
              <w:jc w:val="both"/>
              <w:rPr>
                <w:rFonts w:ascii="Times New Roman" w:hAnsi="Times New Roman" w:cs="Times New Roman"/>
                <w:sz w:val="26"/>
                <w:szCs w:val="26"/>
              </w:rPr>
            </w:pPr>
          </w:p>
        </w:tc>
      </w:tr>
      <w:tr w14:paraId="6EC3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14" w:type="pct"/>
            <w:vAlign w:val="center"/>
          </w:tcPr>
          <w:p w14:paraId="33C54200">
            <w:pPr>
              <w:spacing w:after="120" w:line="240" w:lineRule="auto"/>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pPr>
              <w:spacing w:after="120" w:line="240" w:lineRule="auto"/>
              <w:jc w:val="both"/>
              <w:rPr>
                <w:rFonts w:ascii="Times New Roman" w:hAnsi="Times New Roman" w:cs="Times New Roman"/>
                <w:sz w:val="26"/>
                <w:szCs w:val="26"/>
              </w:rPr>
            </w:pPr>
          </w:p>
        </w:tc>
        <w:tc>
          <w:tcPr>
            <w:tcW w:w="1836" w:type="pct"/>
            <w:vAlign w:val="center"/>
          </w:tcPr>
          <w:p w14:paraId="5BCE3A9B">
            <w:pPr>
              <w:spacing w:after="120" w:line="240" w:lineRule="auto"/>
              <w:jc w:val="both"/>
              <w:rPr>
                <w:rFonts w:ascii="Times New Roman" w:hAnsi="Times New Roman" w:cs="Times New Roman"/>
                <w:sz w:val="26"/>
                <w:szCs w:val="26"/>
              </w:rPr>
            </w:pPr>
          </w:p>
        </w:tc>
        <w:tc>
          <w:tcPr>
            <w:tcW w:w="1330" w:type="pct"/>
          </w:tcPr>
          <w:p w14:paraId="11AB2BFF">
            <w:pPr>
              <w:spacing w:after="120" w:line="240" w:lineRule="auto"/>
              <w:jc w:val="both"/>
              <w:rPr>
                <w:rFonts w:ascii="Times New Roman" w:hAnsi="Times New Roman" w:cs="Times New Roman"/>
                <w:sz w:val="26"/>
                <w:szCs w:val="26"/>
              </w:rPr>
            </w:pPr>
          </w:p>
        </w:tc>
      </w:tr>
      <w:tr w14:paraId="11E5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9" w:hRule="atLeast"/>
        </w:trPr>
        <w:tc>
          <w:tcPr>
            <w:tcW w:w="314" w:type="pct"/>
            <w:vAlign w:val="center"/>
          </w:tcPr>
          <w:p w14:paraId="5E2DD22E">
            <w:pPr>
              <w:spacing w:after="120" w:line="240" w:lineRule="auto"/>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pPr>
              <w:spacing w:after="120" w:line="240" w:lineRule="auto"/>
              <w:jc w:val="both"/>
              <w:rPr>
                <w:rFonts w:ascii="Times New Roman" w:hAnsi="Times New Roman" w:cs="Times New Roman"/>
                <w:sz w:val="26"/>
                <w:szCs w:val="26"/>
              </w:rPr>
            </w:pPr>
          </w:p>
        </w:tc>
        <w:tc>
          <w:tcPr>
            <w:tcW w:w="1836" w:type="pct"/>
            <w:vAlign w:val="center"/>
          </w:tcPr>
          <w:p w14:paraId="562C3C5F">
            <w:pPr>
              <w:spacing w:after="120" w:line="240" w:lineRule="auto"/>
              <w:jc w:val="both"/>
              <w:rPr>
                <w:rFonts w:ascii="Times New Roman" w:hAnsi="Times New Roman" w:cs="Times New Roman"/>
                <w:sz w:val="26"/>
                <w:szCs w:val="26"/>
              </w:rPr>
            </w:pPr>
          </w:p>
        </w:tc>
        <w:tc>
          <w:tcPr>
            <w:tcW w:w="1330" w:type="pct"/>
          </w:tcPr>
          <w:p w14:paraId="7A14FAC6">
            <w:pPr>
              <w:spacing w:after="120" w:line="240" w:lineRule="auto"/>
              <w:jc w:val="both"/>
              <w:rPr>
                <w:rFonts w:ascii="Times New Roman" w:hAnsi="Times New Roman" w:cs="Times New Roman"/>
                <w:sz w:val="26"/>
                <w:szCs w:val="26"/>
              </w:rPr>
            </w:pPr>
          </w:p>
        </w:tc>
      </w:tr>
    </w:tbl>
    <w:p w14:paraId="2C278FE5">
      <w:pPr>
        <w:spacing w:after="120" w:line="240" w:lineRule="auto"/>
        <w:jc w:val="both"/>
        <w:rPr>
          <w:rFonts w:ascii="Times New Roman" w:hAnsi="Times New Roman" w:cs="Times New Roman"/>
          <w:sz w:val="26"/>
          <w:szCs w:val="26"/>
        </w:rPr>
      </w:pPr>
    </w:p>
    <w:p w14:paraId="04C81977">
      <w:pPr>
        <w:pStyle w:val="13"/>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cầu chức năng/phi chức năng của ứng dụng</w:t>
      </w:r>
    </w:p>
    <w:p w14:paraId="0B859278">
      <w:pPr>
        <w:spacing w:after="120" w:line="240" w:lineRule="auto"/>
        <w:jc w:val="both"/>
        <w:rPr>
          <w:rFonts w:ascii="Times New Roman" w:hAnsi="Times New Roman" w:cs="Times New Roman"/>
          <w:b/>
          <w:sz w:val="26"/>
          <w:szCs w:val="26"/>
        </w:rPr>
      </w:pPr>
    </w:p>
    <w:p w14:paraId="1E50CDD4">
      <w:pPr>
        <w:pStyle w:val="13"/>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dụng</w:t>
      </w:r>
    </w:p>
    <w:p w14:paraId="1CF4F564">
      <w:pPr>
        <w:pStyle w:val="13"/>
        <w:spacing w:after="120" w:line="240" w:lineRule="auto"/>
        <w:ind w:left="284"/>
        <w:jc w:val="both"/>
        <w:rPr>
          <w:rFonts w:ascii="Times New Roman" w:hAnsi="Times New Roman" w:cs="Times New Roman"/>
          <w:b/>
          <w:sz w:val="26"/>
          <w:szCs w:val="26"/>
        </w:rPr>
      </w:pPr>
    </w:p>
    <w:p w14:paraId="7C76B9B8">
      <w:pPr>
        <w:pStyle w:val="13"/>
        <w:numPr>
          <w:ilvl w:val="0"/>
          <w:numId w:val="2"/>
        </w:numPr>
        <w:spacing w:after="120" w:line="240" w:lineRule="auto"/>
        <w:ind w:left="284" w:hanging="284"/>
        <w:jc w:val="both"/>
        <w:rPr>
          <w:rFonts w:ascii="Times New Roman" w:hAnsi="Times New Roman" w:cs="Times New Roman"/>
          <w:b/>
          <w:sz w:val="26"/>
          <w:szCs w:val="26"/>
        </w:rPr>
      </w:pPr>
      <w:r>
        <w:rPr>
          <w:b/>
          <w:sz w:val="26"/>
        </w:rPr>
        <w:t>Các chức năng chính cho ứng dụng (Mục tiêu của ứng dụng)</w:t>
      </w:r>
    </w:p>
    <w:p w14:paraId="71BFB11E">
      <w:pPr>
        <w:pStyle w:val="13"/>
        <w:spacing w:after="120" w:line="240" w:lineRule="auto"/>
        <w:ind w:left="284"/>
        <w:jc w:val="both"/>
        <w:rPr>
          <w:rFonts w:ascii="Times New Roman" w:hAnsi="Times New Roman" w:cs="Times New Roman"/>
          <w:b/>
          <w:i/>
          <w:iCs/>
          <w:color w:val="FF0000"/>
          <w:sz w:val="26"/>
          <w:szCs w:val="26"/>
        </w:rPr>
      </w:pPr>
      <w:r>
        <w:rPr>
          <w:rFonts w:ascii="Times New Roman" w:hAnsi="Times New Roman" w:cs="Times New Roman"/>
          <w:b/>
          <w:i/>
          <w:iCs/>
          <w:color w:val="FF0000"/>
          <w:sz w:val="26"/>
          <w:szCs w:val="26"/>
        </w:rPr>
        <w:t>Link nhật ký</w:t>
      </w:r>
    </w:p>
    <w:p w14:paraId="61FAADAE">
      <w:pPr>
        <w:spacing w:after="120" w:line="240" w:lineRule="auto"/>
        <w:rPr>
          <w:rFonts w:ascii="Times New Roman" w:hAnsi="Times New Roman" w:cs="Times New Roman"/>
          <w:b/>
          <w:sz w:val="26"/>
          <w:szCs w:val="26"/>
        </w:rPr>
      </w:pPr>
    </w:p>
    <w:p w14:paraId="68E5C7B2">
      <w:pPr>
        <w:spacing w:after="120" w:line="240" w:lineRule="auto"/>
        <w:jc w:val="both"/>
        <w:rPr>
          <w:rFonts w:ascii="Times New Roman" w:hAnsi="Times New Roman" w:cs="Times New Roman"/>
          <w:b/>
          <w:sz w:val="26"/>
          <w:szCs w:val="26"/>
        </w:rPr>
      </w:pPr>
    </w:p>
    <w:sectPr>
      <w:headerReference r:id="rId7" w:type="first"/>
      <w:footerReference r:id="rId10" w:type="first"/>
      <w:headerReference r:id="rId5" w:type="default"/>
      <w:footerReference r:id="rId8" w:type="default"/>
      <w:headerReference r:id="rId6" w:type="even"/>
      <w:footerReference r:id="rId9" w:type="even"/>
      <w:pgSz w:w="12240" w:h="15840"/>
      <w:pgMar w:top="851" w:right="851" w:bottom="851" w:left="1134"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i/>
        <w:sz w:val="26"/>
        <w:szCs w:val="26"/>
      </w:rPr>
      <w:id w:val="222028448"/>
      <w:docPartObj>
        <w:docPartGallery w:val="autotext"/>
      </w:docPartObj>
    </w:sdtPr>
    <w:sdtEndPr>
      <w:rPr>
        <w:rFonts w:asciiTheme="minorHAnsi" w:hAnsiTheme="minorHAnsi" w:cstheme="minorBidi"/>
        <w:i w:val="0"/>
        <w:sz w:val="22"/>
        <w:szCs w:val="22"/>
      </w:rPr>
    </w:sdtEndPr>
    <w:sdtContent>
      <w:p w14:paraId="4D56953B">
        <w:pPr>
          <w:pStyle w:val="7"/>
          <w:spacing w:before="60"/>
          <w:jc w:val="center"/>
        </w:pPr>
        <w:r>
          <w:rPr>
            <w:rFonts w:ascii="Times New Roman" w:hAnsi="Times New Roman" w:cs="Times New Roman"/>
            <w:i/>
            <w:sz w:val="26"/>
            <w:szCs w:val="26"/>
            <w:lang w:val="en-AU" w:eastAsia="zh-CN"/>
          </w:rPr>
          <mc:AlternateContent>
            <mc:Choice Requires="wps">
              <w:drawing>
                <wp:anchor distT="0" distB="0" distL="114300" distR="114300" simplePos="0" relativeHeight="251659264" behindDoc="0" locked="0" layoutInCell="1" allowOverlap="1">
                  <wp:simplePos x="0" y="0"/>
                  <wp:positionH relativeFrom="column">
                    <wp:posOffset>10795</wp:posOffset>
                  </wp:positionH>
                  <wp:positionV relativeFrom="paragraph">
                    <wp:posOffset>6350</wp:posOffset>
                  </wp:positionV>
                  <wp:extent cx="665988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85pt;margin-top:0.5pt;height:0pt;width:524.4pt;z-index:251659264;mso-width-relative:page;mso-height-relative:page;" filled="f" stroked="t" coordsize="21600,21600" o:gfxdata="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j1TNNIAAAAGAQAADwAAAAAAAAABACAAAAAiAAAAZHJzL2Rv&#10;d25yZXYueG1sUEsBAhQAFAAAAAgAh07iQHFpUx/OAQAAtAMAAA4AAAAAAAAAAQAgAAAAIQEAAGRy&#10;cy9lMm9Eb2MueG1sUEsFBgAAAAAGAAYAWQEAAGEFAAAAAA==&#10;">
                  <v:fill on="f" focussize="0,0"/>
                  <v:stroke weight="0.5pt" color="#000000 [3200]" miterlimit="8" joinstyle="miter"/>
                  <v:imagedata o:title=""/>
                  <o:lock v:ext="edit" aspectratio="f"/>
                </v:line>
              </w:pict>
            </mc:Fallback>
          </mc:AlternateContent>
        </w:r>
        <w:r>
          <w:rPr>
            <w:rFonts w:ascii="Times New Roman" w:hAnsi="Times New Roman" w:cs="Times New Roman"/>
            <w:i/>
            <w:sz w:val="26"/>
            <w:szCs w:val="26"/>
          </w:rPr>
          <w:t>Khoa Công nghệ thông tin – Trường Đại học Công nghiệp TP. Hồ Chí Minh</w:t>
        </w:r>
        <w:r>
          <w:t xml:space="preserve"> </w:t>
        </w:r>
        <w:r>
          <w:tab/>
        </w:r>
        <w: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   \* MERGEFORMAT </w:instrText>
        </w:r>
        <w:r>
          <w:rPr>
            <w:rFonts w:ascii="Times New Roman" w:hAnsi="Times New Roman" w:cs="Times New Roman"/>
            <w:i/>
            <w:sz w:val="26"/>
            <w:szCs w:val="26"/>
          </w:rPr>
          <w:fldChar w:fldCharType="separate"/>
        </w:r>
        <w:r>
          <w:rPr>
            <w:rFonts w:ascii="Times New Roman" w:hAnsi="Times New Roman" w:cs="Times New Roman"/>
            <w:i/>
            <w:sz w:val="26"/>
            <w:szCs w:val="26"/>
          </w:rPr>
          <w:t>2</w:t>
        </w:r>
        <w:r>
          <w:rPr>
            <w:rFonts w:ascii="Times New Roman" w:hAnsi="Times New Roman" w:cs="Times New Roman"/>
            <w:i/>
            <w:sz w:val="26"/>
            <w:szCs w:val="26"/>
          </w:rPr>
          <w:fldChar w:fldCharType="end"/>
        </w:r>
      </w:p>
    </w:sdtContent>
  </w:sdt>
  <w:p w14:paraId="0DA7D7AC">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72BEE">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09649">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62182">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0134C">
    <w:pPr>
      <w:pStyle w:val="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DE1BF7">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9A337C"/>
    <w:multiLevelType w:val="multilevel"/>
    <w:tmpl w:val="999A337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6774E58"/>
    <w:multiLevelType w:val="multilevel"/>
    <w:tmpl w:val="B6774E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17AB920"/>
    <w:multiLevelType w:val="multilevel"/>
    <w:tmpl w:val="C17AB9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CC90A7"/>
    <w:multiLevelType w:val="multilevel"/>
    <w:tmpl w:val="F5CC90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053208E"/>
    <w:multiLevelType w:val="multilevel"/>
    <w:tmpl w:val="0053208E"/>
    <w:lvl w:ilvl="0" w:tentative="0">
      <w:start w:val="1"/>
      <w:numFmt w:val="bullet"/>
      <w:suff w:val="space"/>
      <w:lvlText w:val="•"/>
      <w:lvlJc w:val="left"/>
      <w:pPr>
        <w:ind w:left="540" w:hanging="300"/>
      </w:pPr>
      <w:rPr>
        <w:rFonts w:ascii="Arial" w:hAnsi="Arial"/>
      </w:rPr>
    </w:lvl>
    <w:lvl w:ilvl="1" w:tentative="0">
      <w:start w:val="1"/>
      <w:numFmt w:val="bullet"/>
      <w:suff w:val="space"/>
      <w:lvlText w:val="○"/>
      <w:lvlJc w:val="left"/>
      <w:pPr>
        <w:ind w:left="900" w:hanging="300"/>
      </w:pPr>
      <w:rPr>
        <w:rFonts w:ascii="Arial" w:hAnsi="Arial"/>
      </w:rPr>
    </w:lvl>
  </w:abstractNum>
  <w:abstractNum w:abstractNumId="5">
    <w:nsid w:val="233EA669"/>
    <w:multiLevelType w:val="multilevel"/>
    <w:tmpl w:val="233EA6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53FD5395"/>
    <w:multiLevelType w:val="multilevel"/>
    <w:tmpl w:val="53FD5395"/>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779C310"/>
    <w:multiLevelType w:val="multilevel"/>
    <w:tmpl w:val="5779C3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664646E2"/>
    <w:multiLevelType w:val="multilevel"/>
    <w:tmpl w:val="664646E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6E120C7B"/>
    <w:multiLevelType w:val="multilevel"/>
    <w:tmpl w:val="6E120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79BF5A33"/>
    <w:multiLevelType w:val="multilevel"/>
    <w:tmpl w:val="79BF5A3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0"/>
  </w:num>
  <w:num w:numId="2">
    <w:abstractNumId w:val="8"/>
  </w:num>
  <w:num w:numId="3">
    <w:abstractNumId w:val="6"/>
  </w:num>
  <w:num w:numId="4">
    <w:abstractNumId w:val="4"/>
  </w:num>
  <w:num w:numId="5">
    <w:abstractNumId w:val="0"/>
  </w:num>
  <w:num w:numId="6">
    <w:abstractNumId w:val="7"/>
  </w:num>
  <w:num w:numId="7">
    <w:abstractNumId w:val="5"/>
  </w:num>
  <w:num w:numId="8">
    <w:abstractNumId w:val="9"/>
  </w:num>
  <w:num w:numId="9">
    <w:abstractNumId w:val="3"/>
  </w:num>
  <w:num w:numId="10">
    <w:abstractNumId w:val="1"/>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842"/>
    <w:rsid w:val="00031F73"/>
    <w:rsid w:val="00033697"/>
    <w:rsid w:val="00053A18"/>
    <w:rsid w:val="000557FC"/>
    <w:rsid w:val="0007450D"/>
    <w:rsid w:val="00084C13"/>
    <w:rsid w:val="0010503A"/>
    <w:rsid w:val="0011769B"/>
    <w:rsid w:val="001225F3"/>
    <w:rsid w:val="001643E3"/>
    <w:rsid w:val="00173230"/>
    <w:rsid w:val="00180938"/>
    <w:rsid w:val="00193E17"/>
    <w:rsid w:val="00214A6F"/>
    <w:rsid w:val="00214BDA"/>
    <w:rsid w:val="0023461A"/>
    <w:rsid w:val="00234C3A"/>
    <w:rsid w:val="002477E2"/>
    <w:rsid w:val="00251A54"/>
    <w:rsid w:val="002A3715"/>
    <w:rsid w:val="002C39C2"/>
    <w:rsid w:val="002D6594"/>
    <w:rsid w:val="002D7FAE"/>
    <w:rsid w:val="00335D4C"/>
    <w:rsid w:val="00345D80"/>
    <w:rsid w:val="00350ABB"/>
    <w:rsid w:val="00357E48"/>
    <w:rsid w:val="003656FF"/>
    <w:rsid w:val="003B199F"/>
    <w:rsid w:val="003D24EB"/>
    <w:rsid w:val="00464561"/>
    <w:rsid w:val="00467DC6"/>
    <w:rsid w:val="00472490"/>
    <w:rsid w:val="00472CA7"/>
    <w:rsid w:val="004873AD"/>
    <w:rsid w:val="00501A33"/>
    <w:rsid w:val="00514644"/>
    <w:rsid w:val="00523500"/>
    <w:rsid w:val="005343C1"/>
    <w:rsid w:val="00556651"/>
    <w:rsid w:val="00581771"/>
    <w:rsid w:val="00602A3E"/>
    <w:rsid w:val="00660CCB"/>
    <w:rsid w:val="00693E9B"/>
    <w:rsid w:val="006B09C2"/>
    <w:rsid w:val="006B7199"/>
    <w:rsid w:val="006C21F4"/>
    <w:rsid w:val="006C49A1"/>
    <w:rsid w:val="006D1ABE"/>
    <w:rsid w:val="006F231E"/>
    <w:rsid w:val="006F581E"/>
    <w:rsid w:val="00713147"/>
    <w:rsid w:val="00781B0A"/>
    <w:rsid w:val="007E37F3"/>
    <w:rsid w:val="007F57F2"/>
    <w:rsid w:val="00880E63"/>
    <w:rsid w:val="008861C0"/>
    <w:rsid w:val="008D58BE"/>
    <w:rsid w:val="008E1DE1"/>
    <w:rsid w:val="008F0FFE"/>
    <w:rsid w:val="008F621A"/>
    <w:rsid w:val="0092537E"/>
    <w:rsid w:val="009427CD"/>
    <w:rsid w:val="009430FE"/>
    <w:rsid w:val="009445B2"/>
    <w:rsid w:val="009540A4"/>
    <w:rsid w:val="00961356"/>
    <w:rsid w:val="00962003"/>
    <w:rsid w:val="00991EE6"/>
    <w:rsid w:val="00995E9B"/>
    <w:rsid w:val="009D60D6"/>
    <w:rsid w:val="00A1252A"/>
    <w:rsid w:val="00A922D2"/>
    <w:rsid w:val="00AA4F52"/>
    <w:rsid w:val="00AA7E8F"/>
    <w:rsid w:val="00AD4E80"/>
    <w:rsid w:val="00AF53F6"/>
    <w:rsid w:val="00B54201"/>
    <w:rsid w:val="00B768ED"/>
    <w:rsid w:val="00BC5534"/>
    <w:rsid w:val="00BD5E90"/>
    <w:rsid w:val="00C423F2"/>
    <w:rsid w:val="00CF42C2"/>
    <w:rsid w:val="00D267CA"/>
    <w:rsid w:val="00D4178C"/>
    <w:rsid w:val="00D9045B"/>
    <w:rsid w:val="00DA3136"/>
    <w:rsid w:val="00DC3842"/>
    <w:rsid w:val="00DD7694"/>
    <w:rsid w:val="00E1675A"/>
    <w:rsid w:val="00E36C53"/>
    <w:rsid w:val="00E37EAE"/>
    <w:rsid w:val="00EA4C97"/>
    <w:rsid w:val="00EE6F4E"/>
    <w:rsid w:val="00EF68BD"/>
    <w:rsid w:val="00F215FD"/>
    <w:rsid w:val="00F23AFE"/>
    <w:rsid w:val="00F72385"/>
    <w:rsid w:val="00F7599C"/>
    <w:rsid w:val="00F9133A"/>
    <w:rsid w:val="00FF7B38"/>
    <w:rsid w:val="0BAA2626"/>
    <w:rsid w:val="0C375F99"/>
    <w:rsid w:val="16BF5A8E"/>
    <w:rsid w:val="52E11450"/>
    <w:rsid w:val="5E9E26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3">
    <w:name w:val="heading 2"/>
    <w:basedOn w:val="1"/>
    <w:next w:val="1"/>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4">
    <w:name w:val="heading 3"/>
    <w:basedOn w:val="1"/>
    <w:next w:val="1"/>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footer"/>
    <w:basedOn w:val="1"/>
    <w:link w:val="15"/>
    <w:unhideWhenUsed/>
    <w:qFormat/>
    <w:uiPriority w:val="99"/>
    <w:pPr>
      <w:tabs>
        <w:tab w:val="center" w:pos="4680"/>
        <w:tab w:val="right" w:pos="9360"/>
      </w:tabs>
      <w:spacing w:after="0" w:line="240" w:lineRule="auto"/>
    </w:pPr>
  </w:style>
  <w:style w:type="paragraph" w:styleId="8">
    <w:name w:val="header"/>
    <w:basedOn w:val="1"/>
    <w:link w:val="14"/>
    <w:unhideWhenUsed/>
    <w:qFormat/>
    <w:uiPriority w:val="99"/>
    <w:pPr>
      <w:tabs>
        <w:tab w:val="center" w:pos="4680"/>
        <w:tab w:val="right" w:pos="9360"/>
      </w:tabs>
      <w:spacing w:after="0" w:line="240" w:lineRule="auto"/>
    </w:pPr>
  </w:style>
  <w:style w:type="character" w:styleId="9">
    <w:name w:val="Hyperlink"/>
    <w:basedOn w:val="5"/>
    <w:semiHidden/>
    <w:unhideWhenUsed/>
    <w:uiPriority w:val="99"/>
    <w:rPr>
      <w:color w:val="0000FF"/>
      <w:u w:val="single"/>
    </w:rPr>
  </w:style>
  <w:style w:type="paragraph" w:styleId="1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22"/>
    <w:rPr>
      <w:b/>
      <w:bCs/>
    </w:rPr>
  </w:style>
  <w:style w:type="table" w:styleId="12">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List Paragraph"/>
    <w:basedOn w:val="1"/>
    <w:qFormat/>
    <w:uiPriority w:val="34"/>
    <w:pPr>
      <w:ind w:left="720"/>
      <w:contextualSpacing/>
    </w:pPr>
  </w:style>
  <w:style w:type="character" w:customStyle="1" w:styleId="14">
    <w:name w:val="Header Char"/>
    <w:basedOn w:val="5"/>
    <w:link w:val="8"/>
    <w:qFormat/>
    <w:uiPriority w:val="99"/>
  </w:style>
  <w:style w:type="character" w:customStyle="1" w:styleId="15">
    <w:name w:val="Footer Char"/>
    <w:basedOn w:val="5"/>
    <w:link w:val="7"/>
    <w:qFormat/>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2252</Words>
  <Characters>8718</Characters>
  <Lines>5</Lines>
  <Paragraphs>1</Paragraphs>
  <TotalTime>24</TotalTime>
  <ScaleCrop>false</ScaleCrop>
  <LinksUpToDate>false</LinksUpToDate>
  <CharactersWithSpaces>10853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2016-07-07T01:24:00Z</dcterms:created>
  <dc:creator>Thanh Van</dc:creator>
  <cp:lastModifiedBy>Trần Phúc Khang 12</cp:lastModifiedBy>
  <dcterms:modified xsi:type="dcterms:W3CDTF">2026-08-21T15:05:33Z</dcterms:modified>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eyJoZGlkIjoiOTYzMTFkMTUwYmYzYjBjZTM2ZDhlZDdmNzhmNWYwOTciLCJ1c2VySWQiOiIxMzkxODc1NDAzMjIwIn0=</vt:lpwstr>
  </property>
  <property fmtid="{D5CDD505-2E9C-101B-9397-08002B2CF9AE}" pid="3" name="KSOProductBuildVer">
    <vt:lpwstr>1033-12.1.0.28032</vt:lpwstr>
  </property>
  <property fmtid="{D5CDD505-2E9C-101B-9397-08002B2CF9AE}" pid="4" name="ICV">
    <vt:lpwstr>56FFC36125E94C97986B7A4FF53FCE5B_13</vt:lpwstr>
  </property>
</Properties>
</file>