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DF8BD">
      <w:pPr>
        <w:spacing w:after="60"/>
      </w:pPr>
      <w:r>
        <w:rPr>
          <w:rFonts w:ascii="Calibri" w:hAnsi="Calibri" w:eastAsia="Calibri"/>
          <w:b/>
          <w:color w:val="2E74B5"/>
          <w:sz w:val="24"/>
        </w:rPr>
        <w:t>PHẦN IV</w:t>
      </w:r>
    </w:p>
    <w:p w14:paraId="173464FB">
      <w:pPr>
        <w:spacing w:after="100"/>
      </w:pPr>
      <w:r>
        <w:rPr>
          <w:rFonts w:ascii="Calibri" w:hAnsi="Calibri" w:eastAsia="Calibri"/>
          <w:b/>
          <w:color w:val="0B2545"/>
          <w:sz w:val="44"/>
        </w:rPr>
        <w:t>DỊCH VỤ, CHI PHÍ VÀ THANH TOÁN</w:t>
      </w:r>
      <w:bookmarkStart w:id="0" w:name="_GoBack"/>
      <w:bookmarkEnd w:id="0"/>
    </w:p>
    <w:p w14:paraId="79D8F325">
      <w:pPr>
        <w:pStyle w:val="2"/>
      </w:pPr>
      <w:r>
        <w:t>A. Khảo sát hiện trạng</w:t>
      </w:r>
    </w:p>
    <w:p w14:paraId="04485D97">
      <w:pPr>
        <w:pStyle w:val="3"/>
      </w:pPr>
      <w:r>
        <w:t>1. Dịch vụ nha khoa</w:t>
      </w:r>
    </w:p>
    <w:p w14:paraId="6A2F904A">
      <w:pPr>
        <w:pStyle w:val="4"/>
      </w:pPr>
      <w:r>
        <w:t>1.1. Các dịch vụ thường được cung cấp</w:t>
      </w:r>
    </w:p>
    <w:p w14:paraId="51F76A61">
      <w:r>
        <w:t>Qua khảo sát bảng giá công khai của một cơ sở nha khoa, phòng khám thường cung cấp các nhóm dịch vụ sau:</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0"/>
        <w:gridCol w:w="3380"/>
        <w:gridCol w:w="1600"/>
        <w:gridCol w:w="3760"/>
      </w:tblGrid>
      <w:tr w14:paraId="2FBD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20" w:type="dxa"/>
            <w:shd w:val="clear" w:color="auto" w:fill="2E74B5"/>
            <w:tcMar>
              <w:top w:w="70" w:type="dxa"/>
              <w:left w:w="120" w:type="dxa"/>
              <w:bottom w:w="70" w:type="dxa"/>
              <w:right w:w="120" w:type="dxa"/>
            </w:tcMar>
            <w:vAlign w:val="center"/>
          </w:tcPr>
          <w:p w14:paraId="5C9C8667">
            <w:pPr>
              <w:spacing w:before="0" w:after="0" w:line="240" w:lineRule="auto"/>
              <w:jc w:val="center"/>
            </w:pPr>
            <w:r>
              <w:rPr>
                <w:rFonts w:ascii="Calibri" w:hAnsi="Calibri" w:eastAsia="Calibri"/>
                <w:b/>
                <w:color w:val="FFFFFF"/>
                <w:sz w:val="18"/>
              </w:rPr>
              <w:t>STT</w:t>
            </w:r>
          </w:p>
        </w:tc>
        <w:tc>
          <w:tcPr>
            <w:tcW w:w="3380" w:type="dxa"/>
            <w:shd w:val="clear" w:color="auto" w:fill="2E74B5"/>
            <w:tcMar>
              <w:top w:w="70" w:type="dxa"/>
              <w:left w:w="120" w:type="dxa"/>
              <w:bottom w:w="70" w:type="dxa"/>
              <w:right w:w="120" w:type="dxa"/>
            </w:tcMar>
            <w:vAlign w:val="center"/>
          </w:tcPr>
          <w:p w14:paraId="43B4C8BE">
            <w:pPr>
              <w:spacing w:before="0" w:after="0" w:line="240" w:lineRule="auto"/>
              <w:jc w:val="left"/>
            </w:pPr>
            <w:r>
              <w:rPr>
                <w:rFonts w:ascii="Calibri" w:hAnsi="Calibri" w:eastAsia="Calibri"/>
                <w:b/>
                <w:color w:val="FFFFFF"/>
                <w:sz w:val="18"/>
              </w:rPr>
              <w:t>Dịch vụ</w:t>
            </w:r>
          </w:p>
        </w:tc>
        <w:tc>
          <w:tcPr>
            <w:tcW w:w="1600" w:type="dxa"/>
            <w:shd w:val="clear" w:color="auto" w:fill="2E74B5"/>
            <w:tcMar>
              <w:top w:w="70" w:type="dxa"/>
              <w:left w:w="120" w:type="dxa"/>
              <w:bottom w:w="70" w:type="dxa"/>
              <w:right w:w="120" w:type="dxa"/>
            </w:tcMar>
            <w:vAlign w:val="center"/>
          </w:tcPr>
          <w:p w14:paraId="2B719976">
            <w:pPr>
              <w:spacing w:before="0" w:after="0" w:line="240" w:lineRule="auto"/>
              <w:jc w:val="center"/>
            </w:pPr>
            <w:r>
              <w:rPr>
                <w:rFonts w:ascii="Calibri" w:hAnsi="Calibri" w:eastAsia="Calibri"/>
                <w:b/>
                <w:color w:val="FFFFFF"/>
                <w:sz w:val="18"/>
              </w:rPr>
              <w:t>Đơn vị tính</w:t>
            </w:r>
          </w:p>
        </w:tc>
        <w:tc>
          <w:tcPr>
            <w:tcW w:w="3760" w:type="dxa"/>
            <w:shd w:val="clear" w:color="auto" w:fill="2E74B5"/>
            <w:tcMar>
              <w:top w:w="70" w:type="dxa"/>
              <w:left w:w="120" w:type="dxa"/>
              <w:bottom w:w="70" w:type="dxa"/>
              <w:right w:w="120" w:type="dxa"/>
            </w:tcMar>
            <w:vAlign w:val="center"/>
          </w:tcPr>
          <w:p w14:paraId="4982695B">
            <w:pPr>
              <w:spacing w:before="0" w:after="0" w:line="240" w:lineRule="auto"/>
              <w:jc w:val="left"/>
            </w:pPr>
            <w:r>
              <w:rPr>
                <w:rFonts w:ascii="Calibri" w:hAnsi="Calibri" w:eastAsia="Calibri"/>
                <w:b/>
                <w:color w:val="FFFFFF"/>
                <w:sz w:val="18"/>
              </w:rPr>
              <w:t>Mức giá tham khảo</w:t>
            </w:r>
          </w:p>
        </w:tc>
      </w:tr>
      <w:tr w14:paraId="171E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6AFEAC1B">
            <w:pPr>
              <w:spacing w:before="0" w:after="0" w:line="240" w:lineRule="auto"/>
              <w:jc w:val="center"/>
            </w:pPr>
            <w:r>
              <w:rPr>
                <w:rFonts w:ascii="Calibri" w:hAnsi="Calibri" w:eastAsia="Calibri"/>
                <w:b w:val="0"/>
                <w:sz w:val="18"/>
              </w:rPr>
              <w:t>1</w:t>
            </w:r>
          </w:p>
        </w:tc>
        <w:tc>
          <w:tcPr>
            <w:tcW w:w="3380" w:type="dxa"/>
            <w:tcMar>
              <w:top w:w="70" w:type="dxa"/>
              <w:left w:w="120" w:type="dxa"/>
              <w:bottom w:w="70" w:type="dxa"/>
              <w:right w:w="120" w:type="dxa"/>
            </w:tcMar>
            <w:vAlign w:val="center"/>
          </w:tcPr>
          <w:p w14:paraId="0A1E60A4">
            <w:pPr>
              <w:spacing w:before="0" w:after="0" w:line="240" w:lineRule="auto"/>
              <w:jc w:val="left"/>
            </w:pPr>
            <w:r>
              <w:rPr>
                <w:rFonts w:ascii="Calibri" w:hAnsi="Calibri" w:eastAsia="Calibri"/>
                <w:b w:val="0"/>
                <w:sz w:val="18"/>
              </w:rPr>
              <w:t>Khám và tư vấn tổng quát</w:t>
            </w:r>
          </w:p>
        </w:tc>
        <w:tc>
          <w:tcPr>
            <w:tcW w:w="1600" w:type="dxa"/>
            <w:tcMar>
              <w:top w:w="70" w:type="dxa"/>
              <w:left w:w="120" w:type="dxa"/>
              <w:bottom w:w="70" w:type="dxa"/>
              <w:right w:w="120" w:type="dxa"/>
            </w:tcMar>
            <w:vAlign w:val="center"/>
          </w:tcPr>
          <w:p w14:paraId="7515D0A4">
            <w:pPr>
              <w:spacing w:before="0" w:after="0" w:line="240" w:lineRule="auto"/>
              <w:jc w:val="center"/>
            </w:pPr>
            <w:r>
              <w:rPr>
                <w:rFonts w:ascii="Calibri" w:hAnsi="Calibri" w:eastAsia="Calibri"/>
                <w:b w:val="0"/>
                <w:sz w:val="18"/>
              </w:rPr>
              <w:t>Lần</w:t>
            </w:r>
          </w:p>
        </w:tc>
        <w:tc>
          <w:tcPr>
            <w:tcW w:w="3760" w:type="dxa"/>
            <w:tcMar>
              <w:top w:w="70" w:type="dxa"/>
              <w:left w:w="120" w:type="dxa"/>
              <w:bottom w:w="70" w:type="dxa"/>
              <w:right w:w="120" w:type="dxa"/>
            </w:tcMar>
            <w:vAlign w:val="center"/>
          </w:tcPr>
          <w:p w14:paraId="7CC234EC">
            <w:pPr>
              <w:spacing w:before="0" w:after="0" w:line="240" w:lineRule="auto"/>
              <w:jc w:val="left"/>
            </w:pPr>
            <w:r>
              <w:rPr>
                <w:rFonts w:ascii="Calibri" w:hAnsi="Calibri" w:eastAsia="Calibri"/>
                <w:b w:val="0"/>
                <w:sz w:val="18"/>
              </w:rPr>
              <w:t>Miễn phí hoặc tính phí tùy phòng khám</w:t>
            </w:r>
          </w:p>
        </w:tc>
      </w:tr>
      <w:tr w14:paraId="031E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1311A074">
            <w:pPr>
              <w:spacing w:before="0" w:after="0" w:line="240" w:lineRule="auto"/>
              <w:jc w:val="center"/>
            </w:pPr>
            <w:r>
              <w:rPr>
                <w:rFonts w:ascii="Calibri" w:hAnsi="Calibri" w:eastAsia="Calibri"/>
                <w:b w:val="0"/>
                <w:sz w:val="18"/>
              </w:rPr>
              <w:t>2</w:t>
            </w:r>
          </w:p>
        </w:tc>
        <w:tc>
          <w:tcPr>
            <w:tcW w:w="3380" w:type="dxa"/>
            <w:shd w:val="clear" w:color="auto" w:fill="F2F4F7"/>
            <w:tcMar>
              <w:top w:w="70" w:type="dxa"/>
              <w:left w:w="120" w:type="dxa"/>
              <w:bottom w:w="70" w:type="dxa"/>
              <w:right w:w="120" w:type="dxa"/>
            </w:tcMar>
            <w:vAlign w:val="center"/>
          </w:tcPr>
          <w:p w14:paraId="0411C144">
            <w:pPr>
              <w:spacing w:before="0" w:after="0" w:line="240" w:lineRule="auto"/>
              <w:jc w:val="left"/>
            </w:pPr>
            <w:r>
              <w:rPr>
                <w:rFonts w:ascii="Calibri" w:hAnsi="Calibri" w:eastAsia="Calibri"/>
                <w:b w:val="0"/>
                <w:sz w:val="18"/>
              </w:rPr>
              <w:t>Cạo vôi, đánh bóng răng</w:t>
            </w:r>
          </w:p>
        </w:tc>
        <w:tc>
          <w:tcPr>
            <w:tcW w:w="1600" w:type="dxa"/>
            <w:shd w:val="clear" w:color="auto" w:fill="F2F4F7"/>
            <w:tcMar>
              <w:top w:w="70" w:type="dxa"/>
              <w:left w:w="120" w:type="dxa"/>
              <w:bottom w:w="70" w:type="dxa"/>
              <w:right w:w="120" w:type="dxa"/>
            </w:tcMar>
            <w:vAlign w:val="center"/>
          </w:tcPr>
          <w:p w14:paraId="170CA0DC">
            <w:pPr>
              <w:spacing w:before="0" w:after="0" w:line="240" w:lineRule="auto"/>
              <w:jc w:val="center"/>
            </w:pPr>
            <w:r>
              <w:rPr>
                <w:rFonts w:ascii="Calibri" w:hAnsi="Calibri" w:eastAsia="Calibri"/>
                <w:b w:val="0"/>
                <w:sz w:val="18"/>
              </w:rPr>
              <w:t>Hai hàm</w:t>
            </w:r>
          </w:p>
        </w:tc>
        <w:tc>
          <w:tcPr>
            <w:tcW w:w="3760" w:type="dxa"/>
            <w:shd w:val="clear" w:color="auto" w:fill="F2F4F7"/>
            <w:tcMar>
              <w:top w:w="70" w:type="dxa"/>
              <w:left w:w="120" w:type="dxa"/>
              <w:bottom w:w="70" w:type="dxa"/>
              <w:right w:w="120" w:type="dxa"/>
            </w:tcMar>
            <w:vAlign w:val="center"/>
          </w:tcPr>
          <w:p w14:paraId="26EAB19D">
            <w:pPr>
              <w:spacing w:before="0" w:after="0" w:line="240" w:lineRule="auto"/>
              <w:jc w:val="left"/>
            </w:pPr>
            <w:r>
              <w:rPr>
                <w:rFonts w:ascii="Calibri" w:hAnsi="Calibri" w:eastAsia="Calibri"/>
                <w:b w:val="0"/>
                <w:sz w:val="18"/>
              </w:rPr>
              <w:t>Khoảng 250.000-550.000 đồng</w:t>
            </w:r>
          </w:p>
        </w:tc>
      </w:tr>
      <w:tr w14:paraId="7ED6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55B6E02E">
            <w:pPr>
              <w:spacing w:before="0" w:after="0" w:line="240" w:lineRule="auto"/>
              <w:jc w:val="center"/>
            </w:pPr>
            <w:r>
              <w:rPr>
                <w:rFonts w:ascii="Calibri" w:hAnsi="Calibri" w:eastAsia="Calibri"/>
                <w:b w:val="0"/>
                <w:sz w:val="18"/>
              </w:rPr>
              <w:t>3</w:t>
            </w:r>
          </w:p>
        </w:tc>
        <w:tc>
          <w:tcPr>
            <w:tcW w:w="3380" w:type="dxa"/>
            <w:tcMar>
              <w:top w:w="70" w:type="dxa"/>
              <w:left w:w="120" w:type="dxa"/>
              <w:bottom w:w="70" w:type="dxa"/>
              <w:right w:w="120" w:type="dxa"/>
            </w:tcMar>
            <w:vAlign w:val="center"/>
          </w:tcPr>
          <w:p w14:paraId="56FFE97E">
            <w:pPr>
              <w:spacing w:before="0" w:after="0" w:line="240" w:lineRule="auto"/>
              <w:jc w:val="left"/>
            </w:pPr>
            <w:r>
              <w:rPr>
                <w:rFonts w:ascii="Calibri" w:hAnsi="Calibri" w:eastAsia="Calibri"/>
                <w:b w:val="0"/>
                <w:sz w:val="18"/>
              </w:rPr>
              <w:t>Điều trị viêm nha chu</w:t>
            </w:r>
          </w:p>
        </w:tc>
        <w:tc>
          <w:tcPr>
            <w:tcW w:w="1600" w:type="dxa"/>
            <w:tcMar>
              <w:top w:w="70" w:type="dxa"/>
              <w:left w:w="120" w:type="dxa"/>
              <w:bottom w:w="70" w:type="dxa"/>
              <w:right w:w="120" w:type="dxa"/>
            </w:tcMar>
            <w:vAlign w:val="center"/>
          </w:tcPr>
          <w:p w14:paraId="520C0986">
            <w:pPr>
              <w:spacing w:before="0" w:after="0" w:line="240" w:lineRule="auto"/>
              <w:jc w:val="center"/>
            </w:pPr>
            <w:r>
              <w:rPr>
                <w:rFonts w:ascii="Calibri" w:hAnsi="Calibri" w:eastAsia="Calibri"/>
                <w:b w:val="0"/>
                <w:sz w:val="18"/>
              </w:rPr>
              <w:t>Răng</w:t>
            </w:r>
          </w:p>
        </w:tc>
        <w:tc>
          <w:tcPr>
            <w:tcW w:w="3760" w:type="dxa"/>
            <w:tcMar>
              <w:top w:w="70" w:type="dxa"/>
              <w:left w:w="120" w:type="dxa"/>
              <w:bottom w:w="70" w:type="dxa"/>
              <w:right w:w="120" w:type="dxa"/>
            </w:tcMar>
            <w:vAlign w:val="center"/>
          </w:tcPr>
          <w:p w14:paraId="38819483">
            <w:pPr>
              <w:spacing w:before="0" w:after="0" w:line="240" w:lineRule="auto"/>
              <w:jc w:val="left"/>
            </w:pPr>
            <w:r>
              <w:rPr>
                <w:rFonts w:ascii="Calibri" w:hAnsi="Calibri" w:eastAsia="Calibri"/>
                <w:b w:val="0"/>
                <w:sz w:val="18"/>
              </w:rPr>
              <w:t>Khoảng 500.000-1.200.000 đồng</w:t>
            </w:r>
          </w:p>
        </w:tc>
      </w:tr>
      <w:tr w14:paraId="7F14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355C78AB">
            <w:pPr>
              <w:spacing w:before="0" w:after="0" w:line="240" w:lineRule="auto"/>
              <w:jc w:val="center"/>
            </w:pPr>
            <w:r>
              <w:rPr>
                <w:rFonts w:ascii="Calibri" w:hAnsi="Calibri" w:eastAsia="Calibri"/>
                <w:b w:val="0"/>
                <w:sz w:val="18"/>
              </w:rPr>
              <w:t>4</w:t>
            </w:r>
          </w:p>
        </w:tc>
        <w:tc>
          <w:tcPr>
            <w:tcW w:w="3380" w:type="dxa"/>
            <w:shd w:val="clear" w:color="auto" w:fill="F2F4F7"/>
            <w:tcMar>
              <w:top w:w="70" w:type="dxa"/>
              <w:left w:w="120" w:type="dxa"/>
              <w:bottom w:w="70" w:type="dxa"/>
              <w:right w:w="120" w:type="dxa"/>
            </w:tcMar>
            <w:vAlign w:val="center"/>
          </w:tcPr>
          <w:p w14:paraId="22AB0335">
            <w:pPr>
              <w:spacing w:before="0" w:after="0" w:line="240" w:lineRule="auto"/>
              <w:jc w:val="left"/>
            </w:pPr>
            <w:r>
              <w:rPr>
                <w:rFonts w:ascii="Calibri" w:hAnsi="Calibri" w:eastAsia="Calibri"/>
                <w:b w:val="0"/>
                <w:sz w:val="18"/>
              </w:rPr>
              <w:t>Điều trị tủy</w:t>
            </w:r>
          </w:p>
        </w:tc>
        <w:tc>
          <w:tcPr>
            <w:tcW w:w="1600" w:type="dxa"/>
            <w:shd w:val="clear" w:color="auto" w:fill="F2F4F7"/>
            <w:tcMar>
              <w:top w:w="70" w:type="dxa"/>
              <w:left w:w="120" w:type="dxa"/>
              <w:bottom w:w="70" w:type="dxa"/>
              <w:right w:w="120" w:type="dxa"/>
            </w:tcMar>
            <w:vAlign w:val="center"/>
          </w:tcPr>
          <w:p w14:paraId="0D12E505">
            <w:pPr>
              <w:spacing w:before="0" w:after="0" w:line="240" w:lineRule="auto"/>
              <w:jc w:val="center"/>
            </w:pPr>
            <w:r>
              <w:rPr>
                <w:rFonts w:ascii="Calibri" w:hAnsi="Calibri" w:eastAsia="Calibri"/>
                <w:b w:val="0"/>
                <w:sz w:val="18"/>
              </w:rPr>
              <w:t>Răng</w:t>
            </w:r>
          </w:p>
        </w:tc>
        <w:tc>
          <w:tcPr>
            <w:tcW w:w="3760" w:type="dxa"/>
            <w:shd w:val="clear" w:color="auto" w:fill="F2F4F7"/>
            <w:tcMar>
              <w:top w:w="70" w:type="dxa"/>
              <w:left w:w="120" w:type="dxa"/>
              <w:bottom w:w="70" w:type="dxa"/>
              <w:right w:w="120" w:type="dxa"/>
            </w:tcMar>
            <w:vAlign w:val="center"/>
          </w:tcPr>
          <w:p w14:paraId="1CF7FD5E">
            <w:pPr>
              <w:spacing w:before="0" w:after="0" w:line="240" w:lineRule="auto"/>
              <w:jc w:val="left"/>
            </w:pPr>
            <w:r>
              <w:rPr>
                <w:rFonts w:ascii="Calibri" w:hAnsi="Calibri" w:eastAsia="Calibri"/>
                <w:b w:val="0"/>
                <w:sz w:val="18"/>
              </w:rPr>
              <w:t>Khoảng 800.000-2.500.000 đồng</w:t>
            </w:r>
          </w:p>
        </w:tc>
      </w:tr>
      <w:tr w14:paraId="0100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00275BB4">
            <w:pPr>
              <w:spacing w:before="0" w:after="0" w:line="240" w:lineRule="auto"/>
              <w:jc w:val="center"/>
            </w:pPr>
            <w:r>
              <w:rPr>
                <w:rFonts w:ascii="Calibri" w:hAnsi="Calibri" w:eastAsia="Calibri"/>
                <w:b w:val="0"/>
                <w:sz w:val="18"/>
              </w:rPr>
              <w:t>5</w:t>
            </w:r>
          </w:p>
        </w:tc>
        <w:tc>
          <w:tcPr>
            <w:tcW w:w="3380" w:type="dxa"/>
            <w:tcMar>
              <w:top w:w="70" w:type="dxa"/>
              <w:left w:w="120" w:type="dxa"/>
              <w:bottom w:w="70" w:type="dxa"/>
              <w:right w:w="120" w:type="dxa"/>
            </w:tcMar>
            <w:vAlign w:val="center"/>
          </w:tcPr>
          <w:p w14:paraId="52D849B5">
            <w:pPr>
              <w:spacing w:before="0" w:after="0" w:line="240" w:lineRule="auto"/>
              <w:jc w:val="left"/>
            </w:pPr>
            <w:r>
              <w:rPr>
                <w:rFonts w:ascii="Calibri" w:hAnsi="Calibri" w:eastAsia="Calibri"/>
                <w:b w:val="0"/>
                <w:sz w:val="18"/>
              </w:rPr>
              <w:t>Trám răng thẩm mỹ</w:t>
            </w:r>
          </w:p>
        </w:tc>
        <w:tc>
          <w:tcPr>
            <w:tcW w:w="1600" w:type="dxa"/>
            <w:tcMar>
              <w:top w:w="70" w:type="dxa"/>
              <w:left w:w="120" w:type="dxa"/>
              <w:bottom w:w="70" w:type="dxa"/>
              <w:right w:w="120" w:type="dxa"/>
            </w:tcMar>
            <w:vAlign w:val="center"/>
          </w:tcPr>
          <w:p w14:paraId="17306B55">
            <w:pPr>
              <w:spacing w:before="0" w:after="0" w:line="240" w:lineRule="auto"/>
              <w:jc w:val="center"/>
            </w:pPr>
            <w:r>
              <w:rPr>
                <w:rFonts w:ascii="Calibri" w:hAnsi="Calibri" w:eastAsia="Calibri"/>
                <w:b w:val="0"/>
                <w:sz w:val="18"/>
              </w:rPr>
              <w:t>Răng</w:t>
            </w:r>
          </w:p>
        </w:tc>
        <w:tc>
          <w:tcPr>
            <w:tcW w:w="3760" w:type="dxa"/>
            <w:tcMar>
              <w:top w:w="70" w:type="dxa"/>
              <w:left w:w="120" w:type="dxa"/>
              <w:bottom w:w="70" w:type="dxa"/>
              <w:right w:w="120" w:type="dxa"/>
            </w:tcMar>
            <w:vAlign w:val="center"/>
          </w:tcPr>
          <w:p w14:paraId="62B4BF2F">
            <w:pPr>
              <w:spacing w:before="0" w:after="0" w:line="240" w:lineRule="auto"/>
              <w:jc w:val="left"/>
            </w:pPr>
            <w:r>
              <w:rPr>
                <w:rFonts w:ascii="Calibri" w:hAnsi="Calibri" w:eastAsia="Calibri"/>
                <w:b w:val="0"/>
                <w:sz w:val="18"/>
              </w:rPr>
              <w:t>Khoảng 300.000-1.500.000 đồng</w:t>
            </w:r>
          </w:p>
        </w:tc>
      </w:tr>
      <w:tr w14:paraId="448B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70850692">
            <w:pPr>
              <w:spacing w:before="0" w:after="0" w:line="240" w:lineRule="auto"/>
              <w:jc w:val="center"/>
            </w:pPr>
            <w:r>
              <w:rPr>
                <w:rFonts w:ascii="Calibri" w:hAnsi="Calibri" w:eastAsia="Calibri"/>
                <w:b w:val="0"/>
                <w:sz w:val="18"/>
              </w:rPr>
              <w:t>6</w:t>
            </w:r>
          </w:p>
        </w:tc>
        <w:tc>
          <w:tcPr>
            <w:tcW w:w="3380" w:type="dxa"/>
            <w:shd w:val="clear" w:color="auto" w:fill="F2F4F7"/>
            <w:tcMar>
              <w:top w:w="70" w:type="dxa"/>
              <w:left w:w="120" w:type="dxa"/>
              <w:bottom w:w="70" w:type="dxa"/>
              <w:right w:w="120" w:type="dxa"/>
            </w:tcMar>
            <w:vAlign w:val="center"/>
          </w:tcPr>
          <w:p w14:paraId="64B5E1A8">
            <w:pPr>
              <w:spacing w:before="0" w:after="0" w:line="240" w:lineRule="auto"/>
              <w:jc w:val="left"/>
            </w:pPr>
            <w:r>
              <w:rPr>
                <w:rFonts w:ascii="Calibri" w:hAnsi="Calibri" w:eastAsia="Calibri"/>
                <w:b w:val="0"/>
                <w:sz w:val="18"/>
              </w:rPr>
              <w:t>Nhổ răng</w:t>
            </w:r>
          </w:p>
        </w:tc>
        <w:tc>
          <w:tcPr>
            <w:tcW w:w="1600" w:type="dxa"/>
            <w:shd w:val="clear" w:color="auto" w:fill="F2F4F7"/>
            <w:tcMar>
              <w:top w:w="70" w:type="dxa"/>
              <w:left w:w="120" w:type="dxa"/>
              <w:bottom w:w="70" w:type="dxa"/>
              <w:right w:w="120" w:type="dxa"/>
            </w:tcMar>
            <w:vAlign w:val="center"/>
          </w:tcPr>
          <w:p w14:paraId="000D6A5F">
            <w:pPr>
              <w:spacing w:before="0" w:after="0" w:line="240" w:lineRule="auto"/>
              <w:jc w:val="center"/>
            </w:pPr>
            <w:r>
              <w:rPr>
                <w:rFonts w:ascii="Calibri" w:hAnsi="Calibri" w:eastAsia="Calibri"/>
                <w:b w:val="0"/>
                <w:sz w:val="18"/>
              </w:rPr>
              <w:t>Răng</w:t>
            </w:r>
          </w:p>
        </w:tc>
        <w:tc>
          <w:tcPr>
            <w:tcW w:w="3760" w:type="dxa"/>
            <w:shd w:val="clear" w:color="auto" w:fill="F2F4F7"/>
            <w:tcMar>
              <w:top w:w="70" w:type="dxa"/>
              <w:left w:w="120" w:type="dxa"/>
              <w:bottom w:w="70" w:type="dxa"/>
              <w:right w:w="120" w:type="dxa"/>
            </w:tcMar>
            <w:vAlign w:val="center"/>
          </w:tcPr>
          <w:p w14:paraId="5C290464">
            <w:pPr>
              <w:spacing w:before="0" w:after="0" w:line="240" w:lineRule="auto"/>
              <w:jc w:val="left"/>
            </w:pPr>
            <w:r>
              <w:rPr>
                <w:rFonts w:ascii="Calibri" w:hAnsi="Calibri" w:eastAsia="Calibri"/>
                <w:b w:val="0"/>
                <w:sz w:val="18"/>
              </w:rPr>
              <w:t>Khoảng 500.000-3.500.000 đồng tùy độ khó</w:t>
            </w:r>
          </w:p>
        </w:tc>
      </w:tr>
      <w:tr w14:paraId="2A2F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19E31DB6">
            <w:pPr>
              <w:spacing w:before="0" w:after="0" w:line="240" w:lineRule="auto"/>
              <w:jc w:val="center"/>
            </w:pPr>
            <w:r>
              <w:rPr>
                <w:rFonts w:ascii="Calibri" w:hAnsi="Calibri" w:eastAsia="Calibri"/>
                <w:b w:val="0"/>
                <w:sz w:val="18"/>
              </w:rPr>
              <w:t>7</w:t>
            </w:r>
          </w:p>
        </w:tc>
        <w:tc>
          <w:tcPr>
            <w:tcW w:w="3380" w:type="dxa"/>
            <w:tcMar>
              <w:top w:w="70" w:type="dxa"/>
              <w:left w:w="120" w:type="dxa"/>
              <w:bottom w:w="70" w:type="dxa"/>
              <w:right w:w="120" w:type="dxa"/>
            </w:tcMar>
            <w:vAlign w:val="center"/>
          </w:tcPr>
          <w:p w14:paraId="1D9F06AD">
            <w:pPr>
              <w:spacing w:before="0" w:after="0" w:line="240" w:lineRule="auto"/>
              <w:jc w:val="left"/>
            </w:pPr>
            <w:r>
              <w:rPr>
                <w:rFonts w:ascii="Calibri" w:hAnsi="Calibri" w:eastAsia="Calibri"/>
                <w:b w:val="0"/>
                <w:sz w:val="18"/>
              </w:rPr>
              <w:t>Tẩy trắng răng</w:t>
            </w:r>
          </w:p>
        </w:tc>
        <w:tc>
          <w:tcPr>
            <w:tcW w:w="1600" w:type="dxa"/>
            <w:tcMar>
              <w:top w:w="70" w:type="dxa"/>
              <w:left w:w="120" w:type="dxa"/>
              <w:bottom w:w="70" w:type="dxa"/>
              <w:right w:w="120" w:type="dxa"/>
            </w:tcMar>
            <w:vAlign w:val="center"/>
          </w:tcPr>
          <w:p w14:paraId="01329DCB">
            <w:pPr>
              <w:spacing w:before="0" w:after="0" w:line="240" w:lineRule="auto"/>
              <w:jc w:val="center"/>
            </w:pPr>
            <w:r>
              <w:rPr>
                <w:rFonts w:ascii="Calibri" w:hAnsi="Calibri" w:eastAsia="Calibri"/>
                <w:b w:val="0"/>
                <w:sz w:val="18"/>
              </w:rPr>
              <w:t>Liệu trình</w:t>
            </w:r>
          </w:p>
        </w:tc>
        <w:tc>
          <w:tcPr>
            <w:tcW w:w="3760" w:type="dxa"/>
            <w:tcMar>
              <w:top w:w="70" w:type="dxa"/>
              <w:left w:w="120" w:type="dxa"/>
              <w:bottom w:w="70" w:type="dxa"/>
              <w:right w:w="120" w:type="dxa"/>
            </w:tcMar>
            <w:vAlign w:val="center"/>
          </w:tcPr>
          <w:p w14:paraId="4543E452">
            <w:pPr>
              <w:spacing w:before="0" w:after="0" w:line="240" w:lineRule="auto"/>
              <w:jc w:val="left"/>
            </w:pPr>
            <w:r>
              <w:rPr>
                <w:rFonts w:ascii="Calibri" w:hAnsi="Calibri" w:eastAsia="Calibri"/>
                <w:b w:val="0"/>
                <w:sz w:val="18"/>
              </w:rPr>
              <w:t>Khoảng 1.800.000-2.500.000 đồng</w:t>
            </w:r>
          </w:p>
        </w:tc>
      </w:tr>
      <w:tr w14:paraId="49C8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1248F3FF">
            <w:pPr>
              <w:spacing w:before="0" w:after="0" w:line="240" w:lineRule="auto"/>
              <w:jc w:val="center"/>
            </w:pPr>
            <w:r>
              <w:rPr>
                <w:rFonts w:ascii="Calibri" w:hAnsi="Calibri" w:eastAsia="Calibri"/>
                <w:b w:val="0"/>
                <w:sz w:val="18"/>
              </w:rPr>
              <w:t>8</w:t>
            </w:r>
          </w:p>
        </w:tc>
        <w:tc>
          <w:tcPr>
            <w:tcW w:w="3380" w:type="dxa"/>
            <w:shd w:val="clear" w:color="auto" w:fill="F2F4F7"/>
            <w:tcMar>
              <w:top w:w="70" w:type="dxa"/>
              <w:left w:w="120" w:type="dxa"/>
              <w:bottom w:w="70" w:type="dxa"/>
              <w:right w:w="120" w:type="dxa"/>
            </w:tcMar>
            <w:vAlign w:val="center"/>
          </w:tcPr>
          <w:p w14:paraId="4432B13E">
            <w:pPr>
              <w:spacing w:before="0" w:after="0" w:line="240" w:lineRule="auto"/>
              <w:jc w:val="left"/>
            </w:pPr>
            <w:r>
              <w:rPr>
                <w:rFonts w:ascii="Calibri" w:hAnsi="Calibri" w:eastAsia="Calibri"/>
                <w:b w:val="0"/>
                <w:sz w:val="18"/>
              </w:rPr>
              <w:t>Làm răng giả tháo lắp</w:t>
            </w:r>
          </w:p>
        </w:tc>
        <w:tc>
          <w:tcPr>
            <w:tcW w:w="1600" w:type="dxa"/>
            <w:shd w:val="clear" w:color="auto" w:fill="F2F4F7"/>
            <w:tcMar>
              <w:top w:w="70" w:type="dxa"/>
              <w:left w:w="120" w:type="dxa"/>
              <w:bottom w:w="70" w:type="dxa"/>
              <w:right w:w="120" w:type="dxa"/>
            </w:tcMar>
            <w:vAlign w:val="center"/>
          </w:tcPr>
          <w:p w14:paraId="6F321DF9">
            <w:pPr>
              <w:spacing w:before="0" w:after="0" w:line="240" w:lineRule="auto"/>
              <w:jc w:val="center"/>
            </w:pPr>
            <w:r>
              <w:rPr>
                <w:rFonts w:ascii="Calibri" w:hAnsi="Calibri" w:eastAsia="Calibri"/>
                <w:b w:val="0"/>
                <w:sz w:val="18"/>
              </w:rPr>
              <w:t>Răng hoặc hàm</w:t>
            </w:r>
          </w:p>
        </w:tc>
        <w:tc>
          <w:tcPr>
            <w:tcW w:w="3760" w:type="dxa"/>
            <w:shd w:val="clear" w:color="auto" w:fill="F2F4F7"/>
            <w:tcMar>
              <w:top w:w="70" w:type="dxa"/>
              <w:left w:w="120" w:type="dxa"/>
              <w:bottom w:w="70" w:type="dxa"/>
              <w:right w:w="120" w:type="dxa"/>
            </w:tcMar>
            <w:vAlign w:val="center"/>
          </w:tcPr>
          <w:p w14:paraId="43679E21">
            <w:pPr>
              <w:spacing w:before="0" w:after="0" w:line="240" w:lineRule="auto"/>
              <w:jc w:val="left"/>
            </w:pPr>
            <w:r>
              <w:rPr>
                <w:rFonts w:ascii="Calibri" w:hAnsi="Calibri" w:eastAsia="Calibri"/>
                <w:b w:val="0"/>
                <w:sz w:val="18"/>
              </w:rPr>
              <w:t>Khoảng 250.000-21.000.000 đồng tùy loại</w:t>
            </w:r>
          </w:p>
        </w:tc>
      </w:tr>
      <w:tr w14:paraId="3207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6671AA11">
            <w:pPr>
              <w:spacing w:before="0" w:after="0" w:line="240" w:lineRule="auto"/>
              <w:jc w:val="center"/>
            </w:pPr>
            <w:r>
              <w:rPr>
                <w:rFonts w:ascii="Calibri" w:hAnsi="Calibri" w:eastAsia="Calibri"/>
                <w:b w:val="0"/>
                <w:sz w:val="18"/>
              </w:rPr>
              <w:t>9</w:t>
            </w:r>
          </w:p>
        </w:tc>
        <w:tc>
          <w:tcPr>
            <w:tcW w:w="3380" w:type="dxa"/>
            <w:tcMar>
              <w:top w:w="70" w:type="dxa"/>
              <w:left w:w="120" w:type="dxa"/>
              <w:bottom w:w="70" w:type="dxa"/>
              <w:right w:w="120" w:type="dxa"/>
            </w:tcMar>
            <w:vAlign w:val="center"/>
          </w:tcPr>
          <w:p w14:paraId="6B2E795A">
            <w:pPr>
              <w:spacing w:before="0" w:after="0" w:line="240" w:lineRule="auto"/>
              <w:jc w:val="left"/>
            </w:pPr>
            <w:r>
              <w:rPr>
                <w:rFonts w:ascii="Calibri" w:hAnsi="Calibri" w:eastAsia="Calibri"/>
                <w:b w:val="0"/>
                <w:sz w:val="18"/>
              </w:rPr>
              <w:t>Bọc hoặc dán răng sứ</w:t>
            </w:r>
          </w:p>
        </w:tc>
        <w:tc>
          <w:tcPr>
            <w:tcW w:w="1600" w:type="dxa"/>
            <w:tcMar>
              <w:top w:w="70" w:type="dxa"/>
              <w:left w:w="120" w:type="dxa"/>
              <w:bottom w:w="70" w:type="dxa"/>
              <w:right w:w="120" w:type="dxa"/>
            </w:tcMar>
            <w:vAlign w:val="center"/>
          </w:tcPr>
          <w:p w14:paraId="0875D899">
            <w:pPr>
              <w:spacing w:before="0" w:after="0" w:line="240" w:lineRule="auto"/>
              <w:jc w:val="center"/>
            </w:pPr>
            <w:r>
              <w:rPr>
                <w:rFonts w:ascii="Calibri" w:hAnsi="Calibri" w:eastAsia="Calibri"/>
                <w:b w:val="0"/>
                <w:sz w:val="18"/>
              </w:rPr>
              <w:t>Răng</w:t>
            </w:r>
          </w:p>
        </w:tc>
        <w:tc>
          <w:tcPr>
            <w:tcW w:w="3760" w:type="dxa"/>
            <w:tcMar>
              <w:top w:w="70" w:type="dxa"/>
              <w:left w:w="120" w:type="dxa"/>
              <w:bottom w:w="70" w:type="dxa"/>
              <w:right w:w="120" w:type="dxa"/>
            </w:tcMar>
            <w:vAlign w:val="center"/>
          </w:tcPr>
          <w:p w14:paraId="65DE0E27">
            <w:pPr>
              <w:spacing w:before="0" w:after="0" w:line="240" w:lineRule="auto"/>
              <w:jc w:val="left"/>
            </w:pPr>
            <w:r>
              <w:rPr>
                <w:rFonts w:ascii="Calibri" w:hAnsi="Calibri" w:eastAsia="Calibri"/>
                <w:b w:val="0"/>
                <w:sz w:val="18"/>
              </w:rPr>
              <w:t>Khoảng 2.500.000-9.300.000 đồng</w:t>
            </w:r>
          </w:p>
        </w:tc>
      </w:tr>
      <w:tr w14:paraId="17F5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shd w:val="clear" w:color="auto" w:fill="F2F4F7"/>
            <w:tcMar>
              <w:top w:w="70" w:type="dxa"/>
              <w:left w:w="120" w:type="dxa"/>
              <w:bottom w:w="70" w:type="dxa"/>
              <w:right w:w="120" w:type="dxa"/>
            </w:tcMar>
            <w:vAlign w:val="center"/>
          </w:tcPr>
          <w:p w14:paraId="0FF1F35B">
            <w:pPr>
              <w:spacing w:before="0" w:after="0" w:line="240" w:lineRule="auto"/>
              <w:jc w:val="center"/>
            </w:pPr>
            <w:r>
              <w:rPr>
                <w:rFonts w:ascii="Calibri" w:hAnsi="Calibri" w:eastAsia="Calibri"/>
                <w:b w:val="0"/>
                <w:sz w:val="18"/>
              </w:rPr>
              <w:t>10</w:t>
            </w:r>
          </w:p>
        </w:tc>
        <w:tc>
          <w:tcPr>
            <w:tcW w:w="3380" w:type="dxa"/>
            <w:shd w:val="clear" w:color="auto" w:fill="F2F4F7"/>
            <w:tcMar>
              <w:top w:w="70" w:type="dxa"/>
              <w:left w:w="120" w:type="dxa"/>
              <w:bottom w:w="70" w:type="dxa"/>
              <w:right w:w="120" w:type="dxa"/>
            </w:tcMar>
            <w:vAlign w:val="center"/>
          </w:tcPr>
          <w:p w14:paraId="47876D33">
            <w:pPr>
              <w:spacing w:before="0" w:after="0" w:line="240" w:lineRule="auto"/>
              <w:jc w:val="left"/>
            </w:pPr>
            <w:r>
              <w:rPr>
                <w:rFonts w:ascii="Calibri" w:hAnsi="Calibri" w:eastAsia="Calibri"/>
                <w:b w:val="0"/>
                <w:sz w:val="18"/>
              </w:rPr>
              <w:t>Cấy ghép Implant</w:t>
            </w:r>
          </w:p>
        </w:tc>
        <w:tc>
          <w:tcPr>
            <w:tcW w:w="1600" w:type="dxa"/>
            <w:shd w:val="clear" w:color="auto" w:fill="F2F4F7"/>
            <w:tcMar>
              <w:top w:w="70" w:type="dxa"/>
              <w:left w:w="120" w:type="dxa"/>
              <w:bottom w:w="70" w:type="dxa"/>
              <w:right w:w="120" w:type="dxa"/>
            </w:tcMar>
            <w:vAlign w:val="center"/>
          </w:tcPr>
          <w:p w14:paraId="0EAF2F20">
            <w:pPr>
              <w:spacing w:before="0" w:after="0" w:line="240" w:lineRule="auto"/>
              <w:jc w:val="center"/>
            </w:pPr>
            <w:r>
              <w:rPr>
                <w:rFonts w:ascii="Calibri" w:hAnsi="Calibri" w:eastAsia="Calibri"/>
                <w:b w:val="0"/>
                <w:sz w:val="18"/>
              </w:rPr>
              <w:t>Trụ/liệu trình</w:t>
            </w:r>
          </w:p>
        </w:tc>
        <w:tc>
          <w:tcPr>
            <w:tcW w:w="3760" w:type="dxa"/>
            <w:shd w:val="clear" w:color="auto" w:fill="F2F4F7"/>
            <w:tcMar>
              <w:top w:w="70" w:type="dxa"/>
              <w:left w:w="120" w:type="dxa"/>
              <w:bottom w:w="70" w:type="dxa"/>
              <w:right w:w="120" w:type="dxa"/>
            </w:tcMar>
            <w:vAlign w:val="center"/>
          </w:tcPr>
          <w:p w14:paraId="687B0CB0">
            <w:pPr>
              <w:spacing w:before="0" w:after="0" w:line="240" w:lineRule="auto"/>
              <w:jc w:val="left"/>
            </w:pPr>
            <w:r>
              <w:rPr>
                <w:rFonts w:ascii="Calibri" w:hAnsi="Calibri" w:eastAsia="Calibri"/>
                <w:b w:val="0"/>
                <w:sz w:val="18"/>
              </w:rPr>
              <w:t>Khoảng 11.990.000-39.950.000 đồng cho trụ; các phần phục hình có thể tính riêng</w:t>
            </w:r>
          </w:p>
        </w:tc>
      </w:tr>
      <w:tr w14:paraId="3DBE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Mar>
              <w:top w:w="70" w:type="dxa"/>
              <w:left w:w="120" w:type="dxa"/>
              <w:bottom w:w="70" w:type="dxa"/>
              <w:right w:w="120" w:type="dxa"/>
            </w:tcMar>
            <w:vAlign w:val="center"/>
          </w:tcPr>
          <w:p w14:paraId="57944D1D">
            <w:pPr>
              <w:spacing w:before="0" w:after="0" w:line="240" w:lineRule="auto"/>
              <w:jc w:val="center"/>
            </w:pPr>
            <w:r>
              <w:rPr>
                <w:rFonts w:ascii="Calibri" w:hAnsi="Calibri" w:eastAsia="Calibri"/>
                <w:b w:val="0"/>
                <w:sz w:val="18"/>
              </w:rPr>
              <w:t>11</w:t>
            </w:r>
          </w:p>
        </w:tc>
        <w:tc>
          <w:tcPr>
            <w:tcW w:w="3380" w:type="dxa"/>
            <w:tcMar>
              <w:top w:w="70" w:type="dxa"/>
              <w:left w:w="120" w:type="dxa"/>
              <w:bottom w:w="70" w:type="dxa"/>
              <w:right w:w="120" w:type="dxa"/>
            </w:tcMar>
            <w:vAlign w:val="center"/>
          </w:tcPr>
          <w:p w14:paraId="26ED6E43">
            <w:pPr>
              <w:spacing w:before="0" w:after="0" w:line="240" w:lineRule="auto"/>
              <w:jc w:val="left"/>
            </w:pPr>
            <w:r>
              <w:rPr>
                <w:rFonts w:ascii="Calibri" w:hAnsi="Calibri" w:eastAsia="Calibri"/>
                <w:b w:val="0"/>
                <w:sz w:val="18"/>
              </w:rPr>
              <w:t>Niềng răng</w:t>
            </w:r>
          </w:p>
        </w:tc>
        <w:tc>
          <w:tcPr>
            <w:tcW w:w="1600" w:type="dxa"/>
            <w:tcMar>
              <w:top w:w="70" w:type="dxa"/>
              <w:left w:w="120" w:type="dxa"/>
              <w:bottom w:w="70" w:type="dxa"/>
              <w:right w:w="120" w:type="dxa"/>
            </w:tcMar>
            <w:vAlign w:val="center"/>
          </w:tcPr>
          <w:p w14:paraId="20F2CD84">
            <w:pPr>
              <w:spacing w:before="0" w:after="0" w:line="240" w:lineRule="auto"/>
              <w:jc w:val="center"/>
            </w:pPr>
            <w:r>
              <w:rPr>
                <w:rFonts w:ascii="Calibri" w:hAnsi="Calibri" w:eastAsia="Calibri"/>
                <w:b w:val="0"/>
                <w:sz w:val="18"/>
              </w:rPr>
              <w:t>Liệu trình</w:t>
            </w:r>
          </w:p>
        </w:tc>
        <w:tc>
          <w:tcPr>
            <w:tcW w:w="3760" w:type="dxa"/>
            <w:tcMar>
              <w:top w:w="70" w:type="dxa"/>
              <w:left w:w="120" w:type="dxa"/>
              <w:bottom w:w="70" w:type="dxa"/>
              <w:right w:w="120" w:type="dxa"/>
            </w:tcMar>
            <w:vAlign w:val="center"/>
          </w:tcPr>
          <w:p w14:paraId="1EA3DD3A">
            <w:pPr>
              <w:spacing w:before="0" w:after="0" w:line="240" w:lineRule="auto"/>
              <w:jc w:val="left"/>
            </w:pPr>
            <w:r>
              <w:rPr>
                <w:rFonts w:ascii="Calibri" w:hAnsi="Calibri" w:eastAsia="Calibri"/>
                <w:b w:val="0"/>
                <w:sz w:val="18"/>
              </w:rPr>
              <w:t>Khoảng 35.000.000-121.400.000 đồng</w:t>
            </w:r>
          </w:p>
        </w:tc>
      </w:tr>
    </w:tbl>
    <w:p w14:paraId="15285A9F">
      <w:pPr>
        <w:spacing w:before="40" w:after="0"/>
      </w:pPr>
    </w:p>
    <w:p w14:paraId="56175263">
      <w:r>
        <w:t>Các mức giá trên được tổng hợp từ bảng giá công khai năm 2026 của một cơ sở nha khoa và chỉ nhằm minh họa cách phân loại, đơn vị tính và khoảng giá. Dịch vụ có thể được tính theo răng, hàm, lần, phim chụp, trụ Implant hoặc toàn bộ liệu trình [2].</w:t>
      </w:r>
    </w:p>
    <w:p w14:paraId="2A309FA2">
      <w:pPr>
        <w:pStyle w:val="4"/>
      </w:pPr>
      <w:r>
        <w:t>1.2. Một dịch vụ có mã và tên hay không?</w:t>
      </w:r>
    </w:p>
    <w:p w14:paraId="3CDC1C73">
      <w:r>
        <w:t>Trên bảng giá công khai, phòng khám thường thể hiện ít nhất:</w:t>
      </w:r>
    </w:p>
    <w:p w14:paraId="66BBC773">
      <w:pPr>
        <w:pStyle w:val="23"/>
        <w:spacing w:after="80" w:line="280" w:lineRule="auto"/>
        <w:ind w:left="720" w:hanging="360"/>
      </w:pPr>
      <w:r>
        <w:t>Tên dịch vụ.</w:t>
      </w:r>
    </w:p>
    <w:p w14:paraId="1AB4CB65">
      <w:pPr>
        <w:pStyle w:val="23"/>
        <w:spacing w:after="80" w:line="280" w:lineRule="auto"/>
        <w:ind w:left="720" w:hanging="360"/>
      </w:pPr>
      <w:r>
        <w:t>Nhóm dịch vụ.</w:t>
      </w:r>
    </w:p>
    <w:p w14:paraId="6A5A717F">
      <w:pPr>
        <w:pStyle w:val="23"/>
        <w:spacing w:after="80" w:line="280" w:lineRule="auto"/>
        <w:ind w:left="720" w:hanging="360"/>
      </w:pPr>
      <w:r>
        <w:t>Đơn vị tính.</w:t>
      </w:r>
    </w:p>
    <w:p w14:paraId="31B1E1CE">
      <w:pPr>
        <w:pStyle w:val="23"/>
        <w:spacing w:after="80" w:line="280" w:lineRule="auto"/>
        <w:ind w:left="720" w:hanging="360"/>
      </w:pPr>
      <w:r>
        <w:t>Mức giá hoặc khoảng giá.</w:t>
      </w:r>
    </w:p>
    <w:p w14:paraId="0350DA0F">
      <w:pPr>
        <w:pStyle w:val="23"/>
        <w:spacing w:after="80" w:line="280" w:lineRule="auto"/>
        <w:ind w:left="720" w:hanging="360"/>
      </w:pPr>
      <w:r>
        <w:t>Thuế áp dụng, nếu có.</w:t>
      </w:r>
    </w:p>
    <w:p w14:paraId="72F562A7">
      <w:pPr>
        <w:pStyle w:val="23"/>
        <w:spacing w:after="80" w:line="280" w:lineRule="auto"/>
        <w:ind w:left="720" w:hanging="360"/>
      </w:pPr>
      <w:r>
        <w:t>Ghi chú về vật liệu, xuất xứ, mức độ khó hoặc nội dung đã bao gồm.</w:t>
      </w:r>
    </w:p>
    <w:p w14:paraId="5D5A4AC7">
      <w:r>
        <w:t>Mã dịch vụ nội bộ không phải lúc nào cũng được công khai trên website. Tuy nhiên, trong hoạt động quản lý, mỗi dịch vụ nên có một mã riêng để phân biệt những dịch vụ có tên gần giống nhau, chẳng hạn nhổ răng thường, nhổ răng khó độ I và nhổ răng khó độ II.</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6860"/>
      </w:tblGrid>
      <w:tr w14:paraId="24AA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shd w:val="clear" w:color="auto" w:fill="2E74B5"/>
            <w:tcMar>
              <w:top w:w="70" w:type="dxa"/>
              <w:left w:w="120" w:type="dxa"/>
              <w:bottom w:w="70" w:type="dxa"/>
              <w:right w:w="120" w:type="dxa"/>
            </w:tcMar>
            <w:vAlign w:val="center"/>
          </w:tcPr>
          <w:p w14:paraId="69844F83">
            <w:pPr>
              <w:spacing w:before="0" w:after="0" w:line="240" w:lineRule="auto"/>
              <w:jc w:val="center"/>
            </w:pPr>
            <w:r>
              <w:rPr>
                <w:rFonts w:ascii="Calibri" w:hAnsi="Calibri" w:eastAsia="Calibri"/>
                <w:b/>
                <w:color w:val="FFFFFF"/>
                <w:sz w:val="18"/>
              </w:rPr>
              <w:t>Thông tin</w:t>
            </w:r>
          </w:p>
        </w:tc>
        <w:tc>
          <w:tcPr>
            <w:tcW w:w="6860" w:type="dxa"/>
            <w:shd w:val="clear" w:color="auto" w:fill="2E74B5"/>
            <w:tcMar>
              <w:top w:w="70" w:type="dxa"/>
              <w:left w:w="120" w:type="dxa"/>
              <w:bottom w:w="70" w:type="dxa"/>
              <w:right w:w="120" w:type="dxa"/>
            </w:tcMar>
            <w:vAlign w:val="center"/>
          </w:tcPr>
          <w:p w14:paraId="3998903D">
            <w:pPr>
              <w:spacing w:before="0" w:after="0" w:line="240" w:lineRule="auto"/>
              <w:jc w:val="center"/>
            </w:pPr>
            <w:r>
              <w:rPr>
                <w:rFonts w:ascii="Calibri" w:hAnsi="Calibri" w:eastAsia="Calibri"/>
                <w:b/>
                <w:color w:val="FFFFFF"/>
                <w:sz w:val="18"/>
              </w:rPr>
              <w:t>Ý nghĩa</w:t>
            </w:r>
          </w:p>
        </w:tc>
      </w:tr>
      <w:tr w14:paraId="64D1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493C0A0C">
            <w:pPr>
              <w:spacing w:before="0" w:after="0" w:line="240" w:lineRule="auto"/>
              <w:jc w:val="left"/>
            </w:pPr>
            <w:r>
              <w:rPr>
                <w:rFonts w:ascii="Calibri" w:hAnsi="Calibri" w:eastAsia="Calibri"/>
                <w:b w:val="0"/>
                <w:sz w:val="18"/>
              </w:rPr>
              <w:t>Mã dịch vụ</w:t>
            </w:r>
          </w:p>
        </w:tc>
        <w:tc>
          <w:tcPr>
            <w:tcW w:w="6860" w:type="dxa"/>
            <w:tcMar>
              <w:top w:w="70" w:type="dxa"/>
              <w:left w:w="120" w:type="dxa"/>
              <w:bottom w:w="70" w:type="dxa"/>
              <w:right w:w="120" w:type="dxa"/>
            </w:tcMar>
            <w:vAlign w:val="center"/>
          </w:tcPr>
          <w:p w14:paraId="64ED5E53">
            <w:pPr>
              <w:spacing w:before="0" w:after="0" w:line="240" w:lineRule="auto"/>
              <w:jc w:val="left"/>
            </w:pPr>
            <w:r>
              <w:rPr>
                <w:rFonts w:ascii="Calibri" w:hAnsi="Calibri" w:eastAsia="Calibri"/>
                <w:b w:val="0"/>
                <w:sz w:val="18"/>
              </w:rPr>
              <w:t>Mã duy nhất dùng để nhận diện và tra cứu dịch vụ trong hệ thống</w:t>
            </w:r>
          </w:p>
        </w:tc>
      </w:tr>
      <w:tr w14:paraId="7F11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0704A73E">
            <w:pPr>
              <w:spacing w:before="0" w:after="0" w:line="240" w:lineRule="auto"/>
              <w:jc w:val="left"/>
            </w:pPr>
            <w:r>
              <w:rPr>
                <w:rFonts w:ascii="Calibri" w:hAnsi="Calibri" w:eastAsia="Calibri"/>
                <w:b w:val="0"/>
                <w:sz w:val="18"/>
              </w:rPr>
              <w:t>Tên dịch vụ</w:t>
            </w:r>
          </w:p>
        </w:tc>
        <w:tc>
          <w:tcPr>
            <w:tcW w:w="6860" w:type="dxa"/>
            <w:shd w:val="clear" w:color="auto" w:fill="F2F4F7"/>
            <w:tcMar>
              <w:top w:w="70" w:type="dxa"/>
              <w:left w:w="120" w:type="dxa"/>
              <w:bottom w:w="70" w:type="dxa"/>
              <w:right w:w="120" w:type="dxa"/>
            </w:tcMar>
            <w:vAlign w:val="center"/>
          </w:tcPr>
          <w:p w14:paraId="3A453244">
            <w:pPr>
              <w:spacing w:before="0" w:after="0" w:line="240" w:lineRule="auto"/>
              <w:jc w:val="left"/>
            </w:pPr>
            <w:r>
              <w:rPr>
                <w:rFonts w:ascii="Calibri" w:hAnsi="Calibri" w:eastAsia="Calibri"/>
                <w:b w:val="0"/>
                <w:sz w:val="18"/>
              </w:rPr>
              <w:t>Tên gọi dùng để mô tả và phân biệt các dịch vụ nha khoa</w:t>
            </w:r>
          </w:p>
        </w:tc>
      </w:tr>
      <w:tr w14:paraId="060B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1B66596D">
            <w:pPr>
              <w:spacing w:before="0" w:after="0" w:line="240" w:lineRule="auto"/>
              <w:jc w:val="left"/>
            </w:pPr>
            <w:r>
              <w:rPr>
                <w:rFonts w:ascii="Calibri" w:hAnsi="Calibri" w:eastAsia="Calibri"/>
                <w:b w:val="0"/>
                <w:sz w:val="18"/>
              </w:rPr>
              <w:t>Nhóm dịch vụ</w:t>
            </w:r>
          </w:p>
        </w:tc>
        <w:tc>
          <w:tcPr>
            <w:tcW w:w="6860" w:type="dxa"/>
            <w:tcMar>
              <w:top w:w="70" w:type="dxa"/>
              <w:left w:w="120" w:type="dxa"/>
              <w:bottom w:w="70" w:type="dxa"/>
              <w:right w:w="120" w:type="dxa"/>
            </w:tcMar>
            <w:vAlign w:val="center"/>
          </w:tcPr>
          <w:p w14:paraId="4F3C1AE1">
            <w:pPr>
              <w:spacing w:before="0" w:after="0" w:line="240" w:lineRule="auto"/>
              <w:jc w:val="left"/>
            </w:pPr>
            <w:r>
              <w:rPr>
                <w:rFonts w:ascii="Calibri" w:hAnsi="Calibri" w:eastAsia="Calibri"/>
                <w:b w:val="0"/>
                <w:sz w:val="18"/>
              </w:rPr>
              <w:t>Nha chu, nội nha, phục hình, chỉnh nha, Implant...</w:t>
            </w:r>
          </w:p>
        </w:tc>
      </w:tr>
      <w:tr w14:paraId="20F1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5EC0882A">
            <w:pPr>
              <w:spacing w:before="0" w:after="0" w:line="240" w:lineRule="auto"/>
              <w:jc w:val="left"/>
            </w:pPr>
            <w:r>
              <w:rPr>
                <w:rFonts w:ascii="Calibri" w:hAnsi="Calibri" w:eastAsia="Calibri"/>
                <w:b w:val="0"/>
                <w:sz w:val="18"/>
              </w:rPr>
              <w:t>Đơn vị tính</w:t>
            </w:r>
          </w:p>
        </w:tc>
        <w:tc>
          <w:tcPr>
            <w:tcW w:w="6860" w:type="dxa"/>
            <w:shd w:val="clear" w:color="auto" w:fill="F2F4F7"/>
            <w:tcMar>
              <w:top w:w="70" w:type="dxa"/>
              <w:left w:w="120" w:type="dxa"/>
              <w:bottom w:w="70" w:type="dxa"/>
              <w:right w:w="120" w:type="dxa"/>
            </w:tcMar>
            <w:vAlign w:val="center"/>
          </w:tcPr>
          <w:p w14:paraId="43B89BF2">
            <w:pPr>
              <w:spacing w:before="0" w:after="0" w:line="240" w:lineRule="auto"/>
              <w:jc w:val="left"/>
            </w:pPr>
            <w:r>
              <w:rPr>
                <w:rFonts w:ascii="Calibri" w:hAnsi="Calibri" w:eastAsia="Calibri"/>
                <w:b w:val="0"/>
                <w:sz w:val="18"/>
              </w:rPr>
              <w:t>Lần, răng, hàm, trụ hoặc liệu trình</w:t>
            </w:r>
          </w:p>
        </w:tc>
      </w:tr>
      <w:tr w14:paraId="6DD5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380FD9F1">
            <w:pPr>
              <w:spacing w:before="0" w:after="0" w:line="240" w:lineRule="auto"/>
              <w:jc w:val="left"/>
            </w:pPr>
            <w:r>
              <w:rPr>
                <w:rFonts w:ascii="Calibri" w:hAnsi="Calibri" w:eastAsia="Calibri"/>
                <w:b w:val="0"/>
                <w:sz w:val="18"/>
              </w:rPr>
              <w:t>Giá hiện hành</w:t>
            </w:r>
          </w:p>
        </w:tc>
        <w:tc>
          <w:tcPr>
            <w:tcW w:w="6860" w:type="dxa"/>
            <w:tcMar>
              <w:top w:w="70" w:type="dxa"/>
              <w:left w:w="120" w:type="dxa"/>
              <w:bottom w:w="70" w:type="dxa"/>
              <w:right w:w="120" w:type="dxa"/>
            </w:tcMar>
            <w:vAlign w:val="center"/>
          </w:tcPr>
          <w:p w14:paraId="31F2E333">
            <w:pPr>
              <w:spacing w:before="0" w:after="0" w:line="240" w:lineRule="auto"/>
              <w:jc w:val="left"/>
            </w:pPr>
            <w:r>
              <w:rPr>
                <w:rFonts w:ascii="Calibri" w:hAnsi="Calibri" w:eastAsia="Calibri"/>
                <w:b w:val="0"/>
                <w:sz w:val="18"/>
              </w:rPr>
              <w:t>Giá đang được áp dụng</w:t>
            </w:r>
          </w:p>
        </w:tc>
      </w:tr>
      <w:tr w14:paraId="2912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0382C24B">
            <w:pPr>
              <w:spacing w:before="0" w:after="0" w:line="240" w:lineRule="auto"/>
              <w:jc w:val="left"/>
            </w:pPr>
            <w:r>
              <w:rPr>
                <w:rFonts w:ascii="Calibri" w:hAnsi="Calibri" w:eastAsia="Calibri"/>
                <w:b w:val="0"/>
                <w:sz w:val="18"/>
              </w:rPr>
              <w:t>Ngày có hiệu lực</w:t>
            </w:r>
          </w:p>
        </w:tc>
        <w:tc>
          <w:tcPr>
            <w:tcW w:w="6860" w:type="dxa"/>
            <w:shd w:val="clear" w:color="auto" w:fill="F2F4F7"/>
            <w:tcMar>
              <w:top w:w="70" w:type="dxa"/>
              <w:left w:w="120" w:type="dxa"/>
              <w:bottom w:w="70" w:type="dxa"/>
              <w:right w:w="120" w:type="dxa"/>
            </w:tcMar>
            <w:vAlign w:val="center"/>
          </w:tcPr>
          <w:p w14:paraId="7395586C">
            <w:pPr>
              <w:spacing w:before="0" w:after="0" w:line="240" w:lineRule="auto"/>
              <w:jc w:val="left"/>
            </w:pPr>
            <w:r>
              <w:rPr>
                <w:rFonts w:ascii="Calibri" w:hAnsi="Calibri" w:eastAsia="Calibri"/>
                <w:b w:val="0"/>
                <w:sz w:val="18"/>
              </w:rPr>
              <w:t>Thời điểm bắt đầu áp dụng giá</w:t>
            </w:r>
          </w:p>
        </w:tc>
      </w:tr>
      <w:tr w14:paraId="535A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3FAFA48D">
            <w:pPr>
              <w:spacing w:before="0" w:after="0" w:line="240" w:lineRule="auto"/>
              <w:jc w:val="left"/>
            </w:pPr>
            <w:r>
              <w:rPr>
                <w:rFonts w:ascii="Calibri" w:hAnsi="Calibri" w:eastAsia="Calibri"/>
                <w:b w:val="0"/>
                <w:sz w:val="18"/>
              </w:rPr>
              <w:t>Nội dung bao gồm</w:t>
            </w:r>
          </w:p>
        </w:tc>
        <w:tc>
          <w:tcPr>
            <w:tcW w:w="6860" w:type="dxa"/>
            <w:tcMar>
              <w:top w:w="70" w:type="dxa"/>
              <w:left w:w="120" w:type="dxa"/>
              <w:bottom w:w="70" w:type="dxa"/>
              <w:right w:w="120" w:type="dxa"/>
            </w:tcMar>
            <w:vAlign w:val="center"/>
          </w:tcPr>
          <w:p w14:paraId="59228F93">
            <w:pPr>
              <w:spacing w:before="0" w:after="0" w:line="240" w:lineRule="auto"/>
              <w:jc w:val="left"/>
            </w:pPr>
            <w:r>
              <w:rPr>
                <w:rFonts w:ascii="Calibri" w:hAnsi="Calibri" w:eastAsia="Calibri"/>
                <w:b w:val="0"/>
                <w:sz w:val="18"/>
              </w:rPr>
              <w:t>Khám, chụp phim, vật liệu, thuốc hoặc công tái khám</w:t>
            </w:r>
          </w:p>
        </w:tc>
      </w:tr>
      <w:tr w14:paraId="1728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62B3D1B7">
            <w:pPr>
              <w:spacing w:before="0" w:after="0" w:line="240" w:lineRule="auto"/>
              <w:jc w:val="left"/>
            </w:pPr>
            <w:r>
              <w:rPr>
                <w:rFonts w:ascii="Calibri" w:hAnsi="Calibri" w:eastAsia="Calibri"/>
                <w:b w:val="0"/>
                <w:sz w:val="18"/>
              </w:rPr>
              <w:t>Nội dung chưa bao gồm</w:t>
            </w:r>
          </w:p>
        </w:tc>
        <w:tc>
          <w:tcPr>
            <w:tcW w:w="6860" w:type="dxa"/>
            <w:shd w:val="clear" w:color="auto" w:fill="F2F4F7"/>
            <w:tcMar>
              <w:top w:w="70" w:type="dxa"/>
              <w:left w:w="120" w:type="dxa"/>
              <w:bottom w:w="70" w:type="dxa"/>
              <w:right w:w="120" w:type="dxa"/>
            </w:tcMar>
            <w:vAlign w:val="center"/>
          </w:tcPr>
          <w:p w14:paraId="45BBDA00">
            <w:pPr>
              <w:spacing w:before="0" w:after="0" w:line="240" w:lineRule="auto"/>
              <w:jc w:val="left"/>
            </w:pPr>
            <w:r>
              <w:rPr>
                <w:rFonts w:ascii="Calibri" w:hAnsi="Calibri" w:eastAsia="Calibri"/>
                <w:b w:val="0"/>
                <w:sz w:val="18"/>
              </w:rPr>
              <w:t>Vật liệu đặc biệt, ghép xương, mão sứ, thuốc mang về...</w:t>
            </w:r>
          </w:p>
        </w:tc>
      </w:tr>
      <w:tr w14:paraId="3B0C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70" w:type="dxa"/>
              <w:left w:w="120" w:type="dxa"/>
              <w:bottom w:w="70" w:type="dxa"/>
              <w:right w:w="120" w:type="dxa"/>
            </w:tcMar>
            <w:vAlign w:val="center"/>
          </w:tcPr>
          <w:p w14:paraId="238E1D8D">
            <w:pPr>
              <w:spacing w:before="0" w:after="0" w:line="240" w:lineRule="auto"/>
              <w:jc w:val="left"/>
            </w:pPr>
            <w:r>
              <w:rPr>
                <w:rFonts w:ascii="Calibri" w:hAnsi="Calibri" w:eastAsia="Calibri"/>
                <w:b w:val="0"/>
                <w:sz w:val="18"/>
              </w:rPr>
              <w:t>Trạng thái</w:t>
            </w:r>
          </w:p>
        </w:tc>
        <w:tc>
          <w:tcPr>
            <w:tcW w:w="6860" w:type="dxa"/>
            <w:tcMar>
              <w:top w:w="70" w:type="dxa"/>
              <w:left w:w="120" w:type="dxa"/>
              <w:bottom w:w="70" w:type="dxa"/>
              <w:right w:w="120" w:type="dxa"/>
            </w:tcMar>
            <w:vAlign w:val="center"/>
          </w:tcPr>
          <w:p w14:paraId="3FCF4AFC">
            <w:pPr>
              <w:spacing w:before="0" w:after="0" w:line="240" w:lineRule="auto"/>
              <w:jc w:val="left"/>
            </w:pPr>
            <w:r>
              <w:rPr>
                <w:rFonts w:ascii="Calibri" w:hAnsi="Calibri" w:eastAsia="Calibri"/>
                <w:b w:val="0"/>
                <w:sz w:val="18"/>
              </w:rPr>
              <w:t>Đang cung cấp hoặc ngừng cung cấp</w:t>
            </w:r>
          </w:p>
        </w:tc>
      </w:tr>
      <w:tr w14:paraId="4D06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F2F4F7"/>
            <w:tcMar>
              <w:top w:w="70" w:type="dxa"/>
              <w:left w:w="120" w:type="dxa"/>
              <w:bottom w:w="70" w:type="dxa"/>
              <w:right w:w="120" w:type="dxa"/>
            </w:tcMar>
            <w:vAlign w:val="center"/>
          </w:tcPr>
          <w:p w14:paraId="24CDAAA5">
            <w:pPr>
              <w:spacing w:before="0" w:after="0" w:line="240" w:lineRule="auto"/>
              <w:jc w:val="left"/>
            </w:pPr>
            <w:r>
              <w:rPr>
                <w:rFonts w:ascii="Calibri" w:hAnsi="Calibri" w:eastAsia="Calibri"/>
                <w:b w:val="0"/>
                <w:sz w:val="18"/>
              </w:rPr>
              <w:t>Chính sách thanh toán</w:t>
            </w:r>
          </w:p>
        </w:tc>
        <w:tc>
          <w:tcPr>
            <w:tcW w:w="6860" w:type="dxa"/>
            <w:shd w:val="clear" w:color="auto" w:fill="F2F4F7"/>
            <w:tcMar>
              <w:top w:w="70" w:type="dxa"/>
              <w:left w:w="120" w:type="dxa"/>
              <w:bottom w:w="70" w:type="dxa"/>
              <w:right w:w="120" w:type="dxa"/>
            </w:tcMar>
            <w:vAlign w:val="center"/>
          </w:tcPr>
          <w:p w14:paraId="0975EA5D">
            <w:pPr>
              <w:spacing w:before="0" w:after="0" w:line="240" w:lineRule="auto"/>
              <w:jc w:val="left"/>
            </w:pPr>
            <w:r>
              <w:rPr>
                <w:rFonts w:ascii="Calibri" w:hAnsi="Calibri" w:eastAsia="Calibri"/>
                <w:b w:val="0"/>
                <w:sz w:val="18"/>
              </w:rPr>
              <w:t>Thanh toán một lần, theo giai đoạn hoặc trả góp</w:t>
            </w:r>
          </w:p>
        </w:tc>
      </w:tr>
    </w:tbl>
    <w:p w14:paraId="7B0C9283">
      <w:pPr>
        <w:spacing w:before="40" w:after="0"/>
      </w:pPr>
    </w:p>
    <w:p w14:paraId="42B54075">
      <w:pPr>
        <w:pStyle w:val="4"/>
      </w:pPr>
      <w:r>
        <w:t>1.3. Giá dịch vụ có thay đổi không?</w:t>
      </w:r>
    </w:p>
    <w:p w14:paraId="52677AF6">
      <w:r>
        <w:t>Có. Mức giá có thể thay đổi do:</w:t>
      </w:r>
    </w:p>
    <w:p w14:paraId="3590FDDC">
      <w:pPr>
        <w:pStyle w:val="23"/>
        <w:spacing w:after="80" w:line="280" w:lineRule="auto"/>
        <w:ind w:left="720" w:hanging="360"/>
      </w:pPr>
      <w:r>
        <w:t>Giá vật liệu, thuốc và thiết bị thay đổi.</w:t>
      </w:r>
    </w:p>
    <w:p w14:paraId="189710B5">
      <w:pPr>
        <w:pStyle w:val="23"/>
        <w:spacing w:after="80" w:line="280" w:lineRule="auto"/>
        <w:ind w:left="720" w:hanging="360"/>
      </w:pPr>
      <w:r>
        <w:t>Thay đổi loại vật liệu hoặc thương hiệu sản phẩm.</w:t>
      </w:r>
    </w:p>
    <w:p w14:paraId="5451D56D">
      <w:pPr>
        <w:pStyle w:val="23"/>
        <w:spacing w:after="80" w:line="280" w:lineRule="auto"/>
        <w:ind w:left="720" w:hanging="360"/>
      </w:pPr>
      <w:r>
        <w:t>Độ khó và tình trạng răng của từng bệnh nhân.</w:t>
      </w:r>
    </w:p>
    <w:p w14:paraId="1AC5F222">
      <w:pPr>
        <w:pStyle w:val="23"/>
        <w:spacing w:after="80" w:line="280" w:lineRule="auto"/>
        <w:ind w:left="720" w:hanging="360"/>
      </w:pPr>
      <w:r>
        <w:t>Thay đổi kỹ thuật hoặc công nghệ điều trị.</w:t>
      </w:r>
    </w:p>
    <w:p w14:paraId="0B81343E">
      <w:pPr>
        <w:pStyle w:val="23"/>
        <w:spacing w:after="80" w:line="280" w:lineRule="auto"/>
        <w:ind w:left="720" w:hanging="360"/>
      </w:pPr>
      <w:r>
        <w:t>Chương trình ưu đãi của phòng khám.</w:t>
      </w:r>
    </w:p>
    <w:p w14:paraId="13F11928">
      <w:pPr>
        <w:pStyle w:val="23"/>
        <w:spacing w:after="80" w:line="280" w:lineRule="auto"/>
        <w:ind w:left="720" w:hanging="360"/>
      </w:pPr>
      <w:r>
        <w:t>Điều chỉnh chi phí nhân công, quản lý và vận hành.</w:t>
      </w:r>
    </w:p>
    <w:p w14:paraId="6686F802">
      <w:r>
        <w:t>Theo Điều 110 Luật Khám bệnh, chữa bệnh năm 2023, giá dịch vụ được hình thành từ giá thành toàn bộ, lợi nhuận dự kiến và nghĩa vụ tài chính. Giá thành bao gồm chi phí nhân công; thuốc, hóa chất, vật liệu và dụng cụ; khấu hao thiết bị; chi phí quản lý, bảo trì, kiểm soát nhiễm khuẩn và công nghệ thông tin. Cơ sở khám chữa bệnh tư nhân được quyết định giá nhưng phải kê khai và niêm yết công khai [1].</w:t>
      </w:r>
    </w:p>
    <w:p w14:paraId="48911D65">
      <w:r>
        <w:t>Do đó, phòng khám có thể điều chỉnh giá, nhưng cần lưu lại lịch sử giá và ngày áp dụng. Những lần điều trị đã được tư vấn hoặc báo giá trước cần xác định áp dụng giá cũ hay giá mới theo thỏa thuận với bệnh nhân.</w:t>
      </w:r>
    </w:p>
    <w:p w14:paraId="5FEB814A">
      <w:pPr>
        <w:pStyle w:val="4"/>
      </w:pPr>
      <w:r>
        <w:t>1.4. Một bệnh nhân có thể sử dụng bao nhiêu dịch vụ?</w:t>
      </w:r>
    </w:p>
    <w:p w14:paraId="22F7C305">
      <w:r>
        <w:t>Một bệnh nhân có thể sử dụng một hoặc nhiều dịch vụ trong cùng một lần đến khám. Ví dụ:</w:t>
      </w:r>
    </w:p>
    <w:p w14:paraId="6D3EA53A">
      <w:pPr>
        <w:pStyle w:val="23"/>
        <w:spacing w:after="80" w:line="280" w:lineRule="auto"/>
        <w:ind w:left="720" w:hanging="360"/>
      </w:pPr>
      <w:r>
        <w:t>Khám tổng quát.</w:t>
      </w:r>
    </w:p>
    <w:p w14:paraId="2D2F33A3">
      <w:pPr>
        <w:pStyle w:val="23"/>
        <w:spacing w:after="80" w:line="280" w:lineRule="auto"/>
        <w:ind w:left="720" w:hanging="360"/>
      </w:pPr>
      <w:r>
        <w:t>Chụp X-quang.</w:t>
      </w:r>
    </w:p>
    <w:p w14:paraId="07F9C292">
      <w:pPr>
        <w:pStyle w:val="23"/>
        <w:spacing w:after="80" w:line="280" w:lineRule="auto"/>
        <w:ind w:left="720" w:hanging="360"/>
      </w:pPr>
      <w:r>
        <w:t>Cạo vôi răng.</w:t>
      </w:r>
    </w:p>
    <w:p w14:paraId="61380C99">
      <w:pPr>
        <w:pStyle w:val="23"/>
        <w:spacing w:after="80" w:line="280" w:lineRule="auto"/>
        <w:ind w:left="720" w:hanging="360"/>
      </w:pPr>
      <w:r>
        <w:t>Trám hai răng sâu.</w:t>
      </w:r>
    </w:p>
    <w:p w14:paraId="69D887A0">
      <w:pPr>
        <w:pStyle w:val="23"/>
        <w:spacing w:after="80" w:line="280" w:lineRule="auto"/>
        <w:ind w:left="720" w:hanging="360"/>
      </w:pPr>
      <w:r>
        <w:t>Nhổ một răng.</w:t>
      </w:r>
    </w:p>
    <w:p w14:paraId="1C2A398D">
      <w:pPr>
        <w:pStyle w:val="23"/>
        <w:spacing w:after="80" w:line="280" w:lineRule="auto"/>
        <w:ind w:left="720" w:hanging="360"/>
      </w:pPr>
      <w:r>
        <w:t>Mua thuốc hoặc nhận đơn thuốc sau điều trị.</w:t>
      </w:r>
    </w:p>
    <w:p w14:paraId="31906E98">
      <w:r>
        <w:t>Đối với chỉnh nha, Implant hoặc phục hình nhiều răng, các dịch vụ có thể kéo dài qua nhiều buổi và nhiều giai đoạn. Vì vậy, cần phân biệt:</w:t>
      </w:r>
    </w:p>
    <w:p w14:paraId="0766D349">
      <w:pPr>
        <w:pStyle w:val="23"/>
        <w:spacing w:after="80" w:line="280" w:lineRule="auto"/>
        <w:ind w:left="720" w:hanging="360"/>
      </w:pPr>
      <w:r>
        <w:rPr>
          <w:b/>
        </w:rPr>
        <w:t xml:space="preserve">Lần khám: </w:t>
      </w:r>
      <w:r>
        <w:t>một lần bệnh nhân đến phòng khám.</w:t>
      </w:r>
    </w:p>
    <w:p w14:paraId="5D6E5920">
      <w:pPr>
        <w:pStyle w:val="23"/>
        <w:spacing w:after="80" w:line="280" w:lineRule="auto"/>
        <w:ind w:left="720" w:hanging="360"/>
      </w:pPr>
      <w:r>
        <w:rPr>
          <w:b/>
        </w:rPr>
        <w:t xml:space="preserve">Dịch vụ chỉ định: </w:t>
      </w:r>
      <w:r>
        <w:t>dịch vụ bác sĩ đề nghị thực hiện.</w:t>
      </w:r>
    </w:p>
    <w:p w14:paraId="6E477E80">
      <w:pPr>
        <w:pStyle w:val="23"/>
        <w:spacing w:after="80" w:line="280" w:lineRule="auto"/>
        <w:ind w:left="720" w:hanging="360"/>
      </w:pPr>
      <w:r>
        <w:rPr>
          <w:b/>
        </w:rPr>
        <w:t xml:space="preserve">Lần thực hiện dịch vụ: </w:t>
      </w:r>
      <w:r>
        <w:t>một công việc thực tế trong buổi điều trị.</w:t>
      </w:r>
    </w:p>
    <w:p w14:paraId="0D72787D">
      <w:pPr>
        <w:pStyle w:val="23"/>
        <w:spacing w:after="80" w:line="280" w:lineRule="auto"/>
        <w:ind w:left="720" w:hanging="360"/>
      </w:pPr>
      <w:r>
        <w:rPr>
          <w:b/>
        </w:rPr>
        <w:t xml:space="preserve">Liệu trình: </w:t>
      </w:r>
      <w:r>
        <w:t>tập hợp nhiều lần thực hiện.</w:t>
      </w:r>
    </w:p>
    <w:p w14:paraId="706CF555">
      <w:pPr>
        <w:pStyle w:val="23"/>
        <w:spacing w:after="80" w:line="280" w:lineRule="auto"/>
        <w:ind w:left="720" w:hanging="360"/>
      </w:pPr>
      <w:r>
        <w:rPr>
          <w:b/>
        </w:rPr>
        <w:t xml:space="preserve">Khoản phải thu: </w:t>
      </w:r>
      <w:r>
        <w:t>số tiền phát sinh từ dịch vụ.</w:t>
      </w:r>
    </w:p>
    <w:p w14:paraId="634008F1">
      <w:pPr>
        <w:pStyle w:val="23"/>
        <w:spacing w:after="80" w:line="280" w:lineRule="auto"/>
        <w:ind w:left="720" w:hanging="360"/>
      </w:pPr>
      <w:r>
        <w:rPr>
          <w:b/>
        </w:rPr>
        <w:t xml:space="preserve">Khoản đã thanh toán: </w:t>
      </w:r>
      <w:r>
        <w:t>số tiền bệnh nhân đã trả.</w:t>
      </w:r>
    </w:p>
    <w:p w14:paraId="28BFC7A5">
      <w:pPr>
        <w:pStyle w:val="3"/>
      </w:pPr>
      <w:r>
        <w:t>2. Chi phí điều trị</w:t>
      </w:r>
    </w:p>
    <w:p w14:paraId="2AFD4A8A">
      <w:pPr>
        <w:pStyle w:val="4"/>
      </w:pPr>
      <w:r>
        <w:t>2.1. Chi phí của một lần khám hoặc điều trị được hình thành như thế nào?</w:t>
      </w:r>
    </w:p>
    <w:p w14:paraId="1BB72EF9">
      <w:r>
        <w:t>Chi phí của bệnh nhân có thể được tính theo công thức tổng quát:</w:t>
      </w:r>
    </w:p>
    <w:p w14:paraId="5137C583">
      <w:pPr>
        <w:shd w:val="clear" w:fill="EEF3F8"/>
        <w:spacing w:before="100" w:after="140"/>
        <w:ind w:left="432" w:right="432"/>
        <w:jc w:val="center"/>
      </w:pPr>
      <w:r>
        <w:rPr>
          <w:rFonts w:ascii="Calibri" w:hAnsi="Calibri" w:eastAsia="Calibri"/>
          <w:b/>
          <w:color w:val="1F4D78"/>
          <w:sz w:val="21"/>
        </w:rPr>
        <w:t>Tổng chi phí = Tổng tiền dịch vụ + Thuốc, vật tư tính riêng + Chi phí phát sinh + Thuế (nếu có) - Giảm giá - Quyền lợi bảo hiểm/hỗ trợ (nếu có)</w:t>
      </w:r>
    </w:p>
    <w:p w14:paraId="7153974A">
      <w:r>
        <w:t>Số tiền bệnh nhân còn phải trả:</w:t>
      </w:r>
    </w:p>
    <w:p w14:paraId="1A160B24">
      <w:pPr>
        <w:shd w:val="clear" w:fill="EEF3F8"/>
        <w:spacing w:before="100" w:after="140"/>
        <w:ind w:left="432" w:right="432"/>
        <w:jc w:val="center"/>
      </w:pPr>
      <w:r>
        <w:rPr>
          <w:rFonts w:ascii="Calibri" w:hAnsi="Calibri" w:eastAsia="Calibri"/>
          <w:b/>
          <w:color w:val="1F4D78"/>
          <w:sz w:val="21"/>
        </w:rPr>
        <w:t>Số tiền còn lại = Tổng chi phí - Tiền đặt cọc - Các lần thanh toán trước</w:t>
      </w:r>
    </w:p>
    <w:p w14:paraId="3D16CF51">
      <w:r>
        <w:t>Ví dụ, bệnh nhân đến điều trị một răng sâu có thể phát sinh:</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0"/>
        <w:gridCol w:w="6160"/>
      </w:tblGrid>
      <w:tr w14:paraId="340E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00" w:type="dxa"/>
            <w:shd w:val="clear" w:color="auto" w:fill="2E74B5"/>
            <w:tcMar>
              <w:top w:w="70" w:type="dxa"/>
              <w:left w:w="120" w:type="dxa"/>
              <w:bottom w:w="70" w:type="dxa"/>
              <w:right w:w="120" w:type="dxa"/>
            </w:tcMar>
            <w:vAlign w:val="center"/>
          </w:tcPr>
          <w:p w14:paraId="57580E87">
            <w:pPr>
              <w:spacing w:before="0" w:after="0" w:line="240" w:lineRule="auto"/>
              <w:jc w:val="center"/>
            </w:pPr>
            <w:r>
              <w:rPr>
                <w:rFonts w:ascii="Calibri" w:hAnsi="Calibri" w:eastAsia="Calibri"/>
                <w:b/>
                <w:color w:val="FFFFFF"/>
                <w:sz w:val="18"/>
              </w:rPr>
              <w:t>Khoản chi phí</w:t>
            </w:r>
          </w:p>
        </w:tc>
        <w:tc>
          <w:tcPr>
            <w:tcW w:w="6160" w:type="dxa"/>
            <w:shd w:val="clear" w:color="auto" w:fill="2E74B5"/>
            <w:tcMar>
              <w:top w:w="70" w:type="dxa"/>
              <w:left w:w="120" w:type="dxa"/>
              <w:bottom w:w="70" w:type="dxa"/>
              <w:right w:w="120" w:type="dxa"/>
            </w:tcMar>
            <w:vAlign w:val="center"/>
          </w:tcPr>
          <w:p w14:paraId="3F9D223C">
            <w:pPr>
              <w:spacing w:before="0" w:after="0" w:line="240" w:lineRule="auto"/>
              <w:jc w:val="center"/>
            </w:pPr>
            <w:r>
              <w:rPr>
                <w:rFonts w:ascii="Calibri" w:hAnsi="Calibri" w:eastAsia="Calibri"/>
                <w:b/>
                <w:color w:val="FFFFFF"/>
                <w:sz w:val="18"/>
              </w:rPr>
              <w:t>Cách tính</w:t>
            </w:r>
          </w:p>
        </w:tc>
      </w:tr>
      <w:tr w14:paraId="20FB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087C63A0">
            <w:pPr>
              <w:spacing w:before="0" w:after="0" w:line="240" w:lineRule="auto"/>
              <w:jc w:val="left"/>
            </w:pPr>
            <w:r>
              <w:rPr>
                <w:rFonts w:ascii="Calibri" w:hAnsi="Calibri" w:eastAsia="Calibri"/>
                <w:b w:val="0"/>
                <w:sz w:val="18"/>
              </w:rPr>
              <w:t>Khám và tư vấn</w:t>
            </w:r>
          </w:p>
        </w:tc>
        <w:tc>
          <w:tcPr>
            <w:tcW w:w="6160" w:type="dxa"/>
            <w:tcMar>
              <w:top w:w="70" w:type="dxa"/>
              <w:left w:w="120" w:type="dxa"/>
              <w:bottom w:w="70" w:type="dxa"/>
              <w:right w:w="120" w:type="dxa"/>
            </w:tcMar>
            <w:vAlign w:val="center"/>
          </w:tcPr>
          <w:p w14:paraId="0271C5A6">
            <w:pPr>
              <w:spacing w:before="0" w:after="0" w:line="240" w:lineRule="auto"/>
              <w:jc w:val="left"/>
            </w:pPr>
            <w:r>
              <w:rPr>
                <w:rFonts w:ascii="Calibri" w:hAnsi="Calibri" w:eastAsia="Calibri"/>
                <w:b w:val="0"/>
                <w:sz w:val="18"/>
              </w:rPr>
              <w:t>Miễn phí hoặc tính theo lần</w:t>
            </w:r>
          </w:p>
        </w:tc>
      </w:tr>
      <w:tr w14:paraId="42C3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7E247F24">
            <w:pPr>
              <w:spacing w:before="0" w:after="0" w:line="240" w:lineRule="auto"/>
              <w:jc w:val="left"/>
            </w:pPr>
            <w:r>
              <w:rPr>
                <w:rFonts w:ascii="Calibri" w:hAnsi="Calibri" w:eastAsia="Calibri"/>
                <w:b w:val="0"/>
                <w:sz w:val="18"/>
              </w:rPr>
              <w:t>Chụp X-quang</w:t>
            </w:r>
          </w:p>
        </w:tc>
        <w:tc>
          <w:tcPr>
            <w:tcW w:w="6160" w:type="dxa"/>
            <w:shd w:val="clear" w:color="auto" w:fill="F2F4F7"/>
            <w:tcMar>
              <w:top w:w="70" w:type="dxa"/>
              <w:left w:w="120" w:type="dxa"/>
              <w:bottom w:w="70" w:type="dxa"/>
              <w:right w:w="120" w:type="dxa"/>
            </w:tcMar>
            <w:vAlign w:val="center"/>
          </w:tcPr>
          <w:p w14:paraId="62FB5046">
            <w:pPr>
              <w:spacing w:before="0" w:after="0" w:line="240" w:lineRule="auto"/>
              <w:jc w:val="left"/>
            </w:pPr>
            <w:r>
              <w:rPr>
                <w:rFonts w:ascii="Calibri" w:hAnsi="Calibri" w:eastAsia="Calibri"/>
                <w:b w:val="0"/>
                <w:sz w:val="18"/>
              </w:rPr>
              <w:t>Tính theo lần chụp</w:t>
            </w:r>
          </w:p>
        </w:tc>
      </w:tr>
      <w:tr w14:paraId="0A2B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3BFE5ABA">
            <w:pPr>
              <w:spacing w:before="0" w:after="0" w:line="240" w:lineRule="auto"/>
              <w:jc w:val="left"/>
            </w:pPr>
            <w:r>
              <w:rPr>
                <w:rFonts w:ascii="Calibri" w:hAnsi="Calibri" w:eastAsia="Calibri"/>
                <w:b w:val="0"/>
                <w:sz w:val="18"/>
              </w:rPr>
              <w:t>Điều trị tủy</w:t>
            </w:r>
          </w:p>
        </w:tc>
        <w:tc>
          <w:tcPr>
            <w:tcW w:w="6160" w:type="dxa"/>
            <w:tcMar>
              <w:top w:w="70" w:type="dxa"/>
              <w:left w:w="120" w:type="dxa"/>
              <w:bottom w:w="70" w:type="dxa"/>
              <w:right w:w="120" w:type="dxa"/>
            </w:tcMar>
            <w:vAlign w:val="center"/>
          </w:tcPr>
          <w:p w14:paraId="104F073E">
            <w:pPr>
              <w:spacing w:before="0" w:after="0" w:line="240" w:lineRule="auto"/>
              <w:jc w:val="left"/>
            </w:pPr>
            <w:r>
              <w:rPr>
                <w:rFonts w:ascii="Calibri" w:hAnsi="Calibri" w:eastAsia="Calibri"/>
                <w:b w:val="0"/>
                <w:sz w:val="18"/>
              </w:rPr>
              <w:t>Tính theo răng và mức độ phức tạp</w:t>
            </w:r>
          </w:p>
        </w:tc>
      </w:tr>
      <w:tr w14:paraId="6326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3F40583D">
            <w:pPr>
              <w:spacing w:before="0" w:after="0" w:line="240" w:lineRule="auto"/>
              <w:jc w:val="left"/>
            </w:pPr>
            <w:r>
              <w:rPr>
                <w:rFonts w:ascii="Calibri" w:hAnsi="Calibri" w:eastAsia="Calibri"/>
                <w:b w:val="0"/>
                <w:sz w:val="18"/>
              </w:rPr>
              <w:t>Chốt răng</w:t>
            </w:r>
          </w:p>
        </w:tc>
        <w:tc>
          <w:tcPr>
            <w:tcW w:w="6160" w:type="dxa"/>
            <w:shd w:val="clear" w:color="auto" w:fill="F2F4F7"/>
            <w:tcMar>
              <w:top w:w="70" w:type="dxa"/>
              <w:left w:w="120" w:type="dxa"/>
              <w:bottom w:w="70" w:type="dxa"/>
              <w:right w:w="120" w:type="dxa"/>
            </w:tcMar>
            <w:vAlign w:val="center"/>
          </w:tcPr>
          <w:p w14:paraId="685BA9BA">
            <w:pPr>
              <w:spacing w:before="0" w:after="0" w:line="240" w:lineRule="auto"/>
              <w:jc w:val="left"/>
            </w:pPr>
            <w:r>
              <w:rPr>
                <w:rFonts w:ascii="Calibri" w:hAnsi="Calibri" w:eastAsia="Calibri"/>
                <w:b w:val="0"/>
                <w:sz w:val="18"/>
              </w:rPr>
              <w:t>Tính riêng nếu cần</w:t>
            </w:r>
          </w:p>
        </w:tc>
      </w:tr>
      <w:tr w14:paraId="7C96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470F88D2">
            <w:pPr>
              <w:spacing w:before="0" w:after="0" w:line="240" w:lineRule="auto"/>
              <w:jc w:val="left"/>
            </w:pPr>
            <w:r>
              <w:rPr>
                <w:rFonts w:ascii="Calibri" w:hAnsi="Calibri" w:eastAsia="Calibri"/>
                <w:b w:val="0"/>
                <w:sz w:val="18"/>
              </w:rPr>
              <w:t>Trám hoặc bọc răng</w:t>
            </w:r>
          </w:p>
        </w:tc>
        <w:tc>
          <w:tcPr>
            <w:tcW w:w="6160" w:type="dxa"/>
            <w:tcMar>
              <w:top w:w="70" w:type="dxa"/>
              <w:left w:w="120" w:type="dxa"/>
              <w:bottom w:w="70" w:type="dxa"/>
              <w:right w:w="120" w:type="dxa"/>
            </w:tcMar>
            <w:vAlign w:val="center"/>
          </w:tcPr>
          <w:p w14:paraId="28FEFA49">
            <w:pPr>
              <w:spacing w:before="0" w:after="0" w:line="240" w:lineRule="auto"/>
              <w:jc w:val="left"/>
            </w:pPr>
            <w:r>
              <w:rPr>
                <w:rFonts w:ascii="Calibri" w:hAnsi="Calibri" w:eastAsia="Calibri"/>
                <w:b w:val="0"/>
                <w:sz w:val="18"/>
              </w:rPr>
              <w:t>Tính theo răng và loại vật liệu</w:t>
            </w:r>
          </w:p>
        </w:tc>
      </w:tr>
      <w:tr w14:paraId="43A6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62B10D2C">
            <w:pPr>
              <w:spacing w:before="0" w:after="0" w:line="240" w:lineRule="auto"/>
              <w:jc w:val="left"/>
            </w:pPr>
            <w:r>
              <w:rPr>
                <w:rFonts w:ascii="Calibri" w:hAnsi="Calibri" w:eastAsia="Calibri"/>
                <w:b w:val="0"/>
                <w:sz w:val="18"/>
              </w:rPr>
              <w:t>Thuốc mang về</w:t>
            </w:r>
          </w:p>
        </w:tc>
        <w:tc>
          <w:tcPr>
            <w:tcW w:w="6160" w:type="dxa"/>
            <w:shd w:val="clear" w:color="auto" w:fill="F2F4F7"/>
            <w:tcMar>
              <w:top w:w="70" w:type="dxa"/>
              <w:left w:w="120" w:type="dxa"/>
              <w:bottom w:w="70" w:type="dxa"/>
              <w:right w:w="120" w:type="dxa"/>
            </w:tcMar>
            <w:vAlign w:val="center"/>
          </w:tcPr>
          <w:p w14:paraId="63C1EF77">
            <w:pPr>
              <w:spacing w:before="0" w:after="0" w:line="240" w:lineRule="auto"/>
              <w:jc w:val="left"/>
            </w:pPr>
            <w:r>
              <w:rPr>
                <w:rFonts w:ascii="Calibri" w:hAnsi="Calibri" w:eastAsia="Calibri"/>
                <w:b w:val="0"/>
                <w:sz w:val="18"/>
              </w:rPr>
              <w:t>Có thể bán hoặc tính riêng</w:t>
            </w:r>
          </w:p>
        </w:tc>
      </w:tr>
      <w:tr w14:paraId="67EA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Mar>
              <w:top w:w="70" w:type="dxa"/>
              <w:left w:w="120" w:type="dxa"/>
              <w:bottom w:w="70" w:type="dxa"/>
              <w:right w:w="120" w:type="dxa"/>
            </w:tcMar>
            <w:vAlign w:val="center"/>
          </w:tcPr>
          <w:p w14:paraId="46087507">
            <w:pPr>
              <w:spacing w:before="0" w:after="0" w:line="240" w:lineRule="auto"/>
              <w:jc w:val="left"/>
            </w:pPr>
            <w:r>
              <w:rPr>
                <w:rFonts w:ascii="Calibri" w:hAnsi="Calibri" w:eastAsia="Calibri"/>
                <w:b w:val="0"/>
                <w:sz w:val="18"/>
              </w:rPr>
              <w:t>Giảm giá</w:t>
            </w:r>
          </w:p>
        </w:tc>
        <w:tc>
          <w:tcPr>
            <w:tcW w:w="6160" w:type="dxa"/>
            <w:tcMar>
              <w:top w:w="70" w:type="dxa"/>
              <w:left w:w="120" w:type="dxa"/>
              <w:bottom w:w="70" w:type="dxa"/>
              <w:right w:w="120" w:type="dxa"/>
            </w:tcMar>
            <w:vAlign w:val="center"/>
          </w:tcPr>
          <w:p w14:paraId="4D9F8871">
            <w:pPr>
              <w:spacing w:before="0" w:after="0" w:line="240" w:lineRule="auto"/>
              <w:jc w:val="left"/>
            </w:pPr>
            <w:r>
              <w:rPr>
                <w:rFonts w:ascii="Calibri" w:hAnsi="Calibri" w:eastAsia="Calibri"/>
                <w:b w:val="0"/>
                <w:sz w:val="18"/>
              </w:rPr>
              <w:t>Trừ theo chương trình hoặc quyết định được duyệt</w:t>
            </w:r>
          </w:p>
        </w:tc>
      </w:tr>
      <w:tr w14:paraId="332F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shd w:val="clear" w:color="auto" w:fill="F2F4F7"/>
            <w:tcMar>
              <w:top w:w="70" w:type="dxa"/>
              <w:left w:w="120" w:type="dxa"/>
              <w:bottom w:w="70" w:type="dxa"/>
              <w:right w:w="120" w:type="dxa"/>
            </w:tcMar>
            <w:vAlign w:val="center"/>
          </w:tcPr>
          <w:p w14:paraId="501DBEEF">
            <w:pPr>
              <w:spacing w:before="0" w:after="0" w:line="240" w:lineRule="auto"/>
              <w:jc w:val="left"/>
            </w:pPr>
            <w:r>
              <w:rPr>
                <w:rFonts w:ascii="Calibri" w:hAnsi="Calibri" w:eastAsia="Calibri"/>
                <w:b w:val="0"/>
                <w:sz w:val="18"/>
              </w:rPr>
              <w:t>Tiền đã đặt cọc</w:t>
            </w:r>
          </w:p>
        </w:tc>
        <w:tc>
          <w:tcPr>
            <w:tcW w:w="6160" w:type="dxa"/>
            <w:shd w:val="clear" w:color="auto" w:fill="F2F4F7"/>
            <w:tcMar>
              <w:top w:w="70" w:type="dxa"/>
              <w:left w:w="120" w:type="dxa"/>
              <w:bottom w:w="70" w:type="dxa"/>
              <w:right w:w="120" w:type="dxa"/>
            </w:tcMar>
            <w:vAlign w:val="center"/>
          </w:tcPr>
          <w:p w14:paraId="71FAFE19">
            <w:pPr>
              <w:spacing w:before="0" w:after="0" w:line="240" w:lineRule="auto"/>
              <w:jc w:val="left"/>
            </w:pPr>
            <w:r>
              <w:rPr>
                <w:rFonts w:ascii="Calibri" w:hAnsi="Calibri" w:eastAsia="Calibri"/>
                <w:b w:val="0"/>
                <w:sz w:val="18"/>
              </w:rPr>
              <w:t>Trừ vào số tiền phải thanh toán</w:t>
            </w:r>
          </w:p>
        </w:tc>
      </w:tr>
    </w:tbl>
    <w:p w14:paraId="39E3DA99">
      <w:pPr>
        <w:spacing w:before="40" w:after="0"/>
      </w:pPr>
    </w:p>
    <w:p w14:paraId="0529B237">
      <w:r>
        <w:t>Luật Khám bệnh, chữa bệnh xác định thuốc, hóa chất, nguyên liệu, vật liệu, công cụ và dụng cụ là những thành phần của chi phí trực tiếp tạo nên giá dịch vụ [1]. Tuy nhiên, mỗi phòng khám có thể áp dụng hình thức giá trọn gói hoặc tách riêng từng khoản.</w:t>
      </w:r>
    </w:p>
    <w:p w14:paraId="4039DC4A">
      <w:pPr>
        <w:pStyle w:val="4"/>
      </w:pPr>
      <w:r>
        <w:t>2.2. Có thể sử dụng nhiều dịch vụ trong một lần khám không?</w:t>
      </w:r>
    </w:p>
    <w:p w14:paraId="2863FD25">
      <w:r>
        <w:t>Có. Trong cùng một buổi, bệnh nhân có thể được khám, chụp phim, vệ sinh răng và điều trị một hoặc nhiều răng. Mỗi dịch vụ nên được ghi thành một dòng chi phí riêng, với các thông tin:</w:t>
      </w:r>
    </w:p>
    <w:p w14:paraId="442923CB">
      <w:pPr>
        <w:pStyle w:val="23"/>
        <w:spacing w:after="80" w:line="280" w:lineRule="auto"/>
        <w:ind w:left="720" w:hanging="360"/>
      </w:pPr>
      <w:r>
        <w:t>Dịch vụ.</w:t>
      </w:r>
    </w:p>
    <w:p w14:paraId="4BB2FB90">
      <w:pPr>
        <w:pStyle w:val="23"/>
        <w:spacing w:after="80" w:line="280" w:lineRule="auto"/>
        <w:ind w:left="720" w:hanging="360"/>
      </w:pPr>
      <w:r>
        <w:t>Răng hoặc vùng điều trị.</w:t>
      </w:r>
    </w:p>
    <w:p w14:paraId="2285CDC2">
      <w:pPr>
        <w:pStyle w:val="23"/>
        <w:spacing w:after="80" w:line="280" w:lineRule="auto"/>
        <w:ind w:left="720" w:hanging="360"/>
      </w:pPr>
      <w:r>
        <w:t>Số lượng.</w:t>
      </w:r>
    </w:p>
    <w:p w14:paraId="495944EF">
      <w:pPr>
        <w:pStyle w:val="23"/>
        <w:spacing w:after="80" w:line="280" w:lineRule="auto"/>
        <w:ind w:left="720" w:hanging="360"/>
      </w:pPr>
      <w:r>
        <w:t>Đơn giá.</w:t>
      </w:r>
    </w:p>
    <w:p w14:paraId="49E74E98">
      <w:pPr>
        <w:pStyle w:val="23"/>
        <w:spacing w:after="80" w:line="280" w:lineRule="auto"/>
        <w:ind w:left="720" w:hanging="360"/>
      </w:pPr>
      <w:r>
        <w:t>Thành tiền.</w:t>
      </w:r>
    </w:p>
    <w:p w14:paraId="3B952A08">
      <w:pPr>
        <w:pStyle w:val="23"/>
        <w:spacing w:after="80" w:line="280" w:lineRule="auto"/>
        <w:ind w:left="720" w:hanging="360"/>
      </w:pPr>
      <w:r>
        <w:t>Bác sĩ chỉ định.</w:t>
      </w:r>
    </w:p>
    <w:p w14:paraId="66E0AA5A">
      <w:pPr>
        <w:pStyle w:val="23"/>
        <w:spacing w:after="80" w:line="280" w:lineRule="auto"/>
        <w:ind w:left="720" w:hanging="360"/>
      </w:pPr>
      <w:r>
        <w:t>Nhân viên hoặc bác sĩ thực hiện.</w:t>
      </w:r>
    </w:p>
    <w:p w14:paraId="61633F17">
      <w:pPr>
        <w:pStyle w:val="23"/>
        <w:spacing w:after="80" w:line="280" w:lineRule="auto"/>
        <w:ind w:left="720" w:hanging="360"/>
      </w:pPr>
      <w:r>
        <w:t>Trạng thái: đã chỉ định, đã thực hiện, đã hủy.</w:t>
      </w:r>
    </w:p>
    <w:p w14:paraId="3F754C5A">
      <w:pPr>
        <w:pStyle w:val="23"/>
        <w:spacing w:after="80" w:line="280" w:lineRule="auto"/>
        <w:ind w:left="720" w:hanging="360"/>
      </w:pPr>
      <w:r>
        <w:t>Trạng thái thanh toán.</w:t>
      </w:r>
    </w:p>
    <w:p w14:paraId="6EEECCFF">
      <w:r>
        <w:t>Chỉ những dịch vụ thực tế được thực hiện hoặc được xác nhận phải thu mới nên được đưa vào số tiền thanh toán cuối cùng.</w:t>
      </w:r>
    </w:p>
    <w:p w14:paraId="668A9A71">
      <w:pPr>
        <w:pStyle w:val="4"/>
      </w:pPr>
      <w:r>
        <w:t>2.3. Thuốc và vật tư được tính riêng hay tính chung?</w:t>
      </w:r>
    </w:p>
    <w:p w14:paraId="29BFAE99">
      <w:r>
        <w:t>Cả hai trường hợp đều có thể xảy ra:</w:t>
      </w:r>
    </w:p>
    <w:p w14:paraId="04308FF9">
      <w:pPr>
        <w:pStyle w:val="23"/>
        <w:spacing w:after="80" w:line="280" w:lineRule="auto"/>
        <w:ind w:left="720" w:hanging="360"/>
      </w:pPr>
      <w:r>
        <w:t>Giá trọn gói: thuốc và vật tư thông thường đã được tính trong giá dịch vụ.</w:t>
      </w:r>
    </w:p>
    <w:p w14:paraId="29074E63">
      <w:pPr>
        <w:pStyle w:val="23"/>
        <w:spacing w:after="80" w:line="280" w:lineRule="auto"/>
        <w:ind w:left="720" w:hanging="360"/>
      </w:pPr>
      <w:r>
        <w:t>Giá tách riêng: vật liệu đặc biệt, thuốc mang về, ghép xương, mão sứ, khớp nối Implant hoặc kỹ thuật bổ sung được tính thành khoản riêng.</w:t>
      </w:r>
    </w:p>
    <w:p w14:paraId="530DF80E">
      <w:r>
        <w:t>Ví dụ, chi phí Implant có thể bao gồm trụ Implant, khớp nối Abutment, mão răng sứ, ghép xương và các chi phí bổ sung. Bảng giá khảo sát tách riêng trụ Implant, Abutment và răng sứ trên Implant; vì vậy hệ thống cần cho biết rõ khoản nào đã bao gồm và khoản nào tính thêm [2].</w:t>
      </w:r>
    </w:p>
    <w:p w14:paraId="4241B1AC">
      <w:r>
        <w:t>Vì vậy, khi ghi nhận chi phí cần có trường đã bao gồm/chưa bao gồm để tránh thu trùng hoặc gây nhầm lẫn.</w:t>
      </w:r>
    </w:p>
    <w:p w14:paraId="084801C7">
      <w:pPr>
        <w:pStyle w:val="4"/>
      </w:pPr>
      <w:r>
        <w:t>2.4. Có đặt cọc không?</w:t>
      </w:r>
    </w:p>
    <w:p w14:paraId="52F269FA">
      <w:r>
        <w:t>Đặt cọc thường được áp dụng đối với:</w:t>
      </w:r>
    </w:p>
    <w:p w14:paraId="30F80A1B">
      <w:pPr>
        <w:pStyle w:val="23"/>
        <w:spacing w:after="80" w:line="280" w:lineRule="auto"/>
        <w:ind w:left="720" w:hanging="360"/>
      </w:pPr>
      <w:r>
        <w:t>Niềng răng.</w:t>
      </w:r>
    </w:p>
    <w:p w14:paraId="64CDD815">
      <w:pPr>
        <w:pStyle w:val="23"/>
        <w:spacing w:after="80" w:line="280" w:lineRule="auto"/>
        <w:ind w:left="720" w:hanging="360"/>
      </w:pPr>
      <w:r>
        <w:t>Cấy ghép Implant.</w:t>
      </w:r>
    </w:p>
    <w:p w14:paraId="5485B143">
      <w:pPr>
        <w:pStyle w:val="23"/>
        <w:spacing w:after="80" w:line="280" w:lineRule="auto"/>
        <w:ind w:left="720" w:hanging="360"/>
      </w:pPr>
      <w:r>
        <w:t>Làm răng sứ số lượng lớn.</w:t>
      </w:r>
    </w:p>
    <w:p w14:paraId="50DA8AE0">
      <w:pPr>
        <w:pStyle w:val="23"/>
        <w:spacing w:after="80" w:line="280" w:lineRule="auto"/>
        <w:ind w:left="720" w:hanging="360"/>
      </w:pPr>
      <w:r>
        <w:t>Đặt khay Invisalign hoặc khí cụ được sản xuất riêng.</w:t>
      </w:r>
    </w:p>
    <w:p w14:paraId="4ECF90E5">
      <w:pPr>
        <w:pStyle w:val="23"/>
        <w:spacing w:after="80" w:line="280" w:lineRule="auto"/>
        <w:ind w:left="720" w:hanging="360"/>
      </w:pPr>
      <w:r>
        <w:t>Đặt lịch phẫu thuật hoặc dịch vụ có chi phí cao.</w:t>
      </w:r>
    </w:p>
    <w:p w14:paraId="37F450F9">
      <w:r>
        <w:t>Tiền cọc có thể được trừ vào tổng chi phí điều trị. Cần ghi nhận số tiền, ngày đặt cọc, dịch vụ liên quan, phương thức thanh toán, người thu và điều kiện hoàn hoặc không hoàn cọc.</w:t>
      </w:r>
    </w:p>
    <w:p w14:paraId="56D73709">
      <w:r>
        <w:t>Việc hoàn cọc không có một quy trình giống nhau tại mọi phòng khám. Vì vậy, điều kiện hoàn hoặc không hoàn cọc cần được công khai, thỏa thuận trước và lưu cùng giao dịch để nhân viên có căn cứ xử lý.</w:t>
      </w:r>
    </w:p>
    <w:p w14:paraId="22145FD0">
      <w:pPr>
        <w:pStyle w:val="4"/>
      </w:pPr>
      <w:r>
        <w:t>2.5. Có giảm giá không?</w:t>
      </w:r>
    </w:p>
    <w:p w14:paraId="4BBC4853">
      <w:r>
        <w:t>Phòng khám có thể áp dụng:</w:t>
      </w:r>
    </w:p>
    <w:p w14:paraId="0C373EA1">
      <w:pPr>
        <w:pStyle w:val="23"/>
        <w:spacing w:after="80" w:line="280" w:lineRule="auto"/>
        <w:ind w:left="720" w:hanging="360"/>
      </w:pPr>
      <w:r>
        <w:t>Giảm theo phần trăm.</w:t>
      </w:r>
    </w:p>
    <w:p w14:paraId="1DCBDFE1">
      <w:pPr>
        <w:pStyle w:val="23"/>
        <w:spacing w:after="80" w:line="280" w:lineRule="auto"/>
        <w:ind w:left="720" w:hanging="360"/>
      </w:pPr>
      <w:r>
        <w:t>Giảm một số tiền cố định.</w:t>
      </w:r>
    </w:p>
    <w:p w14:paraId="29EADAB1">
      <w:pPr>
        <w:pStyle w:val="23"/>
        <w:spacing w:after="80" w:line="280" w:lineRule="auto"/>
        <w:ind w:left="720" w:hanging="360"/>
      </w:pPr>
      <w:r>
        <w:t>Gói dịch vụ trọn bộ.</w:t>
      </w:r>
    </w:p>
    <w:p w14:paraId="74C9E364">
      <w:pPr>
        <w:pStyle w:val="23"/>
        <w:spacing w:after="80" w:line="280" w:lineRule="auto"/>
        <w:ind w:left="720" w:hanging="360"/>
      </w:pPr>
      <w:r>
        <w:t>Miễn phí khám hoặc chụp phim khi sử dụng gói điều trị.</w:t>
      </w:r>
    </w:p>
    <w:p w14:paraId="3D5AF51E">
      <w:pPr>
        <w:pStyle w:val="23"/>
        <w:spacing w:after="80" w:line="280" w:lineRule="auto"/>
        <w:ind w:left="720" w:hanging="360"/>
      </w:pPr>
      <w:r>
        <w:t>Ưu đãi theo thời gian.</w:t>
      </w:r>
    </w:p>
    <w:p w14:paraId="5546576A">
      <w:pPr>
        <w:pStyle w:val="23"/>
        <w:spacing w:after="80" w:line="280" w:lineRule="auto"/>
        <w:ind w:left="720" w:hanging="360"/>
      </w:pPr>
      <w:r>
        <w:t>Ưu đãi cho khách hàng cũ hoặc người thân.</w:t>
      </w:r>
    </w:p>
    <w:p w14:paraId="2BB78409">
      <w:pPr>
        <w:pStyle w:val="23"/>
        <w:spacing w:after="80" w:line="280" w:lineRule="auto"/>
        <w:ind w:left="720" w:hanging="360"/>
      </w:pPr>
      <w:r>
        <w:t>Hỗ trợ theo quyết định của quản lý.</w:t>
      </w:r>
    </w:p>
    <w:p w14:paraId="7ABCAD05">
      <w:r>
        <w:t>Để tránh áp dụng sai, mỗi khoản giảm giá nên có lý do, giá trị, thời hạn, dịch vụ được áp dụng và người phê duyệt. Tổng tiền trước giảm và sau giảm cần được lưu riêng, không sửa trực tiếp đơn giá gốc.</w:t>
      </w:r>
    </w:p>
    <w:p w14:paraId="375ADEEE">
      <w:r>
        <w:t>Luật Bảo vệ quyền lợi người tiêu dùng yêu cầu tổ chức kinh doanh cung cấp chính xác, đầy đủ thông tin về giá, phí, chi phí, phương thức thanh toán và những khoản có thể phát sinh [3].</w:t>
      </w:r>
    </w:p>
    <w:p w14:paraId="45F89CA3">
      <w:pPr>
        <w:pStyle w:val="3"/>
      </w:pPr>
      <w:r>
        <w:t>3. Thanh toán</w:t>
      </w:r>
    </w:p>
    <w:p w14:paraId="482723A1">
      <w:pPr>
        <w:pStyle w:val="4"/>
      </w:pPr>
      <w:r>
        <w:t>3.1. Ai thực hiện thanh toán?</w:t>
      </w:r>
    </w:p>
    <w:p w14:paraId="42216792">
      <w:r>
        <w:t>Thông thường, lễ tân hoặc thu ngân thực hiện việc thu tiền. Ở phòng khám nhỏ, một nhân viên có thể vừa tiếp nhận bệnh nhân vừa thu tiền. Bác sĩ chủ yếu xác nhận dịch vụ đã thực hiện và các chi phí chuyên môn phát sinh.</w:t>
      </w:r>
    </w:p>
    <w:p w14:paraId="7EE2AF58">
      <w:r>
        <w:t>Quy trình cơ bản:</w:t>
      </w:r>
    </w:p>
    <w:p w14:paraId="2177D9A0">
      <w:pPr>
        <w:numPr>
          <w:ilvl w:val="0"/>
          <w:numId w:val="7"/>
        </w:numPr>
        <w:spacing w:after="80" w:line="280" w:lineRule="auto"/>
        <w:ind w:left="720" w:hanging="360"/>
      </w:pPr>
      <w:r>
        <w:t>Bác sĩ xác nhận dịch vụ đã thực hiện.</w:t>
      </w:r>
    </w:p>
    <w:p w14:paraId="5B24929F">
      <w:pPr>
        <w:numPr>
          <w:ilvl w:val="0"/>
          <w:numId w:val="7"/>
        </w:numPr>
        <w:spacing w:after="80" w:line="280" w:lineRule="auto"/>
        <w:ind w:left="720" w:hanging="360"/>
      </w:pPr>
      <w:r>
        <w:t>Lễ tân hoặc thu ngân kiểm tra các khoản phí.</w:t>
      </w:r>
    </w:p>
    <w:p w14:paraId="0D5353A6">
      <w:pPr>
        <w:numPr>
          <w:ilvl w:val="0"/>
          <w:numId w:val="7"/>
        </w:numPr>
        <w:spacing w:after="80" w:line="280" w:lineRule="auto"/>
        <w:ind w:left="720" w:hanging="360"/>
      </w:pPr>
      <w:r>
        <w:t>Áp dụng giảm giá hoặc trừ tiền cọc, nếu có.</w:t>
      </w:r>
    </w:p>
    <w:p w14:paraId="3E0580F2">
      <w:pPr>
        <w:numPr>
          <w:ilvl w:val="0"/>
          <w:numId w:val="7"/>
        </w:numPr>
        <w:spacing w:after="80" w:line="280" w:lineRule="auto"/>
        <w:ind w:left="720" w:hanging="360"/>
      </w:pPr>
      <w:r>
        <w:t>Thông báo số tiền phải trả cho bệnh nhân.</w:t>
      </w:r>
    </w:p>
    <w:p w14:paraId="529B8C33">
      <w:pPr>
        <w:numPr>
          <w:ilvl w:val="0"/>
          <w:numId w:val="7"/>
        </w:numPr>
        <w:spacing w:after="80" w:line="280" w:lineRule="auto"/>
        <w:ind w:left="720" w:hanging="360"/>
      </w:pPr>
      <w:r>
        <w:t>Bệnh nhân chọn phương thức thanh toán.</w:t>
      </w:r>
    </w:p>
    <w:p w14:paraId="70E24B36">
      <w:pPr>
        <w:numPr>
          <w:ilvl w:val="0"/>
          <w:numId w:val="7"/>
        </w:numPr>
        <w:spacing w:after="80" w:line="280" w:lineRule="auto"/>
        <w:ind w:left="720" w:hanging="360"/>
      </w:pPr>
      <w:r>
        <w:t>Nhân viên xác nhận giao dịch.</w:t>
      </w:r>
    </w:p>
    <w:p w14:paraId="269C12A2">
      <w:pPr>
        <w:numPr>
          <w:ilvl w:val="0"/>
          <w:numId w:val="7"/>
        </w:numPr>
        <w:spacing w:after="80" w:line="280" w:lineRule="auto"/>
        <w:ind w:left="720" w:hanging="360"/>
      </w:pPr>
      <w:r>
        <w:t>Ghi nhận số đã trả và số còn nợ.</w:t>
      </w:r>
    </w:p>
    <w:p w14:paraId="18F6EDEC">
      <w:pPr>
        <w:numPr>
          <w:ilvl w:val="0"/>
          <w:numId w:val="7"/>
        </w:numPr>
        <w:spacing w:after="80" w:line="280" w:lineRule="auto"/>
        <w:ind w:left="720" w:hanging="360"/>
      </w:pPr>
      <w:r>
        <w:t>Chuyển trạng thái lần khám thành đã thanh toán hoặc thanh toán một phần.</w:t>
      </w:r>
    </w:p>
    <w:p w14:paraId="7451BE84">
      <w:pPr>
        <w:pStyle w:val="4"/>
      </w:pPr>
      <w:r>
        <w:t>3.2. Thanh toán vào thời điểm nào?</w:t>
      </w:r>
    </w:p>
    <w:p w14:paraId="11572B60">
      <w:r>
        <w:t>Thời điểm thanh toán phụ thuộc vào dịch vụ:</w:t>
      </w:r>
    </w:p>
    <w:p w14:paraId="79841FE3">
      <w:pPr>
        <w:pStyle w:val="23"/>
        <w:spacing w:after="80" w:line="280" w:lineRule="auto"/>
        <w:ind w:left="720" w:hanging="360"/>
      </w:pPr>
      <w:r>
        <w:t>Dịch vụ ngắn: thanh toán sau khi hoàn thành.</w:t>
      </w:r>
    </w:p>
    <w:p w14:paraId="23F88317">
      <w:pPr>
        <w:pStyle w:val="23"/>
        <w:spacing w:after="80" w:line="280" w:lineRule="auto"/>
        <w:ind w:left="720" w:hanging="360"/>
      </w:pPr>
      <w:r>
        <w:t>Dịch vụ cần chuẩn bị vật liệu riêng: đặt cọc trước khi thực hiện.</w:t>
      </w:r>
    </w:p>
    <w:p w14:paraId="1370263D">
      <w:pPr>
        <w:pStyle w:val="23"/>
        <w:spacing w:after="80" w:line="280" w:lineRule="auto"/>
        <w:ind w:left="720" w:hanging="360"/>
      </w:pPr>
      <w:r>
        <w:t>Điều trị nhiều giai đoạn: thanh toán theo từng giai đoạn.</w:t>
      </w:r>
    </w:p>
    <w:p w14:paraId="4BC4240C">
      <w:pPr>
        <w:pStyle w:val="23"/>
        <w:spacing w:after="80" w:line="280" w:lineRule="auto"/>
        <w:ind w:left="720" w:hanging="360"/>
      </w:pPr>
      <w:r>
        <w:t>Niềng răng hoặc Implant: có thể trả trước một phần và thanh toán dần.</w:t>
      </w:r>
    </w:p>
    <w:p w14:paraId="24B12DBA">
      <w:r>
        <w:t>Thực tế, một số bảng giá nha khoa công khai áp dụng trả góp lãi suất 0% cho phục hình, Implant và chỉnh nha. Điều này cho thấy hệ thống cần hỗ trợ thanh toán nhiều đợt thay vì mặc định một lần điều trị tương ứng với một lần thu tiền [2].</w:t>
      </w:r>
    </w:p>
    <w:p w14:paraId="3D3E44A6">
      <w:pPr>
        <w:pStyle w:val="4"/>
      </w:pPr>
      <w:r>
        <w:t>3.3. Các phương thức thanh toán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360"/>
      </w:tblGrid>
      <w:tr w14:paraId="3180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shd w:val="clear" w:color="auto" w:fill="2E74B5"/>
            <w:tcMar>
              <w:top w:w="70" w:type="dxa"/>
              <w:left w:w="120" w:type="dxa"/>
              <w:bottom w:w="70" w:type="dxa"/>
              <w:right w:w="120" w:type="dxa"/>
            </w:tcMar>
            <w:vAlign w:val="center"/>
          </w:tcPr>
          <w:p w14:paraId="17ECDC18">
            <w:pPr>
              <w:spacing w:before="0" w:after="0" w:line="240" w:lineRule="auto"/>
              <w:jc w:val="center"/>
            </w:pPr>
            <w:r>
              <w:rPr>
                <w:rFonts w:ascii="Calibri" w:hAnsi="Calibri" w:eastAsia="Calibri"/>
                <w:b/>
                <w:color w:val="FFFFFF"/>
                <w:sz w:val="18"/>
              </w:rPr>
              <w:t>Phương thức</w:t>
            </w:r>
          </w:p>
        </w:tc>
        <w:tc>
          <w:tcPr>
            <w:tcW w:w="6360" w:type="dxa"/>
            <w:shd w:val="clear" w:color="auto" w:fill="2E74B5"/>
            <w:tcMar>
              <w:top w:w="70" w:type="dxa"/>
              <w:left w:w="120" w:type="dxa"/>
              <w:bottom w:w="70" w:type="dxa"/>
              <w:right w:w="120" w:type="dxa"/>
            </w:tcMar>
            <w:vAlign w:val="center"/>
          </w:tcPr>
          <w:p w14:paraId="5ED445B2">
            <w:pPr>
              <w:spacing w:before="0" w:after="0" w:line="240" w:lineRule="auto"/>
              <w:jc w:val="center"/>
            </w:pPr>
            <w:r>
              <w:rPr>
                <w:rFonts w:ascii="Calibri" w:hAnsi="Calibri" w:eastAsia="Calibri"/>
                <w:b/>
                <w:color w:val="FFFFFF"/>
                <w:sz w:val="18"/>
              </w:rPr>
              <w:t>Cách thực hiện</w:t>
            </w:r>
          </w:p>
        </w:tc>
      </w:tr>
      <w:tr w14:paraId="00EC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3316B39D">
            <w:pPr>
              <w:spacing w:before="0" w:after="0" w:line="240" w:lineRule="auto"/>
              <w:jc w:val="left"/>
            </w:pPr>
            <w:r>
              <w:rPr>
                <w:rFonts w:ascii="Calibri" w:hAnsi="Calibri" w:eastAsia="Calibri"/>
                <w:b w:val="0"/>
                <w:sz w:val="18"/>
              </w:rPr>
              <w:t>Tiền mặt</w:t>
            </w:r>
          </w:p>
        </w:tc>
        <w:tc>
          <w:tcPr>
            <w:tcW w:w="6360" w:type="dxa"/>
            <w:tcMar>
              <w:top w:w="70" w:type="dxa"/>
              <w:left w:w="120" w:type="dxa"/>
              <w:bottom w:w="70" w:type="dxa"/>
              <w:right w:w="120" w:type="dxa"/>
            </w:tcMar>
            <w:vAlign w:val="center"/>
          </w:tcPr>
          <w:p w14:paraId="0B956370">
            <w:pPr>
              <w:spacing w:before="0" w:after="0" w:line="240" w:lineRule="auto"/>
              <w:jc w:val="left"/>
            </w:pPr>
            <w:r>
              <w:rPr>
                <w:rFonts w:ascii="Calibri" w:hAnsi="Calibri" w:eastAsia="Calibri"/>
                <w:b w:val="0"/>
                <w:sz w:val="18"/>
              </w:rPr>
              <w:t>Nộp trực tiếp tại quầy</w:t>
            </w:r>
          </w:p>
        </w:tc>
      </w:tr>
      <w:tr w14:paraId="15AA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2F4F7"/>
            <w:tcMar>
              <w:top w:w="70" w:type="dxa"/>
              <w:left w:w="120" w:type="dxa"/>
              <w:bottom w:w="70" w:type="dxa"/>
              <w:right w:w="120" w:type="dxa"/>
            </w:tcMar>
            <w:vAlign w:val="center"/>
          </w:tcPr>
          <w:p w14:paraId="7CA5255B">
            <w:pPr>
              <w:spacing w:before="0" w:after="0" w:line="240" w:lineRule="auto"/>
              <w:jc w:val="left"/>
            </w:pPr>
            <w:r>
              <w:rPr>
                <w:rFonts w:ascii="Calibri" w:hAnsi="Calibri" w:eastAsia="Calibri"/>
                <w:b w:val="0"/>
                <w:sz w:val="18"/>
              </w:rPr>
              <w:t>Chuyển khoản</w:t>
            </w:r>
          </w:p>
        </w:tc>
        <w:tc>
          <w:tcPr>
            <w:tcW w:w="6360" w:type="dxa"/>
            <w:shd w:val="clear" w:color="auto" w:fill="F2F4F7"/>
            <w:tcMar>
              <w:top w:w="70" w:type="dxa"/>
              <w:left w:w="120" w:type="dxa"/>
              <w:bottom w:w="70" w:type="dxa"/>
              <w:right w:w="120" w:type="dxa"/>
            </w:tcMar>
            <w:vAlign w:val="center"/>
          </w:tcPr>
          <w:p w14:paraId="7B7BAC8F">
            <w:pPr>
              <w:spacing w:before="0" w:after="0" w:line="240" w:lineRule="auto"/>
              <w:jc w:val="left"/>
            </w:pPr>
            <w:r>
              <w:rPr>
                <w:rFonts w:ascii="Calibri" w:hAnsi="Calibri" w:eastAsia="Calibri"/>
                <w:b w:val="0"/>
                <w:sz w:val="18"/>
              </w:rPr>
              <w:t>Chuyển vào tài khoản của phòng khám</w:t>
            </w:r>
          </w:p>
        </w:tc>
      </w:tr>
      <w:tr w14:paraId="4495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12D943E0">
            <w:pPr>
              <w:spacing w:before="0" w:after="0" w:line="240" w:lineRule="auto"/>
              <w:jc w:val="left"/>
            </w:pPr>
            <w:r>
              <w:rPr>
                <w:rFonts w:ascii="Calibri" w:hAnsi="Calibri" w:eastAsia="Calibri"/>
                <w:b w:val="0"/>
                <w:sz w:val="18"/>
              </w:rPr>
              <w:t>Thẻ ngân hàng</w:t>
            </w:r>
          </w:p>
        </w:tc>
        <w:tc>
          <w:tcPr>
            <w:tcW w:w="6360" w:type="dxa"/>
            <w:tcMar>
              <w:top w:w="70" w:type="dxa"/>
              <w:left w:w="120" w:type="dxa"/>
              <w:bottom w:w="70" w:type="dxa"/>
              <w:right w:w="120" w:type="dxa"/>
            </w:tcMar>
            <w:vAlign w:val="center"/>
          </w:tcPr>
          <w:p w14:paraId="7F5E4724">
            <w:pPr>
              <w:spacing w:before="0" w:after="0" w:line="240" w:lineRule="auto"/>
              <w:jc w:val="left"/>
            </w:pPr>
            <w:r>
              <w:rPr>
                <w:rFonts w:ascii="Calibri" w:hAnsi="Calibri" w:eastAsia="Calibri"/>
                <w:b w:val="0"/>
                <w:sz w:val="18"/>
              </w:rPr>
              <w:t>Thanh toán qua máy POS</w:t>
            </w:r>
          </w:p>
        </w:tc>
      </w:tr>
      <w:tr w14:paraId="55EF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2F4F7"/>
            <w:tcMar>
              <w:top w:w="70" w:type="dxa"/>
              <w:left w:w="120" w:type="dxa"/>
              <w:bottom w:w="70" w:type="dxa"/>
              <w:right w:w="120" w:type="dxa"/>
            </w:tcMar>
            <w:vAlign w:val="center"/>
          </w:tcPr>
          <w:p w14:paraId="1EEA2958">
            <w:pPr>
              <w:spacing w:before="0" w:after="0" w:line="240" w:lineRule="auto"/>
              <w:jc w:val="left"/>
            </w:pPr>
            <w:r>
              <w:rPr>
                <w:rFonts w:ascii="Calibri" w:hAnsi="Calibri" w:eastAsia="Calibri"/>
                <w:b w:val="0"/>
                <w:sz w:val="18"/>
              </w:rPr>
              <w:t>Thẻ tín dụng</w:t>
            </w:r>
          </w:p>
        </w:tc>
        <w:tc>
          <w:tcPr>
            <w:tcW w:w="6360" w:type="dxa"/>
            <w:shd w:val="clear" w:color="auto" w:fill="F2F4F7"/>
            <w:tcMar>
              <w:top w:w="70" w:type="dxa"/>
              <w:left w:w="120" w:type="dxa"/>
              <w:bottom w:w="70" w:type="dxa"/>
              <w:right w:w="120" w:type="dxa"/>
            </w:tcMar>
            <w:vAlign w:val="center"/>
          </w:tcPr>
          <w:p w14:paraId="00743B52">
            <w:pPr>
              <w:spacing w:before="0" w:after="0" w:line="240" w:lineRule="auto"/>
              <w:jc w:val="left"/>
            </w:pPr>
            <w:r>
              <w:rPr>
                <w:rFonts w:ascii="Calibri" w:hAnsi="Calibri" w:eastAsia="Calibri"/>
                <w:b w:val="0"/>
                <w:sz w:val="18"/>
              </w:rPr>
              <w:t>Thanh toán một lần hoặc chuyển đổi trả góp</w:t>
            </w:r>
          </w:p>
        </w:tc>
      </w:tr>
      <w:tr w14:paraId="78A0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5F0BB81F">
            <w:pPr>
              <w:spacing w:before="0" w:after="0" w:line="240" w:lineRule="auto"/>
              <w:jc w:val="left"/>
            </w:pPr>
            <w:r>
              <w:rPr>
                <w:rFonts w:ascii="Calibri" w:hAnsi="Calibri" w:eastAsia="Calibri"/>
                <w:b w:val="0"/>
                <w:sz w:val="18"/>
              </w:rPr>
              <w:t>Ví điện tử/mã QR</w:t>
            </w:r>
          </w:p>
        </w:tc>
        <w:tc>
          <w:tcPr>
            <w:tcW w:w="6360" w:type="dxa"/>
            <w:tcMar>
              <w:top w:w="70" w:type="dxa"/>
              <w:left w:w="120" w:type="dxa"/>
              <w:bottom w:w="70" w:type="dxa"/>
              <w:right w:w="120" w:type="dxa"/>
            </w:tcMar>
            <w:vAlign w:val="center"/>
          </w:tcPr>
          <w:p w14:paraId="25C85163">
            <w:pPr>
              <w:spacing w:before="0" w:after="0" w:line="240" w:lineRule="auto"/>
              <w:jc w:val="left"/>
            </w:pPr>
            <w:r>
              <w:rPr>
                <w:rFonts w:ascii="Calibri" w:hAnsi="Calibri" w:eastAsia="Calibri"/>
                <w:b w:val="0"/>
                <w:sz w:val="18"/>
              </w:rPr>
              <w:t>MoMo, VNPay, ZaloPay hoặc nền tảng tương tự</w:t>
            </w:r>
          </w:p>
        </w:tc>
      </w:tr>
      <w:tr w14:paraId="7599E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2F4F7"/>
            <w:tcMar>
              <w:top w:w="70" w:type="dxa"/>
              <w:left w:w="120" w:type="dxa"/>
              <w:bottom w:w="70" w:type="dxa"/>
              <w:right w:w="120" w:type="dxa"/>
            </w:tcMar>
            <w:vAlign w:val="center"/>
          </w:tcPr>
          <w:p w14:paraId="34CBDB40">
            <w:pPr>
              <w:spacing w:before="0" w:after="0" w:line="240" w:lineRule="auto"/>
              <w:jc w:val="left"/>
            </w:pPr>
            <w:r>
              <w:rPr>
                <w:rFonts w:ascii="Calibri" w:hAnsi="Calibri" w:eastAsia="Calibri"/>
                <w:b w:val="0"/>
                <w:sz w:val="18"/>
              </w:rPr>
              <w:t>Bảo hiểm bảo lãnh</w:t>
            </w:r>
          </w:p>
        </w:tc>
        <w:tc>
          <w:tcPr>
            <w:tcW w:w="6360" w:type="dxa"/>
            <w:shd w:val="clear" w:color="auto" w:fill="F2F4F7"/>
            <w:tcMar>
              <w:top w:w="70" w:type="dxa"/>
              <w:left w:w="120" w:type="dxa"/>
              <w:bottom w:w="70" w:type="dxa"/>
              <w:right w:w="120" w:type="dxa"/>
            </w:tcMar>
            <w:vAlign w:val="center"/>
          </w:tcPr>
          <w:p w14:paraId="6B4F1BAB">
            <w:pPr>
              <w:spacing w:before="0" w:after="0" w:line="240" w:lineRule="auto"/>
              <w:jc w:val="left"/>
            </w:pPr>
            <w:r>
              <w:rPr>
                <w:rFonts w:ascii="Calibri" w:hAnsi="Calibri" w:eastAsia="Calibri"/>
                <w:b w:val="0"/>
                <w:sz w:val="18"/>
              </w:rPr>
              <w:t>Áp dụng nếu phòng khám có liên kết</w:t>
            </w:r>
          </w:p>
        </w:tc>
      </w:tr>
      <w:tr w14:paraId="2608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70" w:type="dxa"/>
              <w:left w:w="120" w:type="dxa"/>
              <w:bottom w:w="70" w:type="dxa"/>
              <w:right w:w="120" w:type="dxa"/>
            </w:tcMar>
            <w:vAlign w:val="center"/>
          </w:tcPr>
          <w:p w14:paraId="4091360B">
            <w:pPr>
              <w:spacing w:before="0" w:after="0" w:line="240" w:lineRule="auto"/>
              <w:jc w:val="left"/>
            </w:pPr>
            <w:r>
              <w:rPr>
                <w:rFonts w:ascii="Calibri" w:hAnsi="Calibri" w:eastAsia="Calibri"/>
                <w:b w:val="0"/>
                <w:sz w:val="18"/>
              </w:rPr>
              <w:t>Kết hợp nhiều phương thức</w:t>
            </w:r>
          </w:p>
        </w:tc>
        <w:tc>
          <w:tcPr>
            <w:tcW w:w="6360" w:type="dxa"/>
            <w:tcMar>
              <w:top w:w="70" w:type="dxa"/>
              <w:left w:w="120" w:type="dxa"/>
              <w:bottom w:w="70" w:type="dxa"/>
              <w:right w:w="120" w:type="dxa"/>
            </w:tcMar>
            <w:vAlign w:val="center"/>
          </w:tcPr>
          <w:p w14:paraId="633AB35B">
            <w:pPr>
              <w:spacing w:before="0" w:after="0" w:line="240" w:lineRule="auto"/>
              <w:jc w:val="left"/>
            </w:pPr>
            <w:r>
              <w:rPr>
                <w:rFonts w:ascii="Calibri" w:hAnsi="Calibri" w:eastAsia="Calibri"/>
                <w:b w:val="0"/>
                <w:sz w:val="18"/>
              </w:rPr>
              <w:t>Ví dụ một phần tiền mặt và phần còn lại chuyển khoản</w:t>
            </w:r>
          </w:p>
        </w:tc>
      </w:tr>
    </w:tbl>
    <w:p w14:paraId="43971921">
      <w:pPr>
        <w:spacing w:before="40" w:after="0"/>
      </w:pPr>
    </w:p>
    <w:p w14:paraId="3835AF19">
      <w:r>
        <w:t>Phương thức thanh toán thực tế do từng phòng khám lựa chọn. Hệ thống nội bộ nên cho phép cấu hình danh mục phương thức và lưu mã tham chiếu của giao dịch điện tử để phục vụ đối soát.</w:t>
      </w:r>
    </w:p>
    <w:p w14:paraId="2DB986B7">
      <w:pPr>
        <w:pStyle w:val="4"/>
      </w:pPr>
      <w:r>
        <w:t>3.4. Có thể thanh toán một phần không?</w:t>
      </w:r>
    </w:p>
    <w:p w14:paraId="337BEBB8">
      <w:r>
        <w:t>Có, đặc biệt với các liệu trình dài hoặc chi phí cao. Khi thanh toán một phần cần quản lý:</w:t>
      </w:r>
    </w:p>
    <w:p w14:paraId="7F65B0FE">
      <w:pPr>
        <w:pStyle w:val="23"/>
        <w:spacing w:after="80" w:line="280" w:lineRule="auto"/>
        <w:ind w:left="720" w:hanging="360"/>
      </w:pPr>
      <w:r>
        <w:t>Tổng số tiền phải thu.</w:t>
      </w:r>
    </w:p>
    <w:p w14:paraId="34A235F3">
      <w:pPr>
        <w:pStyle w:val="23"/>
        <w:spacing w:after="80" w:line="280" w:lineRule="auto"/>
        <w:ind w:left="720" w:hanging="360"/>
      </w:pPr>
      <w:r>
        <w:t>Số tiền đã đặt cọc.</w:t>
      </w:r>
    </w:p>
    <w:p w14:paraId="20BE8471">
      <w:pPr>
        <w:pStyle w:val="23"/>
        <w:spacing w:after="80" w:line="280" w:lineRule="auto"/>
        <w:ind w:left="720" w:hanging="360"/>
      </w:pPr>
      <w:r>
        <w:t>Số tiền của từng lần thanh toán.</w:t>
      </w:r>
    </w:p>
    <w:p w14:paraId="0882951A">
      <w:pPr>
        <w:pStyle w:val="23"/>
        <w:spacing w:after="80" w:line="280" w:lineRule="auto"/>
        <w:ind w:left="720" w:hanging="360"/>
      </w:pPr>
      <w:r>
        <w:t>Số tiền còn lại.</w:t>
      </w:r>
    </w:p>
    <w:p w14:paraId="02368982">
      <w:pPr>
        <w:pStyle w:val="23"/>
        <w:spacing w:after="80" w:line="280" w:lineRule="auto"/>
        <w:ind w:left="720" w:hanging="360"/>
      </w:pPr>
      <w:r>
        <w:t>Ngày đến hạn tiếp theo.</w:t>
      </w:r>
    </w:p>
    <w:p w14:paraId="7E232ABF">
      <w:pPr>
        <w:pStyle w:val="23"/>
        <w:spacing w:after="80" w:line="280" w:lineRule="auto"/>
        <w:ind w:left="720" w:hanging="360"/>
      </w:pPr>
      <w:r>
        <w:t>Phương thức của từng lần thanh toán.</w:t>
      </w:r>
    </w:p>
    <w:p w14:paraId="14F950B0">
      <w:pPr>
        <w:pStyle w:val="23"/>
        <w:spacing w:after="80" w:line="280" w:lineRule="auto"/>
        <w:ind w:left="720" w:hanging="360"/>
      </w:pPr>
      <w:r>
        <w:t>Trạng thái: chưa thanh toán, một phần, hoàn tất hoặc quá hạn.</w:t>
      </w:r>
    </w:p>
    <w:p w14:paraId="4144BEA7">
      <w:r>
        <w:t>Không nên coi một lần khám luôn tương ứng với một lần thanh toán, vì bệnh nhân có thể thanh toán cho nhiều lần điều trị cùng lúc hoặc chia một liệu trình thành nhiều đợt.</w:t>
      </w:r>
    </w:p>
    <w:p w14:paraId="540699E0">
      <w:pPr>
        <w:pStyle w:val="4"/>
      </w:pPr>
      <w:r>
        <w:t>3.5. Có hoàn tiền hoặc hủy giao dịch không?</w:t>
      </w:r>
    </w:p>
    <w:p w14:paraId="32F3833C">
      <w:r>
        <w:t>Có thể phát sinh trong các trường hợp:</w:t>
      </w:r>
    </w:p>
    <w:p w14:paraId="26825CEF">
      <w:pPr>
        <w:pStyle w:val="23"/>
        <w:spacing w:after="80" w:line="280" w:lineRule="auto"/>
        <w:ind w:left="720" w:hanging="360"/>
      </w:pPr>
      <w:r>
        <w:t>Nhân viên nhập sai số tiền.</w:t>
      </w:r>
    </w:p>
    <w:p w14:paraId="26D27A6D">
      <w:pPr>
        <w:pStyle w:val="23"/>
        <w:spacing w:after="80" w:line="280" w:lineRule="auto"/>
        <w:ind w:left="720" w:hanging="360"/>
      </w:pPr>
      <w:r>
        <w:t>Bệnh nhân chuyển khoản hai lần.</w:t>
      </w:r>
    </w:p>
    <w:p w14:paraId="5C4147A2">
      <w:pPr>
        <w:pStyle w:val="23"/>
        <w:spacing w:after="80" w:line="280" w:lineRule="auto"/>
        <w:ind w:left="720" w:hanging="360"/>
      </w:pPr>
      <w:r>
        <w:t>Dịch vụ đã thu tiền nhưng chưa được thực hiện.</w:t>
      </w:r>
    </w:p>
    <w:p w14:paraId="72DB30B7">
      <w:pPr>
        <w:pStyle w:val="23"/>
        <w:spacing w:after="80" w:line="280" w:lineRule="auto"/>
        <w:ind w:left="720" w:hanging="360"/>
      </w:pPr>
      <w:r>
        <w:t>Bệnh nhân hủy liệu trình.</w:t>
      </w:r>
    </w:p>
    <w:p w14:paraId="37868AEC">
      <w:pPr>
        <w:pStyle w:val="23"/>
        <w:spacing w:after="80" w:line="280" w:lineRule="auto"/>
        <w:ind w:left="720" w:hanging="360"/>
      </w:pPr>
      <w:r>
        <w:t>Phòng khám không thể tiếp tục cung cấp dịch vụ.</w:t>
      </w:r>
    </w:p>
    <w:p w14:paraId="33571D8C">
      <w:pPr>
        <w:pStyle w:val="23"/>
        <w:spacing w:after="80" w:line="280" w:lineRule="auto"/>
        <w:ind w:left="720" w:hanging="360"/>
      </w:pPr>
      <w:r>
        <w:t>Hai bên thống nhất điều chỉnh kế hoạch điều trị.</w:t>
      </w:r>
    </w:p>
    <w:p w14:paraId="0F45A74B">
      <w:r>
        <w:t>Hoàn tiền cần được phân biệt với hủy giao dịch:</w:t>
      </w:r>
    </w:p>
    <w:p w14:paraId="6C1712EF">
      <w:pPr>
        <w:pStyle w:val="23"/>
        <w:spacing w:after="80" w:line="280" w:lineRule="auto"/>
        <w:ind w:left="720" w:hanging="360"/>
      </w:pPr>
      <w:r>
        <w:t>Hủy giao dịch: giao dịch bị ghi nhận sai và được vô hiệu hóa.</w:t>
      </w:r>
    </w:p>
    <w:p w14:paraId="494E7B47">
      <w:pPr>
        <w:pStyle w:val="23"/>
        <w:spacing w:after="80" w:line="280" w:lineRule="auto"/>
        <w:ind w:left="720" w:hanging="360"/>
      </w:pPr>
      <w:r>
        <w:t>Hoàn tiền: phòng khám đã nhận tiền, sau đó trả lại toàn bộ hoặc một phần.</w:t>
      </w:r>
    </w:p>
    <w:p w14:paraId="7F66AB14">
      <w:pPr>
        <w:pStyle w:val="23"/>
        <w:spacing w:after="80" w:line="280" w:lineRule="auto"/>
        <w:ind w:left="720" w:hanging="360"/>
      </w:pPr>
      <w:r>
        <w:t>Điều chỉnh: chuyển khoản tiền đã thu sang dịch vụ khác.</w:t>
      </w:r>
    </w:p>
    <w:p w14:paraId="6880407A">
      <w:r>
        <w:t>Mỗi lần hủy hoặc hoàn nên lưu lý do, số tiền, giao dịch gốc, người đề nghị, người phê duyệt, phương thức hoàn và thời điểm hoàn. Không nên xóa giao dịch cũ vì sẽ làm mất lịch sử đối soát.</w:t>
      </w:r>
    </w:p>
    <w:p w14:paraId="27E18D87">
      <w:pPr>
        <w:pStyle w:val="3"/>
      </w:pPr>
      <w:r>
        <w:t>4. Kết luận khảo sát</w:t>
      </w:r>
    </w:p>
    <w:p w14:paraId="782189F9">
      <w:r>
        <w:t>Dịch vụ nha khoa được quản lý theo danh mục, đơn vị tính và mức giá. Một bệnh nhân có thể sử dụng nhiều dịch vụ trong một lần khám hoặc trong một liệu trình kéo dài. Chi phí được hình thành từ các dịch vụ đã thực hiện, thuốc và vật tư, chi phí phát sinh, giảm giá và tiền đặt cọc.</w:t>
      </w:r>
    </w:p>
    <w:p w14:paraId="5C4F5736">
      <w:r>
        <w:t>Thanh toán có thể thực hiện bằng nhiều phương thức và có thể thanh toán toàn bộ hoặc từng phần. Đối với hệ thống chỉ dành cho nhân viên, những thông tin trọng tâm cần quản lý gồm:</w:t>
      </w:r>
    </w:p>
    <w:p w14:paraId="166808A0">
      <w:pPr>
        <w:pStyle w:val="23"/>
        <w:spacing w:after="80" w:line="280" w:lineRule="auto"/>
        <w:ind w:left="720" w:hanging="360"/>
      </w:pPr>
      <w:r>
        <w:t>Danh mục và lịch sử giá dịch vụ.</w:t>
      </w:r>
    </w:p>
    <w:p w14:paraId="3AF8E5CE">
      <w:pPr>
        <w:pStyle w:val="23"/>
        <w:spacing w:after="80" w:line="280" w:lineRule="auto"/>
        <w:ind w:left="720" w:hanging="360"/>
      </w:pPr>
      <w:r>
        <w:t>Dịch vụ được chỉ định và đã thực hiện.</w:t>
      </w:r>
    </w:p>
    <w:p w14:paraId="7692F406">
      <w:pPr>
        <w:pStyle w:val="23"/>
        <w:spacing w:after="80" w:line="280" w:lineRule="auto"/>
        <w:ind w:left="720" w:hanging="360"/>
      </w:pPr>
      <w:r>
        <w:t>Chi phí dự kiến và chi phí thực tế.</w:t>
      </w:r>
    </w:p>
    <w:p w14:paraId="396245E8">
      <w:pPr>
        <w:pStyle w:val="23"/>
        <w:spacing w:after="80" w:line="280" w:lineRule="auto"/>
        <w:ind w:left="720" w:hanging="360"/>
      </w:pPr>
      <w:r>
        <w:t>Tiền cọc, giảm giá và khoản phát sinh.</w:t>
      </w:r>
    </w:p>
    <w:p w14:paraId="1800B765">
      <w:pPr>
        <w:pStyle w:val="23"/>
        <w:spacing w:after="80" w:line="280" w:lineRule="auto"/>
        <w:ind w:left="720" w:hanging="360"/>
      </w:pPr>
      <w:r>
        <w:t>Các lần thanh toán và số tiền còn lại.</w:t>
      </w:r>
    </w:p>
    <w:p w14:paraId="6304A35E">
      <w:pPr>
        <w:pStyle w:val="23"/>
        <w:spacing w:after="80" w:line="280" w:lineRule="auto"/>
        <w:ind w:left="720" w:hanging="360"/>
      </w:pPr>
      <w:r>
        <w:t>Giao dịch hủy, điều chỉnh hoặc hoàn tiền.</w:t>
      </w:r>
    </w:p>
    <w:p w14:paraId="37C54994">
      <w:pPr>
        <w:pStyle w:val="23"/>
        <w:spacing w:after="80" w:line="280" w:lineRule="auto"/>
        <w:ind w:left="720" w:hanging="360"/>
      </w:pPr>
      <w:r>
        <w:t>Nhân viên thực hiện và phê duyệt giao dịch.</w:t>
      </w:r>
    </w:p>
    <w:p w14:paraId="6CF78AB8">
      <w:pPr>
        <w:pStyle w:val="2"/>
      </w:pPr>
      <w:r>
        <w:t>B. Quy trình nghiệp vụ</w:t>
      </w:r>
    </w:p>
    <w:p w14:paraId="0494FAD0">
      <w:r>
        <w:t>Quy trình dưới đây là quy trình đề xuất cho phần mềm nội bộ, được tổng hợp từ cách hình thành giá dịch vụ, yêu cầu công khai thông tin và quy định hóa đơn. Đây không phải là một quy trình pháp lý bắt buộc duy nhất; phòng khám có thể điều chỉnh theo cơ cấu nhân sự thực tế.</w:t>
      </w:r>
    </w:p>
    <w:p w14:paraId="551F2837">
      <w:pPr>
        <w:pStyle w:val="3"/>
      </w:pPr>
      <w:r>
        <w:t>1. Tác nhân và trách nhiệm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4881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0" w:type="dxa"/>
            <w:shd w:val="clear" w:color="auto" w:fill="2E74B5"/>
            <w:tcMar>
              <w:top w:w="70" w:type="dxa"/>
              <w:left w:w="120" w:type="dxa"/>
              <w:bottom w:w="70" w:type="dxa"/>
              <w:right w:w="120" w:type="dxa"/>
            </w:tcMar>
            <w:vAlign w:val="center"/>
          </w:tcPr>
          <w:p w14:paraId="73D6A536">
            <w:pPr>
              <w:spacing w:before="0" w:after="0" w:line="240" w:lineRule="auto"/>
              <w:jc w:val="center"/>
            </w:pPr>
            <w:r>
              <w:rPr>
                <w:rFonts w:ascii="Calibri" w:hAnsi="Calibri" w:eastAsia="Calibri"/>
                <w:b/>
                <w:color w:val="FFFFFF"/>
                <w:sz w:val="18"/>
              </w:rPr>
              <w:t>Tác nhân</w:t>
            </w:r>
          </w:p>
        </w:tc>
        <w:tc>
          <w:tcPr>
            <w:tcW w:w="7160" w:type="dxa"/>
            <w:shd w:val="clear" w:color="auto" w:fill="2E74B5"/>
            <w:tcMar>
              <w:top w:w="70" w:type="dxa"/>
              <w:left w:w="120" w:type="dxa"/>
              <w:bottom w:w="70" w:type="dxa"/>
              <w:right w:w="120" w:type="dxa"/>
            </w:tcMar>
            <w:vAlign w:val="center"/>
          </w:tcPr>
          <w:p w14:paraId="5B0D032D">
            <w:pPr>
              <w:spacing w:before="0" w:after="0" w:line="240" w:lineRule="auto"/>
              <w:jc w:val="center"/>
            </w:pPr>
            <w:r>
              <w:rPr>
                <w:rFonts w:ascii="Calibri" w:hAnsi="Calibri" w:eastAsia="Calibri"/>
                <w:b/>
                <w:color w:val="FFFFFF"/>
                <w:sz w:val="18"/>
              </w:rPr>
              <w:t>Trách nhiệm chính</w:t>
            </w:r>
          </w:p>
        </w:tc>
      </w:tr>
      <w:tr w14:paraId="4BDF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70" w:type="dxa"/>
              <w:left w:w="120" w:type="dxa"/>
              <w:bottom w:w="70" w:type="dxa"/>
              <w:right w:w="120" w:type="dxa"/>
            </w:tcMar>
            <w:vAlign w:val="center"/>
          </w:tcPr>
          <w:p w14:paraId="7F45A00F">
            <w:pPr>
              <w:spacing w:before="0" w:after="0" w:line="240" w:lineRule="auto"/>
              <w:jc w:val="left"/>
            </w:pPr>
            <w:r>
              <w:rPr>
                <w:rFonts w:ascii="Calibri" w:hAnsi="Calibri" w:eastAsia="Calibri"/>
                <w:b w:val="0"/>
                <w:sz w:val="18"/>
              </w:rPr>
              <w:t>Bác sĩ</w:t>
            </w:r>
          </w:p>
        </w:tc>
        <w:tc>
          <w:tcPr>
            <w:tcW w:w="7160" w:type="dxa"/>
            <w:tcMar>
              <w:top w:w="70" w:type="dxa"/>
              <w:left w:w="120" w:type="dxa"/>
              <w:bottom w:w="70" w:type="dxa"/>
              <w:right w:w="120" w:type="dxa"/>
            </w:tcMar>
            <w:vAlign w:val="center"/>
          </w:tcPr>
          <w:p w14:paraId="093DDB20">
            <w:pPr>
              <w:spacing w:before="0" w:after="0" w:line="240" w:lineRule="auto"/>
              <w:jc w:val="left"/>
            </w:pPr>
            <w:r>
              <w:rPr>
                <w:rFonts w:ascii="Calibri" w:hAnsi="Calibri" w:eastAsia="Calibri"/>
                <w:b w:val="0"/>
                <w:sz w:val="18"/>
              </w:rPr>
              <w:t>Chỉ định dịch vụ; xác nhận dịch vụ đã thực hiện; ghi nhận thay đổi chuyên môn hoặc khoản phát sinh.</w:t>
            </w:r>
          </w:p>
        </w:tc>
      </w:tr>
      <w:tr w14:paraId="72C3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shd w:val="clear" w:color="auto" w:fill="F2F4F7"/>
            <w:tcMar>
              <w:top w:w="70" w:type="dxa"/>
              <w:left w:w="120" w:type="dxa"/>
              <w:bottom w:w="70" w:type="dxa"/>
              <w:right w:w="120" w:type="dxa"/>
            </w:tcMar>
            <w:vAlign w:val="center"/>
          </w:tcPr>
          <w:p w14:paraId="747B23A9">
            <w:pPr>
              <w:spacing w:before="0" w:after="0" w:line="240" w:lineRule="auto"/>
              <w:jc w:val="left"/>
            </w:pPr>
            <w:r>
              <w:rPr>
                <w:rFonts w:ascii="Calibri" w:hAnsi="Calibri" w:eastAsia="Calibri"/>
                <w:b w:val="0"/>
                <w:sz w:val="18"/>
              </w:rPr>
              <w:t>Lễ tân/thu ngân</w:t>
            </w:r>
          </w:p>
        </w:tc>
        <w:tc>
          <w:tcPr>
            <w:tcW w:w="7160" w:type="dxa"/>
            <w:shd w:val="clear" w:color="auto" w:fill="F2F4F7"/>
            <w:tcMar>
              <w:top w:w="70" w:type="dxa"/>
              <w:left w:w="120" w:type="dxa"/>
              <w:bottom w:w="70" w:type="dxa"/>
              <w:right w:w="120" w:type="dxa"/>
            </w:tcMar>
            <w:vAlign w:val="center"/>
          </w:tcPr>
          <w:p w14:paraId="487F800E">
            <w:pPr>
              <w:spacing w:before="0" w:after="0" w:line="240" w:lineRule="auto"/>
              <w:jc w:val="left"/>
            </w:pPr>
            <w:r>
              <w:rPr>
                <w:rFonts w:ascii="Calibri" w:hAnsi="Calibri" w:eastAsia="Calibri"/>
                <w:b w:val="0"/>
                <w:sz w:val="18"/>
              </w:rPr>
              <w:t>Kiểm tra dịch vụ, giá, tiền cọc và ưu đãi; thông báo số tiền; thu tiền; lập phiếu thu; ghi nhận công nợ.</w:t>
            </w:r>
          </w:p>
        </w:tc>
      </w:tr>
      <w:tr w14:paraId="23BF5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70" w:type="dxa"/>
              <w:left w:w="120" w:type="dxa"/>
              <w:bottom w:w="70" w:type="dxa"/>
              <w:right w:w="120" w:type="dxa"/>
            </w:tcMar>
            <w:vAlign w:val="center"/>
          </w:tcPr>
          <w:p w14:paraId="75FA424E">
            <w:pPr>
              <w:spacing w:before="0" w:after="0" w:line="240" w:lineRule="auto"/>
              <w:jc w:val="left"/>
            </w:pPr>
            <w:r>
              <w:rPr>
                <w:rFonts w:ascii="Calibri" w:hAnsi="Calibri" w:eastAsia="Calibri"/>
                <w:b w:val="0"/>
                <w:sz w:val="18"/>
              </w:rPr>
              <w:t>Quản lý</w:t>
            </w:r>
          </w:p>
        </w:tc>
        <w:tc>
          <w:tcPr>
            <w:tcW w:w="7160" w:type="dxa"/>
            <w:tcMar>
              <w:top w:w="70" w:type="dxa"/>
              <w:left w:w="120" w:type="dxa"/>
              <w:bottom w:w="70" w:type="dxa"/>
              <w:right w:w="120" w:type="dxa"/>
            </w:tcMar>
            <w:vAlign w:val="center"/>
          </w:tcPr>
          <w:p w14:paraId="63D73CE4">
            <w:pPr>
              <w:spacing w:before="0" w:after="0" w:line="240" w:lineRule="auto"/>
              <w:jc w:val="left"/>
            </w:pPr>
            <w:r>
              <w:rPr>
                <w:rFonts w:ascii="Calibri" w:hAnsi="Calibri" w:eastAsia="Calibri"/>
                <w:b w:val="0"/>
                <w:sz w:val="18"/>
              </w:rPr>
              <w:t>Duyệt giảm giá vượt hạn mức; duyệt hủy, điều chỉnh, hoàn tiền; quản lý bảng giá và quyền thao tác.</w:t>
            </w:r>
          </w:p>
        </w:tc>
      </w:tr>
      <w:tr w14:paraId="6B65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shd w:val="clear" w:color="auto" w:fill="F2F4F7"/>
            <w:tcMar>
              <w:top w:w="70" w:type="dxa"/>
              <w:left w:w="120" w:type="dxa"/>
              <w:bottom w:w="70" w:type="dxa"/>
              <w:right w:w="120" w:type="dxa"/>
            </w:tcMar>
            <w:vAlign w:val="center"/>
          </w:tcPr>
          <w:p w14:paraId="36A91182">
            <w:pPr>
              <w:spacing w:before="0" w:after="0" w:line="240" w:lineRule="auto"/>
              <w:jc w:val="left"/>
            </w:pPr>
            <w:r>
              <w:rPr>
                <w:rFonts w:ascii="Calibri" w:hAnsi="Calibri" w:eastAsia="Calibri"/>
                <w:b w:val="0"/>
                <w:sz w:val="18"/>
              </w:rPr>
              <w:t>Kế toán</w:t>
            </w:r>
          </w:p>
        </w:tc>
        <w:tc>
          <w:tcPr>
            <w:tcW w:w="7160" w:type="dxa"/>
            <w:shd w:val="clear" w:color="auto" w:fill="F2F4F7"/>
            <w:tcMar>
              <w:top w:w="70" w:type="dxa"/>
              <w:left w:w="120" w:type="dxa"/>
              <w:bottom w:w="70" w:type="dxa"/>
              <w:right w:w="120" w:type="dxa"/>
            </w:tcMar>
            <w:vAlign w:val="center"/>
          </w:tcPr>
          <w:p w14:paraId="04BCBE50">
            <w:pPr>
              <w:spacing w:before="0" w:after="0" w:line="240" w:lineRule="auto"/>
              <w:jc w:val="left"/>
            </w:pPr>
            <w:r>
              <w:rPr>
                <w:rFonts w:ascii="Calibri" w:hAnsi="Calibri" w:eastAsia="Calibri"/>
                <w:b w:val="0"/>
                <w:sz w:val="18"/>
              </w:rPr>
              <w:t>Đối soát tiền mặt/chuyển khoản/POS; xử lý hóa đơn điện tử; theo dõi chênh lệch và báo cáo doanh thu.</w:t>
            </w:r>
          </w:p>
        </w:tc>
      </w:tr>
      <w:tr w14:paraId="67E5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70" w:type="dxa"/>
              <w:left w:w="120" w:type="dxa"/>
              <w:bottom w:w="70" w:type="dxa"/>
              <w:right w:w="120" w:type="dxa"/>
            </w:tcMar>
            <w:vAlign w:val="center"/>
          </w:tcPr>
          <w:p w14:paraId="53B59316">
            <w:pPr>
              <w:spacing w:before="0" w:after="0" w:line="240" w:lineRule="auto"/>
              <w:jc w:val="left"/>
            </w:pPr>
            <w:r>
              <w:rPr>
                <w:rFonts w:ascii="Calibri" w:hAnsi="Calibri" w:eastAsia="Calibri"/>
                <w:b w:val="0"/>
                <w:sz w:val="18"/>
              </w:rPr>
              <w:t>Hệ thống</w:t>
            </w:r>
          </w:p>
        </w:tc>
        <w:tc>
          <w:tcPr>
            <w:tcW w:w="7160" w:type="dxa"/>
            <w:tcMar>
              <w:top w:w="70" w:type="dxa"/>
              <w:left w:w="120" w:type="dxa"/>
              <w:bottom w:w="70" w:type="dxa"/>
              <w:right w:w="120" w:type="dxa"/>
            </w:tcMar>
            <w:vAlign w:val="center"/>
          </w:tcPr>
          <w:p w14:paraId="4EF88BEB">
            <w:pPr>
              <w:spacing w:before="0" w:after="0" w:line="240" w:lineRule="auto"/>
              <w:jc w:val="left"/>
            </w:pPr>
            <w:r>
              <w:rPr>
                <w:rFonts w:ascii="Calibri" w:hAnsi="Calibri" w:eastAsia="Calibri"/>
                <w:b w:val="0"/>
                <w:sz w:val="18"/>
              </w:rPr>
              <w:t>Tính tiền, kiểm tra trạng thái, lưu lịch sử giá và giao dịch, cảnh báo sai lệch, cung cấp dữ liệu đối soát.</w:t>
            </w:r>
          </w:p>
        </w:tc>
      </w:tr>
    </w:tbl>
    <w:p w14:paraId="33DD90E7">
      <w:pPr>
        <w:spacing w:before="40" w:after="0"/>
      </w:pPr>
    </w:p>
    <w:p w14:paraId="17274543">
      <w:pPr>
        <w:pStyle w:val="3"/>
      </w:pPr>
      <w:r>
        <w:t>2. Luồng chính: từ phát sinh dịch vụ đến hoàn tất thanh toán</w:t>
      </w:r>
    </w:p>
    <w:p w14:paraId="2F4791BA">
      <w:pPr>
        <w:shd w:val="clear" w:fill="EEF3F8"/>
        <w:spacing w:before="100" w:after="140"/>
        <w:ind w:left="432" w:right="432"/>
        <w:jc w:val="center"/>
      </w:pPr>
      <w:r>
        <w:rPr>
          <w:rFonts w:ascii="Calibri" w:hAnsi="Calibri" w:eastAsia="Calibri"/>
          <w:b/>
          <w:color w:val="1F4D78"/>
          <w:sz w:val="21"/>
        </w:rPr>
        <w:t>Chỉ định dịch vụ -&gt; Xác nhận thực hiện -&gt; Tính chi phí -&gt; Kiểm tra/duyệt -&gt; Thu tiền -&gt; Lập chứng từ -&gt; Đối soát</w:t>
      </w:r>
    </w:p>
    <w:p w14:paraId="7A3D76CF">
      <w:pPr>
        <w:numPr>
          <w:ilvl w:val="0"/>
          <w:numId w:val="8"/>
        </w:numPr>
        <w:spacing w:after="80" w:line="280" w:lineRule="auto"/>
        <w:ind w:left="720" w:hanging="360"/>
      </w:pPr>
      <w:r>
        <w:t>Bác sĩ chọn dịch vụ từ danh mục và ghi rõ răng/vùng điều trị, số lượng, vật liệu hoặc giai đoạn điều trị.</w:t>
      </w:r>
    </w:p>
    <w:p w14:paraId="336E798C">
      <w:pPr>
        <w:numPr>
          <w:ilvl w:val="0"/>
          <w:numId w:val="8"/>
        </w:numPr>
        <w:spacing w:after="80" w:line="280" w:lineRule="auto"/>
        <w:ind w:left="720" w:hanging="360"/>
      </w:pPr>
      <w:r>
        <w:t>Sau khi thực hiện, bác sĩ hoặc người có quyền xác nhận khối lượng thực tế; dịch vụ hủy hoặc chưa thực hiện không tự động chuyển thành khoản phải thu.</w:t>
      </w:r>
    </w:p>
    <w:p w14:paraId="759B01C7">
      <w:pPr>
        <w:numPr>
          <w:ilvl w:val="0"/>
          <w:numId w:val="8"/>
        </w:numPr>
        <w:spacing w:after="80" w:line="280" w:lineRule="auto"/>
        <w:ind w:left="720" w:hanging="360"/>
      </w:pPr>
      <w:r>
        <w:t>Hệ thống lấy đơn giá có hiệu lực tại thời điểm áp dụng, tính thành tiền và cộng các thuốc, vật tư hoặc khoản phát sinh được tính riêng.</w:t>
      </w:r>
    </w:p>
    <w:p w14:paraId="0929A6C9">
      <w:pPr>
        <w:numPr>
          <w:ilvl w:val="0"/>
          <w:numId w:val="8"/>
        </w:numPr>
        <w:spacing w:after="80" w:line="280" w:lineRule="auto"/>
        <w:ind w:left="720" w:hanging="360"/>
      </w:pPr>
      <w:r>
        <w:t>Hệ thống trừ giảm giá, quyền lợi hỗ trợ, tiền cọc và các lần thanh toán trước; sau đó xác định số còn phải thu.</w:t>
      </w:r>
    </w:p>
    <w:p w14:paraId="2AA3878B">
      <w:pPr>
        <w:numPr>
          <w:ilvl w:val="0"/>
          <w:numId w:val="8"/>
        </w:numPr>
        <w:spacing w:after="80" w:line="280" w:lineRule="auto"/>
        <w:ind w:left="720" w:hanging="360"/>
      </w:pPr>
      <w:r>
        <w:t>Lễ tân/thu ngân kiểm tra chi tiết cùng bệnh nhân. Khoản phát sinh hoặc ưu đãi đặc biệt phải có lý do và người phê duyệt theo phân quyền.</w:t>
      </w:r>
    </w:p>
    <w:p w14:paraId="47BDF971">
      <w:pPr>
        <w:numPr>
          <w:ilvl w:val="0"/>
          <w:numId w:val="8"/>
        </w:numPr>
        <w:spacing w:after="80" w:line="280" w:lineRule="auto"/>
        <w:ind w:left="720" w:hanging="360"/>
      </w:pPr>
      <w:r>
        <w:t>Bệnh nhân chọn một hoặc nhiều phương thức thanh toán; nhân viên ghi nhận số tiền, mã giao dịch và thời điểm nhận tiền.</w:t>
      </w:r>
    </w:p>
    <w:p w14:paraId="5DBF94AF">
      <w:pPr>
        <w:numPr>
          <w:ilvl w:val="0"/>
          <w:numId w:val="8"/>
        </w:numPr>
        <w:spacing w:after="80" w:line="280" w:lineRule="auto"/>
        <w:ind w:left="720" w:hanging="360"/>
      </w:pPr>
      <w:r>
        <w:t>Hệ thống phát hành phiếu thu nội bộ và cập nhật trạng thái: chưa thanh toán, thanh toán một phần hoặc đã thanh toán.</w:t>
      </w:r>
    </w:p>
    <w:p w14:paraId="76F315C8">
      <w:pPr>
        <w:numPr>
          <w:ilvl w:val="0"/>
          <w:numId w:val="8"/>
        </w:numPr>
        <w:spacing w:after="80" w:line="280" w:lineRule="auto"/>
        <w:ind w:left="720" w:hanging="360"/>
      </w:pPr>
      <w:r>
        <w:t>Nếu người bệnh yêu cầu hóa đơn điện tử, cơ sở lập và giao hóa đơn theo quy định; nếu không yêu cầu và cơ sở đáp ứng điều kiện của Nghị định 70/2025/NĐ-CP, dữ liệu phiếu thu được tổng hợp để lập hóa đơn cuối ngày [5].</w:t>
      </w:r>
    </w:p>
    <w:p w14:paraId="4344630B">
      <w:pPr>
        <w:numPr>
          <w:ilvl w:val="0"/>
          <w:numId w:val="8"/>
        </w:numPr>
        <w:spacing w:after="80" w:line="280" w:lineRule="auto"/>
        <w:ind w:left="720" w:hanging="360"/>
      </w:pPr>
      <w:r>
        <w:t>Cuối ca hoặc cuối ngày, thu ngân/kế toán đối soát tiền mặt, sao kê chuyển khoản, giao dịch POS/QR và tổng giao dịch trên hệ thống.</w:t>
      </w:r>
    </w:p>
    <w:p w14:paraId="190A71E4">
      <w:pPr>
        <w:pStyle w:val="3"/>
      </w:pPr>
      <w:r>
        <w:t>3. Các luồng ngoại lệ</w:t>
      </w:r>
    </w:p>
    <w:p w14:paraId="365B1E79">
      <w:pPr>
        <w:pStyle w:val="4"/>
      </w:pPr>
      <w:r>
        <w:t>3.1. Thanh toán một phần hoặc theo giai đoạn</w:t>
      </w:r>
    </w:p>
    <w:p w14:paraId="0063DDFC">
      <w:pPr>
        <w:pStyle w:val="23"/>
        <w:spacing w:after="80" w:line="280" w:lineRule="auto"/>
        <w:ind w:left="720" w:hanging="360"/>
      </w:pPr>
      <w:r>
        <w:t>Ghi nhận tổng giá trị kế hoạch điều trị và lịch dự kiến thu tiền.</w:t>
      </w:r>
    </w:p>
    <w:p w14:paraId="1919CFA5">
      <w:pPr>
        <w:pStyle w:val="23"/>
        <w:spacing w:after="80" w:line="280" w:lineRule="auto"/>
        <w:ind w:left="720" w:hanging="360"/>
      </w:pPr>
      <w:r>
        <w:t>Mỗi lần thu tạo một giao dịch độc lập, không sửa đè giao dịch trước.</w:t>
      </w:r>
    </w:p>
    <w:p w14:paraId="25C62543">
      <w:pPr>
        <w:pStyle w:val="23"/>
        <w:spacing w:after="80" w:line="280" w:lineRule="auto"/>
        <w:ind w:left="720" w:hanging="360"/>
      </w:pPr>
      <w:r>
        <w:t>Tự động tính số còn lại và cảnh báo khoản đến hạn/quá hạn.</w:t>
      </w:r>
    </w:p>
    <w:p w14:paraId="723B48E5">
      <w:pPr>
        <w:pStyle w:val="23"/>
        <w:spacing w:after="80" w:line="280" w:lineRule="auto"/>
        <w:ind w:left="720" w:hanging="360"/>
      </w:pPr>
      <w:r>
        <w:t>Chỉ chuyển trạng thái hoàn tất khi tổng tiền hợp lệ bằng tổng nghĩa vụ thanh toán.</w:t>
      </w:r>
    </w:p>
    <w:p w14:paraId="28155D80">
      <w:pPr>
        <w:pStyle w:val="4"/>
      </w:pPr>
      <w:r>
        <w:t>3.2. Đặt cọc</w:t>
      </w:r>
    </w:p>
    <w:p w14:paraId="7D179896">
      <w:pPr>
        <w:pStyle w:val="23"/>
        <w:spacing w:after="80" w:line="280" w:lineRule="auto"/>
        <w:ind w:left="720" w:hanging="360"/>
      </w:pPr>
      <w:r>
        <w:t>Tạo phiếu cọc gắn với bệnh nhân, dịch vụ hoặc kế hoạch điều trị.</w:t>
      </w:r>
    </w:p>
    <w:p w14:paraId="2D559FEC">
      <w:pPr>
        <w:pStyle w:val="23"/>
        <w:spacing w:after="80" w:line="280" w:lineRule="auto"/>
        <w:ind w:left="720" w:hanging="360"/>
      </w:pPr>
      <w:r>
        <w:t>Khi phát sinh hóa đơn/phiếu thu điều trị, tiền cọc được phân bổ và trừ có kiểm soát.</w:t>
      </w:r>
    </w:p>
    <w:p w14:paraId="2B0B8003">
      <w:pPr>
        <w:pStyle w:val="23"/>
        <w:spacing w:after="80" w:line="280" w:lineRule="auto"/>
        <w:ind w:left="720" w:hanging="360"/>
      </w:pPr>
      <w:r>
        <w:t>Nếu hủy điều trị, hệ thống yêu cầu chọn hoàn cọc, giữ cọc hoặc chuyển sang dịch vụ khác theo chính sách đã thỏa thuận.</w:t>
      </w:r>
    </w:p>
    <w:p w14:paraId="2608527A">
      <w:pPr>
        <w:pStyle w:val="4"/>
      </w:pPr>
      <w:r>
        <w:t>3.3. Hủy, điều chỉnh và hoàn tiền</w:t>
      </w:r>
    </w:p>
    <w:p w14:paraId="16CCDE1E">
      <w:pPr>
        <w:pStyle w:val="23"/>
        <w:spacing w:after="80" w:line="280" w:lineRule="auto"/>
        <w:ind w:left="720" w:hanging="360"/>
      </w:pPr>
      <w:r>
        <w:t>Không xóa giao dịch gốc; tạo giao dịch đảo/điều chỉnh có liên kết.</w:t>
      </w:r>
    </w:p>
    <w:p w14:paraId="68642A35">
      <w:pPr>
        <w:pStyle w:val="23"/>
        <w:spacing w:after="80" w:line="280" w:lineRule="auto"/>
        <w:ind w:left="720" w:hanging="360"/>
      </w:pPr>
      <w:r>
        <w:t>Bắt buộc nhập lý do, số tiền, chứng từ liên quan, người đề nghị và người phê duyệt.</w:t>
      </w:r>
    </w:p>
    <w:p w14:paraId="26E1C3D8">
      <w:pPr>
        <w:pStyle w:val="23"/>
        <w:spacing w:after="80" w:line="280" w:lineRule="auto"/>
        <w:ind w:left="720" w:hanging="360"/>
      </w:pPr>
      <w:r>
        <w:t>Hoàn tiền theo phương thức phù hợp, ghi mã tham chiếu và cập nhật công nợ.</w:t>
      </w:r>
    </w:p>
    <w:p w14:paraId="16F75454">
      <w:pPr>
        <w:pStyle w:val="23"/>
        <w:spacing w:after="80" w:line="280" w:lineRule="auto"/>
        <w:ind w:left="720" w:hanging="360"/>
      </w:pPr>
      <w:r>
        <w:t>Nếu hóa đơn điện tử đã lập có sai sót, chuyển cho người phụ trách hóa đơn xử lý theo quy định thay vì chỉ sửa dữ liệu nội bộ.</w:t>
      </w:r>
    </w:p>
    <w:p w14:paraId="6F4316F2">
      <w:pPr>
        <w:pStyle w:val="3"/>
      </w:pPr>
      <w:r>
        <w:t>4. Dữ liệu vào và kết quả đầu ra</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881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2E74B5"/>
            <w:tcMar>
              <w:top w:w="70" w:type="dxa"/>
              <w:left w:w="120" w:type="dxa"/>
              <w:bottom w:w="70" w:type="dxa"/>
              <w:right w:w="120" w:type="dxa"/>
            </w:tcMar>
            <w:vAlign w:val="center"/>
          </w:tcPr>
          <w:p w14:paraId="684823F9">
            <w:pPr>
              <w:spacing w:before="0" w:after="0" w:line="240" w:lineRule="auto"/>
              <w:jc w:val="center"/>
            </w:pPr>
            <w:r>
              <w:rPr>
                <w:rFonts w:ascii="Calibri" w:hAnsi="Calibri" w:eastAsia="Calibri"/>
                <w:b/>
                <w:color w:val="FFFFFF"/>
                <w:sz w:val="18"/>
              </w:rPr>
              <w:t>Nhóm</w:t>
            </w:r>
          </w:p>
        </w:tc>
        <w:tc>
          <w:tcPr>
            <w:tcW w:w="7460" w:type="dxa"/>
            <w:shd w:val="clear" w:color="auto" w:fill="2E74B5"/>
            <w:tcMar>
              <w:top w:w="70" w:type="dxa"/>
              <w:left w:w="120" w:type="dxa"/>
              <w:bottom w:w="70" w:type="dxa"/>
              <w:right w:w="120" w:type="dxa"/>
            </w:tcMar>
            <w:vAlign w:val="center"/>
          </w:tcPr>
          <w:p w14:paraId="56641240">
            <w:pPr>
              <w:spacing w:before="0" w:after="0" w:line="240" w:lineRule="auto"/>
              <w:jc w:val="center"/>
            </w:pPr>
            <w:r>
              <w:rPr>
                <w:rFonts w:ascii="Calibri" w:hAnsi="Calibri" w:eastAsia="Calibri"/>
                <w:b/>
                <w:color w:val="FFFFFF"/>
                <w:sz w:val="18"/>
              </w:rPr>
              <w:t>Thông tin cần có</w:t>
            </w:r>
          </w:p>
        </w:tc>
      </w:tr>
      <w:tr w14:paraId="4F2C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70" w:type="dxa"/>
              <w:left w:w="120" w:type="dxa"/>
              <w:bottom w:w="70" w:type="dxa"/>
              <w:right w:w="120" w:type="dxa"/>
            </w:tcMar>
            <w:vAlign w:val="center"/>
          </w:tcPr>
          <w:p w14:paraId="426118E7">
            <w:pPr>
              <w:spacing w:before="0" w:after="0" w:line="240" w:lineRule="auto"/>
              <w:jc w:val="left"/>
            </w:pPr>
            <w:r>
              <w:rPr>
                <w:rFonts w:ascii="Calibri" w:hAnsi="Calibri" w:eastAsia="Calibri"/>
                <w:b w:val="0"/>
                <w:sz w:val="18"/>
              </w:rPr>
              <w:t>Dữ liệu vào</w:t>
            </w:r>
          </w:p>
        </w:tc>
        <w:tc>
          <w:tcPr>
            <w:tcW w:w="7460" w:type="dxa"/>
            <w:tcMar>
              <w:top w:w="70" w:type="dxa"/>
              <w:left w:w="120" w:type="dxa"/>
              <w:bottom w:w="70" w:type="dxa"/>
              <w:right w:w="120" w:type="dxa"/>
            </w:tcMar>
            <w:vAlign w:val="center"/>
          </w:tcPr>
          <w:p w14:paraId="5378CDBC">
            <w:pPr>
              <w:spacing w:before="0" w:after="0" w:line="240" w:lineRule="auto"/>
              <w:jc w:val="left"/>
            </w:pPr>
            <w:r>
              <w:rPr>
                <w:rFonts w:ascii="Calibri" w:hAnsi="Calibri" w:eastAsia="Calibri"/>
                <w:b w:val="0"/>
                <w:sz w:val="18"/>
              </w:rPr>
              <w:t>Bệnh nhân; lần khám; dịch vụ đã thực hiện; răng/vùng điều trị; số lượng; đơn giá; vật liệu; tiền cọc; giảm giá; bảo hiểm/hỗ trợ; phương thức thanh toán.</w:t>
            </w:r>
          </w:p>
        </w:tc>
      </w:tr>
      <w:tr w14:paraId="013C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2F4F7"/>
            <w:tcMar>
              <w:top w:w="70" w:type="dxa"/>
              <w:left w:w="120" w:type="dxa"/>
              <w:bottom w:w="70" w:type="dxa"/>
              <w:right w:w="120" w:type="dxa"/>
            </w:tcMar>
            <w:vAlign w:val="center"/>
          </w:tcPr>
          <w:p w14:paraId="77384D2F">
            <w:pPr>
              <w:spacing w:before="0" w:after="0" w:line="240" w:lineRule="auto"/>
              <w:jc w:val="left"/>
            </w:pPr>
            <w:r>
              <w:rPr>
                <w:rFonts w:ascii="Calibri" w:hAnsi="Calibri" w:eastAsia="Calibri"/>
                <w:b w:val="0"/>
                <w:sz w:val="18"/>
              </w:rPr>
              <w:t>Kết quả tính</w:t>
            </w:r>
          </w:p>
        </w:tc>
        <w:tc>
          <w:tcPr>
            <w:tcW w:w="7460" w:type="dxa"/>
            <w:shd w:val="clear" w:color="auto" w:fill="F2F4F7"/>
            <w:tcMar>
              <w:top w:w="70" w:type="dxa"/>
              <w:left w:w="120" w:type="dxa"/>
              <w:bottom w:w="70" w:type="dxa"/>
              <w:right w:w="120" w:type="dxa"/>
            </w:tcMar>
            <w:vAlign w:val="center"/>
          </w:tcPr>
          <w:p w14:paraId="7FD3E822">
            <w:pPr>
              <w:spacing w:before="0" w:after="0" w:line="240" w:lineRule="auto"/>
              <w:jc w:val="left"/>
            </w:pPr>
            <w:r>
              <w:rPr>
                <w:rFonts w:ascii="Calibri" w:hAnsi="Calibri" w:eastAsia="Calibri"/>
                <w:b w:val="0"/>
                <w:sz w:val="18"/>
              </w:rPr>
              <w:t>Tổng trước giảm; tổng giảm; tổng phải thu; số đã thu; số còn lại; ngày đến hạn; trạng thái thanh toán.</w:t>
            </w:r>
          </w:p>
        </w:tc>
      </w:tr>
      <w:tr w14:paraId="129B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70" w:type="dxa"/>
              <w:left w:w="120" w:type="dxa"/>
              <w:bottom w:w="70" w:type="dxa"/>
              <w:right w:w="120" w:type="dxa"/>
            </w:tcMar>
            <w:vAlign w:val="center"/>
          </w:tcPr>
          <w:p w14:paraId="392586D4">
            <w:pPr>
              <w:spacing w:before="0" w:after="0" w:line="240" w:lineRule="auto"/>
              <w:jc w:val="left"/>
            </w:pPr>
            <w:r>
              <w:rPr>
                <w:rFonts w:ascii="Calibri" w:hAnsi="Calibri" w:eastAsia="Calibri"/>
                <w:b w:val="0"/>
                <w:sz w:val="18"/>
              </w:rPr>
              <w:t>Chứng từ</w:t>
            </w:r>
          </w:p>
        </w:tc>
        <w:tc>
          <w:tcPr>
            <w:tcW w:w="7460" w:type="dxa"/>
            <w:tcMar>
              <w:top w:w="70" w:type="dxa"/>
              <w:left w:w="120" w:type="dxa"/>
              <w:bottom w:w="70" w:type="dxa"/>
              <w:right w:w="120" w:type="dxa"/>
            </w:tcMar>
            <w:vAlign w:val="center"/>
          </w:tcPr>
          <w:p w14:paraId="3DAD9D26">
            <w:pPr>
              <w:spacing w:before="0" w:after="0" w:line="240" w:lineRule="auto"/>
              <w:jc w:val="left"/>
            </w:pPr>
            <w:r>
              <w:rPr>
                <w:rFonts w:ascii="Calibri" w:hAnsi="Calibri" w:eastAsia="Calibri"/>
                <w:b w:val="0"/>
                <w:sz w:val="18"/>
              </w:rPr>
              <w:t>Báo giá/kế hoạch chi phí; phiếu cọc; phiếu thu; hóa đơn điện tử; phiếu hoàn/điều chỉnh.</w:t>
            </w:r>
          </w:p>
        </w:tc>
      </w:tr>
      <w:tr w14:paraId="4509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2F4F7"/>
            <w:tcMar>
              <w:top w:w="70" w:type="dxa"/>
              <w:left w:w="120" w:type="dxa"/>
              <w:bottom w:w="70" w:type="dxa"/>
              <w:right w:w="120" w:type="dxa"/>
            </w:tcMar>
            <w:vAlign w:val="center"/>
          </w:tcPr>
          <w:p w14:paraId="7E0AD6EC">
            <w:pPr>
              <w:spacing w:before="0" w:after="0" w:line="240" w:lineRule="auto"/>
              <w:jc w:val="left"/>
            </w:pPr>
            <w:r>
              <w:rPr>
                <w:rFonts w:ascii="Calibri" w:hAnsi="Calibri" w:eastAsia="Calibri"/>
                <w:b w:val="0"/>
                <w:sz w:val="18"/>
              </w:rPr>
              <w:t>Dấu vết kiểm soát</w:t>
            </w:r>
          </w:p>
        </w:tc>
        <w:tc>
          <w:tcPr>
            <w:tcW w:w="7460" w:type="dxa"/>
            <w:shd w:val="clear" w:color="auto" w:fill="F2F4F7"/>
            <w:tcMar>
              <w:top w:w="70" w:type="dxa"/>
              <w:left w:w="120" w:type="dxa"/>
              <w:bottom w:w="70" w:type="dxa"/>
              <w:right w:w="120" w:type="dxa"/>
            </w:tcMar>
            <w:vAlign w:val="center"/>
          </w:tcPr>
          <w:p w14:paraId="4D2D888F">
            <w:pPr>
              <w:spacing w:before="0" w:after="0" w:line="240" w:lineRule="auto"/>
              <w:jc w:val="left"/>
            </w:pPr>
            <w:r>
              <w:rPr>
                <w:rFonts w:ascii="Calibri" w:hAnsi="Calibri" w:eastAsia="Calibri"/>
                <w:b w:val="0"/>
                <w:sz w:val="18"/>
              </w:rPr>
              <w:t>Người tạo; người xác nhận; người duyệt; thời điểm; lý do thay đổi; giao dịch gốc; mã tham chiếu thanh toán.</w:t>
            </w:r>
          </w:p>
        </w:tc>
      </w:tr>
    </w:tbl>
    <w:p w14:paraId="74BFA17E">
      <w:pPr>
        <w:spacing w:before="40" w:after="0"/>
      </w:pPr>
    </w:p>
    <w:p w14:paraId="3A9ED141">
      <w:pPr>
        <w:pStyle w:val="2"/>
      </w:pPr>
      <w:r>
        <w:t>C. Quy định liên quan</w:t>
      </w:r>
    </w:p>
    <w:p w14:paraId="2D1CE56A">
      <w:pPr>
        <w:pStyle w:val="3"/>
      </w:pPr>
      <w:r>
        <w:t>1. Giá dịch vụ khám bệnh, chữa bệnh</w:t>
      </w:r>
    </w:p>
    <w:p w14:paraId="04DDB096">
      <w:r>
        <w:t>Điều 110 Luật Khám bệnh, chữa bệnh số 15/2023/QH15 quy định giá dịch vụ được cấu thành từ giá thành toàn bộ, tích lũy hoặc lợi nhuận dự kiến và các nghĩa vụ tài chính. Giá thành bao gồm chi phí nhân công, chi phí trực tiếp, khấu hao và chi phí quản lý. Cơ sở khám bệnh, chữa bệnh tư nhân được quyền quyết định giá nhưng phải kê khai và niêm yết công khai [1].</w:t>
      </w:r>
    </w:p>
    <w:p w14:paraId="6CBD7B7F">
      <w:pPr>
        <w:pStyle w:val="23"/>
        <w:spacing w:after="80" w:line="280" w:lineRule="auto"/>
        <w:ind w:left="720" w:hanging="360"/>
      </w:pPr>
      <w:r>
        <w:t>Hệ thống phải quản lý phiên bản giá và ngày có hiệu lực; không sửa đè lịch sử giá.</w:t>
      </w:r>
    </w:p>
    <w:p w14:paraId="0BCE9D6B">
      <w:pPr>
        <w:pStyle w:val="23"/>
        <w:spacing w:after="80" w:line="280" w:lineRule="auto"/>
        <w:ind w:left="720" w:hanging="360"/>
      </w:pPr>
      <w:r>
        <w:t>Mỗi dòng dịch vụ phải lưu đơn giá thực tế đã áp dụng để có thể giải trình về sau.</w:t>
      </w:r>
    </w:p>
    <w:p w14:paraId="54D78C92">
      <w:pPr>
        <w:pStyle w:val="23"/>
        <w:spacing w:after="80" w:line="280" w:lineRule="auto"/>
        <w:ind w:left="720" w:hanging="360"/>
      </w:pPr>
      <w:r>
        <w:t>Bảng giá dùng tại quầy và trên hệ thống phải thống nhất; thay đổi giá cần người có thẩm quyền duyệt.</w:t>
      </w:r>
    </w:p>
    <w:p w14:paraId="4184664B">
      <w:pPr>
        <w:pStyle w:val="3"/>
      </w:pPr>
      <w:r>
        <w:t>2. Cung cấp thông tin cho người sử dụng dịch vụ</w:t>
      </w:r>
    </w:p>
    <w:p w14:paraId="7C4BE8BA">
      <w:r>
        <w:t>Theo Luật Bảo vệ quyền lợi người tiêu dùng số 19/2023/QH15, người tiêu dùng có quyền được cung cấp hóa đơn, chứng từ và thông tin chính xác, đầy đủ về dịch vụ, giá, phí, chi phí khác và phương thức thanh toán; tổ chức kinh doanh có trách nhiệm cung cấp các thông tin này [3].</w:t>
      </w:r>
    </w:p>
    <w:p w14:paraId="17C394DF">
      <w:pPr>
        <w:pStyle w:val="23"/>
        <w:spacing w:after="80" w:line="280" w:lineRule="auto"/>
        <w:ind w:left="720" w:hanging="360"/>
      </w:pPr>
      <w:r>
        <w:t>Trước khi thu tiền, nhân viên cần cho bệnh nhân kiểm tra dịch vụ, số lượng, đơn giá, giảm giá, tiền cọc và số còn phải trả.</w:t>
      </w:r>
    </w:p>
    <w:p w14:paraId="69023232">
      <w:pPr>
        <w:pStyle w:val="23"/>
        <w:spacing w:after="80" w:line="280" w:lineRule="auto"/>
        <w:ind w:left="720" w:hanging="360"/>
      </w:pPr>
      <w:r>
        <w:t>Khoản có thể phát sinh, nội dung chưa bao gồm và điều kiện hoàn cọc cần được thông báo rõ.</w:t>
      </w:r>
    </w:p>
    <w:p w14:paraId="7AFC8705">
      <w:pPr>
        <w:pStyle w:val="23"/>
        <w:spacing w:after="80" w:line="280" w:lineRule="auto"/>
        <w:ind w:left="720" w:hanging="360"/>
      </w:pPr>
      <w:r>
        <w:t>Phiếu thu/hóa đơn phải có khả năng tra cứu và đối chiếu với lần điều trị tương ứng.</w:t>
      </w:r>
    </w:p>
    <w:p w14:paraId="3A9CD35B">
      <w:pPr>
        <w:pStyle w:val="3"/>
      </w:pPr>
      <w:r>
        <w:t>3. Hóa đơn điện tử</w:t>
      </w:r>
    </w:p>
    <w:p w14:paraId="09B7E62E">
      <w:r>
        <w:t>Nghị định 123/2020/NĐ-CP quy định nguyên tắc người bán, cung cấp dịch vụ phải lập hóa đơn. Nghị định 70/2025/NĐ-CP, có hiệu lực từ ngày 01/06/2025, bổ sung cách lập hóa đơn đối với cơ sở khám bệnh, chữa bệnh có phần mềm quản lý khám chữa bệnh và viện phí [4], [5].</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3E79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00" w:type="dxa"/>
            <w:shd w:val="clear" w:color="auto" w:fill="2E74B5"/>
            <w:tcMar>
              <w:top w:w="70" w:type="dxa"/>
              <w:left w:w="120" w:type="dxa"/>
              <w:bottom w:w="70" w:type="dxa"/>
              <w:right w:w="120" w:type="dxa"/>
            </w:tcMar>
            <w:vAlign w:val="center"/>
          </w:tcPr>
          <w:p w14:paraId="7A7E0585">
            <w:pPr>
              <w:spacing w:before="0" w:after="0" w:line="240" w:lineRule="auto"/>
              <w:jc w:val="center"/>
            </w:pPr>
            <w:r>
              <w:rPr>
                <w:rFonts w:ascii="Calibri" w:hAnsi="Calibri" w:eastAsia="Calibri"/>
                <w:b/>
                <w:color w:val="FFFFFF"/>
                <w:sz w:val="18"/>
              </w:rPr>
              <w:t>Trường hợp</w:t>
            </w:r>
          </w:p>
        </w:tc>
        <w:tc>
          <w:tcPr>
            <w:tcW w:w="6660" w:type="dxa"/>
            <w:shd w:val="clear" w:color="auto" w:fill="2E74B5"/>
            <w:tcMar>
              <w:top w:w="70" w:type="dxa"/>
              <w:left w:w="120" w:type="dxa"/>
              <w:bottom w:w="70" w:type="dxa"/>
              <w:right w:w="120" w:type="dxa"/>
            </w:tcMar>
            <w:vAlign w:val="center"/>
          </w:tcPr>
          <w:p w14:paraId="4E0EC89A">
            <w:pPr>
              <w:spacing w:before="0" w:after="0" w:line="240" w:lineRule="auto"/>
              <w:jc w:val="center"/>
            </w:pPr>
            <w:r>
              <w:rPr>
                <w:rFonts w:ascii="Calibri" w:hAnsi="Calibri" w:eastAsia="Calibri"/>
                <w:b/>
                <w:color w:val="FFFFFF"/>
                <w:sz w:val="18"/>
              </w:rPr>
              <w:t>Cách xử lý theo quy định được khảo sát</w:t>
            </w:r>
          </w:p>
        </w:tc>
      </w:tr>
      <w:tr w14:paraId="44EE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70" w:type="dxa"/>
              <w:left w:w="120" w:type="dxa"/>
              <w:bottom w:w="70" w:type="dxa"/>
              <w:right w:w="120" w:type="dxa"/>
            </w:tcMar>
            <w:vAlign w:val="center"/>
          </w:tcPr>
          <w:p w14:paraId="31C67621">
            <w:pPr>
              <w:spacing w:before="0" w:after="0" w:line="240" w:lineRule="auto"/>
              <w:jc w:val="left"/>
            </w:pPr>
            <w:r>
              <w:rPr>
                <w:rFonts w:ascii="Calibri" w:hAnsi="Calibri" w:eastAsia="Calibri"/>
                <w:b w:val="0"/>
                <w:sz w:val="18"/>
              </w:rPr>
              <w:t>Người bệnh yêu cầu hóa đơn điện tử</w:t>
            </w:r>
          </w:p>
        </w:tc>
        <w:tc>
          <w:tcPr>
            <w:tcW w:w="6660" w:type="dxa"/>
            <w:tcMar>
              <w:top w:w="70" w:type="dxa"/>
              <w:left w:w="120" w:type="dxa"/>
              <w:bottom w:w="70" w:type="dxa"/>
              <w:right w:w="120" w:type="dxa"/>
            </w:tcMar>
            <w:vAlign w:val="center"/>
          </w:tcPr>
          <w:p w14:paraId="2CB5F57D">
            <w:pPr>
              <w:spacing w:before="0" w:after="0" w:line="240" w:lineRule="auto"/>
              <w:jc w:val="left"/>
            </w:pPr>
            <w:r>
              <w:rPr>
                <w:rFonts w:ascii="Calibri" w:hAnsi="Calibri" w:eastAsia="Calibri"/>
                <w:b w:val="0"/>
                <w:sz w:val="18"/>
              </w:rPr>
              <w:t>Cơ sở lập hóa đơn điện tử và giao cho người bệnh.</w:t>
            </w:r>
          </w:p>
        </w:tc>
      </w:tr>
      <w:tr w14:paraId="34DC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2F4F7"/>
            <w:tcMar>
              <w:top w:w="70" w:type="dxa"/>
              <w:left w:w="120" w:type="dxa"/>
              <w:bottom w:w="70" w:type="dxa"/>
              <w:right w:w="120" w:type="dxa"/>
            </w:tcMar>
            <w:vAlign w:val="center"/>
          </w:tcPr>
          <w:p w14:paraId="46C0EF42">
            <w:pPr>
              <w:spacing w:before="0" w:after="0" w:line="240" w:lineRule="auto"/>
              <w:jc w:val="left"/>
            </w:pPr>
            <w:r>
              <w:rPr>
                <w:rFonts w:ascii="Calibri" w:hAnsi="Calibri" w:eastAsia="Calibri"/>
                <w:b w:val="0"/>
                <w:sz w:val="18"/>
              </w:rPr>
              <w:t>Người bệnh không yêu cầu; từng giao dịch có phiếu thu và lưu trên hệ thống</w:t>
            </w:r>
          </w:p>
        </w:tc>
        <w:tc>
          <w:tcPr>
            <w:tcW w:w="6660" w:type="dxa"/>
            <w:shd w:val="clear" w:color="auto" w:fill="F2F4F7"/>
            <w:tcMar>
              <w:top w:w="70" w:type="dxa"/>
              <w:left w:w="120" w:type="dxa"/>
              <w:bottom w:w="70" w:type="dxa"/>
              <w:right w:w="120" w:type="dxa"/>
            </w:tcMar>
            <w:vAlign w:val="center"/>
          </w:tcPr>
          <w:p w14:paraId="665C9B73">
            <w:pPr>
              <w:spacing w:before="0" w:after="0" w:line="240" w:lineRule="auto"/>
              <w:jc w:val="left"/>
            </w:pPr>
            <w:r>
              <w:rPr>
                <w:rFonts w:ascii="Calibri" w:hAnsi="Calibri" w:eastAsia="Calibri"/>
                <w:b w:val="0"/>
                <w:sz w:val="18"/>
              </w:rPr>
              <w:t>Cuối ngày cơ sở căn cứ dữ liệu khám chữa bệnh và phiếu thu để tổng hợp lập hóa đơn điện tử cho dịch vụ y tế trong ngày.</w:t>
            </w:r>
          </w:p>
        </w:tc>
      </w:tr>
      <w:tr w14:paraId="5F92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70" w:type="dxa"/>
              <w:left w:w="120" w:type="dxa"/>
              <w:bottom w:w="70" w:type="dxa"/>
              <w:right w:w="120" w:type="dxa"/>
            </w:tcMar>
            <w:vAlign w:val="center"/>
          </w:tcPr>
          <w:p w14:paraId="71879F55">
            <w:pPr>
              <w:spacing w:before="0" w:after="0" w:line="240" w:lineRule="auto"/>
              <w:jc w:val="left"/>
            </w:pPr>
            <w:r>
              <w:rPr>
                <w:rFonts w:ascii="Calibri" w:hAnsi="Calibri" w:eastAsia="Calibri"/>
                <w:b w:val="0"/>
                <w:sz w:val="18"/>
              </w:rPr>
              <w:t>Thanh toán bảo hiểm y tế</w:t>
            </w:r>
          </w:p>
        </w:tc>
        <w:tc>
          <w:tcPr>
            <w:tcW w:w="6660" w:type="dxa"/>
            <w:tcMar>
              <w:top w:w="70" w:type="dxa"/>
              <w:left w:w="120" w:type="dxa"/>
              <w:bottom w:w="70" w:type="dxa"/>
              <w:right w:w="120" w:type="dxa"/>
            </w:tcMar>
            <w:vAlign w:val="center"/>
          </w:tcPr>
          <w:p w14:paraId="619E7B0D">
            <w:pPr>
              <w:spacing w:before="0" w:after="0" w:line="240" w:lineRule="auto"/>
              <w:jc w:val="left"/>
            </w:pPr>
            <w:r>
              <w:rPr>
                <w:rFonts w:ascii="Calibri" w:hAnsi="Calibri" w:eastAsia="Calibri"/>
                <w:b w:val="0"/>
                <w:sz w:val="18"/>
              </w:rPr>
              <w:t>Cơ sở lập hóa đơn cho cơ quan bảo hiểm xã hội tại thời điểm được thanh, quyết toán chi phí khám chữa bệnh.</w:t>
            </w:r>
          </w:p>
        </w:tc>
      </w:tr>
    </w:tbl>
    <w:p w14:paraId="4DAE6CB6">
      <w:pPr>
        <w:spacing w:before="40" w:after="0"/>
      </w:pPr>
    </w:p>
    <w:p w14:paraId="1890D877">
      <w:r>
        <w:t>Vì vậy, phần mềm nội bộ phải lưu được từng phiếu thu, trạng thái yêu cầu hóa đơn, thông tin người mua khi cần, liên kết hóa đơn với giao dịch và dữ liệu tổng hợp cuối ngày. Việc phát hành, thay thế hoặc điều chỉnh hóa đơn nên do tài khoản có thẩm quyền thực hiện.</w:t>
      </w:r>
    </w:p>
    <w:p w14:paraId="63878E21">
      <w:pPr>
        <w:pStyle w:val="3"/>
      </w:pPr>
      <w:r>
        <w:t>4. Thuế giá trị gia tăng</w:t>
      </w:r>
    </w:p>
    <w:p w14:paraId="3C9474EE">
      <w:r>
        <w:t>Khoản 10 Điều 5 Luật Thuế giá trị gia tăng số 48/2024/QH15, có hiệu lực từ ngày 01/07/2025, xếp các dịch vụ y tế như khám bệnh, chữa bệnh, xét nghiệm, chiếu và chụp vào nhóm không chịu thuế giá trị gia tăng. Trường hợp gói chữa bệnh theo quy định có bao gồm thuốc thì khoản thu tiền thuốc trong gói cũng thuộc đối tượng không chịu thuế [6].</w:t>
      </w:r>
    </w:p>
    <w:p w14:paraId="69154922">
      <w:r>
        <w:t>Khi phòng khám đồng thời bán hàng hóa hoặc cung cấp khoản ngoài gói dịch vụ y tế, việc xác định thuế cần theo đúng bản chất từng hàng hóa, dịch vụ và hướng dẫn của kế toán/thuế. Do đó hệ thống không nên gán một mức thuế chung cho toàn bộ danh mục.</w:t>
      </w:r>
    </w:p>
    <w:p w14:paraId="17605442">
      <w:pPr>
        <w:pStyle w:val="3"/>
      </w:pPr>
      <w:r>
        <w:t>5. Quy định nội bộ đề xuất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0487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shd w:val="clear" w:color="auto" w:fill="2E74B5"/>
            <w:tcMar>
              <w:top w:w="70" w:type="dxa"/>
              <w:left w:w="120" w:type="dxa"/>
              <w:bottom w:w="70" w:type="dxa"/>
              <w:right w:w="120" w:type="dxa"/>
            </w:tcMar>
            <w:vAlign w:val="center"/>
          </w:tcPr>
          <w:p w14:paraId="32248D17">
            <w:pPr>
              <w:spacing w:before="0" w:after="0" w:line="240" w:lineRule="auto"/>
              <w:jc w:val="center"/>
            </w:pPr>
            <w:r>
              <w:rPr>
                <w:rFonts w:ascii="Calibri" w:hAnsi="Calibri" w:eastAsia="Calibri"/>
                <w:b/>
                <w:color w:val="FFFFFF"/>
                <w:sz w:val="18"/>
              </w:rPr>
              <w:t>Nội dung</w:t>
            </w:r>
          </w:p>
        </w:tc>
        <w:tc>
          <w:tcPr>
            <w:tcW w:w="7060" w:type="dxa"/>
            <w:shd w:val="clear" w:color="auto" w:fill="2E74B5"/>
            <w:tcMar>
              <w:top w:w="70" w:type="dxa"/>
              <w:left w:w="120" w:type="dxa"/>
              <w:bottom w:w="70" w:type="dxa"/>
              <w:right w:w="120" w:type="dxa"/>
            </w:tcMar>
            <w:vAlign w:val="center"/>
          </w:tcPr>
          <w:p w14:paraId="144D5833">
            <w:pPr>
              <w:spacing w:before="0" w:after="0" w:line="240" w:lineRule="auto"/>
              <w:jc w:val="center"/>
            </w:pPr>
            <w:r>
              <w:rPr>
                <w:rFonts w:ascii="Calibri" w:hAnsi="Calibri" w:eastAsia="Calibri"/>
                <w:b/>
                <w:color w:val="FFFFFF"/>
                <w:sz w:val="18"/>
              </w:rPr>
              <w:t>Quy tắc đề xuất</w:t>
            </w:r>
          </w:p>
        </w:tc>
      </w:tr>
      <w:tr w14:paraId="2B29A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70" w:type="dxa"/>
              <w:left w:w="120" w:type="dxa"/>
              <w:bottom w:w="70" w:type="dxa"/>
              <w:right w:w="120" w:type="dxa"/>
            </w:tcMar>
            <w:vAlign w:val="center"/>
          </w:tcPr>
          <w:p w14:paraId="30477670">
            <w:pPr>
              <w:spacing w:before="0" w:after="0" w:line="240" w:lineRule="auto"/>
              <w:jc w:val="left"/>
            </w:pPr>
            <w:r>
              <w:rPr>
                <w:rFonts w:ascii="Calibri" w:hAnsi="Calibri" w:eastAsia="Calibri"/>
                <w:b w:val="0"/>
                <w:sz w:val="18"/>
              </w:rPr>
              <w:t>Phân quyền</w:t>
            </w:r>
          </w:p>
        </w:tc>
        <w:tc>
          <w:tcPr>
            <w:tcW w:w="7060" w:type="dxa"/>
            <w:tcMar>
              <w:top w:w="70" w:type="dxa"/>
              <w:left w:w="120" w:type="dxa"/>
              <w:bottom w:w="70" w:type="dxa"/>
              <w:right w:w="120" w:type="dxa"/>
            </w:tcMar>
            <w:vAlign w:val="center"/>
          </w:tcPr>
          <w:p w14:paraId="3BFBF22E">
            <w:pPr>
              <w:spacing w:before="0" w:after="0" w:line="240" w:lineRule="auto"/>
              <w:jc w:val="left"/>
            </w:pPr>
            <w:r>
              <w:rPr>
                <w:rFonts w:ascii="Calibri" w:hAnsi="Calibri" w:eastAsia="Calibri"/>
                <w:b w:val="0"/>
                <w:sz w:val="18"/>
              </w:rPr>
              <w:t>Bác sĩ xác nhận chuyên môn; thu ngân thu tiền; quản lý duyệt ưu đãi/hoàn tiền; kế toán xử lý hóa đơn và đối soát.</w:t>
            </w:r>
          </w:p>
        </w:tc>
      </w:tr>
      <w:tr w14:paraId="006A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shd w:val="clear" w:color="auto" w:fill="F2F4F7"/>
            <w:tcMar>
              <w:top w:w="70" w:type="dxa"/>
              <w:left w:w="120" w:type="dxa"/>
              <w:bottom w:w="70" w:type="dxa"/>
              <w:right w:w="120" w:type="dxa"/>
            </w:tcMar>
            <w:vAlign w:val="center"/>
          </w:tcPr>
          <w:p w14:paraId="4097871D">
            <w:pPr>
              <w:spacing w:before="0" w:after="0" w:line="240" w:lineRule="auto"/>
              <w:jc w:val="left"/>
            </w:pPr>
            <w:r>
              <w:rPr>
                <w:rFonts w:ascii="Calibri" w:hAnsi="Calibri" w:eastAsia="Calibri"/>
                <w:b w:val="0"/>
                <w:sz w:val="18"/>
              </w:rPr>
              <w:t>Giảm giá</w:t>
            </w:r>
          </w:p>
        </w:tc>
        <w:tc>
          <w:tcPr>
            <w:tcW w:w="7060" w:type="dxa"/>
            <w:shd w:val="clear" w:color="auto" w:fill="F2F4F7"/>
            <w:tcMar>
              <w:top w:w="70" w:type="dxa"/>
              <w:left w:w="120" w:type="dxa"/>
              <w:bottom w:w="70" w:type="dxa"/>
              <w:right w:w="120" w:type="dxa"/>
            </w:tcMar>
            <w:vAlign w:val="center"/>
          </w:tcPr>
          <w:p w14:paraId="2A27FD70">
            <w:pPr>
              <w:spacing w:before="0" w:after="0" w:line="240" w:lineRule="auto"/>
              <w:jc w:val="left"/>
            </w:pPr>
            <w:r>
              <w:rPr>
                <w:rFonts w:ascii="Calibri" w:hAnsi="Calibri" w:eastAsia="Calibri"/>
                <w:b w:val="0"/>
                <w:sz w:val="18"/>
              </w:rPr>
              <w:t>Không vượt hạn mức của vai trò; vượt hạn mức phải có phê duyệt; lưu giá trước và sau giảm.</w:t>
            </w:r>
          </w:p>
        </w:tc>
      </w:tr>
      <w:tr w14:paraId="635C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70" w:type="dxa"/>
              <w:left w:w="120" w:type="dxa"/>
              <w:bottom w:w="70" w:type="dxa"/>
              <w:right w:w="120" w:type="dxa"/>
            </w:tcMar>
            <w:vAlign w:val="center"/>
          </w:tcPr>
          <w:p w14:paraId="2D32840D">
            <w:pPr>
              <w:spacing w:before="0" w:after="0" w:line="240" w:lineRule="auto"/>
              <w:jc w:val="left"/>
            </w:pPr>
            <w:r>
              <w:rPr>
                <w:rFonts w:ascii="Calibri" w:hAnsi="Calibri" w:eastAsia="Calibri"/>
                <w:b w:val="0"/>
                <w:sz w:val="18"/>
              </w:rPr>
              <w:t>Sửa giao dịch</w:t>
            </w:r>
          </w:p>
        </w:tc>
        <w:tc>
          <w:tcPr>
            <w:tcW w:w="7060" w:type="dxa"/>
            <w:tcMar>
              <w:top w:w="70" w:type="dxa"/>
              <w:left w:w="120" w:type="dxa"/>
              <w:bottom w:w="70" w:type="dxa"/>
              <w:right w:w="120" w:type="dxa"/>
            </w:tcMar>
            <w:vAlign w:val="center"/>
          </w:tcPr>
          <w:p w14:paraId="4AF5AE77">
            <w:pPr>
              <w:spacing w:before="0" w:after="0" w:line="240" w:lineRule="auto"/>
              <w:jc w:val="left"/>
            </w:pPr>
            <w:r>
              <w:rPr>
                <w:rFonts w:ascii="Calibri" w:hAnsi="Calibri" w:eastAsia="Calibri"/>
                <w:b w:val="0"/>
                <w:sz w:val="18"/>
              </w:rPr>
              <w:t>Không cho sửa trực tiếp giao dịch đã chốt; phải tạo điều chỉnh hoặc hủy có lý do.</w:t>
            </w:r>
          </w:p>
        </w:tc>
      </w:tr>
      <w:tr w14:paraId="1491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shd w:val="clear" w:color="auto" w:fill="F2F4F7"/>
            <w:tcMar>
              <w:top w:w="70" w:type="dxa"/>
              <w:left w:w="120" w:type="dxa"/>
              <w:bottom w:w="70" w:type="dxa"/>
              <w:right w:w="120" w:type="dxa"/>
            </w:tcMar>
            <w:vAlign w:val="center"/>
          </w:tcPr>
          <w:p w14:paraId="718C9339">
            <w:pPr>
              <w:spacing w:before="0" w:after="0" w:line="240" w:lineRule="auto"/>
              <w:jc w:val="left"/>
            </w:pPr>
            <w:r>
              <w:rPr>
                <w:rFonts w:ascii="Calibri" w:hAnsi="Calibri" w:eastAsia="Calibri"/>
                <w:b w:val="0"/>
                <w:sz w:val="18"/>
              </w:rPr>
              <w:t>Đóng ca</w:t>
            </w:r>
          </w:p>
        </w:tc>
        <w:tc>
          <w:tcPr>
            <w:tcW w:w="7060" w:type="dxa"/>
            <w:shd w:val="clear" w:color="auto" w:fill="F2F4F7"/>
            <w:tcMar>
              <w:top w:w="70" w:type="dxa"/>
              <w:left w:w="120" w:type="dxa"/>
              <w:bottom w:w="70" w:type="dxa"/>
              <w:right w:w="120" w:type="dxa"/>
            </w:tcMar>
            <w:vAlign w:val="center"/>
          </w:tcPr>
          <w:p w14:paraId="5D02F30D">
            <w:pPr>
              <w:spacing w:before="0" w:after="0" w:line="240" w:lineRule="auto"/>
              <w:jc w:val="left"/>
            </w:pPr>
            <w:r>
              <w:rPr>
                <w:rFonts w:ascii="Calibri" w:hAnsi="Calibri" w:eastAsia="Calibri"/>
                <w:b w:val="0"/>
                <w:sz w:val="18"/>
              </w:rPr>
              <w:t>Đối soát theo từng phương thức; ghi nhận chênh lệch; người giao và người nhận xác nhận.</w:t>
            </w:r>
          </w:p>
        </w:tc>
      </w:tr>
      <w:tr w14:paraId="4286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70" w:type="dxa"/>
              <w:left w:w="120" w:type="dxa"/>
              <w:bottom w:w="70" w:type="dxa"/>
              <w:right w:w="120" w:type="dxa"/>
            </w:tcMar>
            <w:vAlign w:val="center"/>
          </w:tcPr>
          <w:p w14:paraId="772DFFD8">
            <w:pPr>
              <w:spacing w:before="0" w:after="0" w:line="240" w:lineRule="auto"/>
              <w:jc w:val="left"/>
            </w:pPr>
            <w:r>
              <w:rPr>
                <w:rFonts w:ascii="Calibri" w:hAnsi="Calibri" w:eastAsia="Calibri"/>
                <w:b w:val="0"/>
                <w:sz w:val="18"/>
              </w:rPr>
              <w:t>Bảo toàn lịch sử</w:t>
            </w:r>
          </w:p>
        </w:tc>
        <w:tc>
          <w:tcPr>
            <w:tcW w:w="7060" w:type="dxa"/>
            <w:tcMar>
              <w:top w:w="70" w:type="dxa"/>
              <w:left w:w="120" w:type="dxa"/>
              <w:bottom w:w="70" w:type="dxa"/>
              <w:right w:w="120" w:type="dxa"/>
            </w:tcMar>
            <w:vAlign w:val="center"/>
          </w:tcPr>
          <w:p w14:paraId="0477717D">
            <w:pPr>
              <w:spacing w:before="0" w:after="0" w:line="240" w:lineRule="auto"/>
              <w:jc w:val="left"/>
            </w:pPr>
            <w:r>
              <w:rPr>
                <w:rFonts w:ascii="Calibri" w:hAnsi="Calibri" w:eastAsia="Calibri"/>
                <w:b w:val="0"/>
                <w:sz w:val="18"/>
              </w:rPr>
              <w:t>Lưu phiên bản giá, nhật ký thao tác, chứng từ và liên kết giao dịch gốc; không xóa cứng dữ liệu tài chính.</w:t>
            </w:r>
          </w:p>
        </w:tc>
      </w:tr>
    </w:tbl>
    <w:p w14:paraId="1DECB127">
      <w:pPr>
        <w:spacing w:before="40" w:after="0"/>
      </w:pPr>
    </w:p>
    <w:p w14:paraId="79FE53C2">
      <w:pPr>
        <w:pStyle w:val="2"/>
      </w:pPr>
      <w:r>
        <w:t>D. Kết luận và yêu cầu cho hệ thống</w:t>
      </w:r>
    </w:p>
    <w:p w14:paraId="087126AC">
      <w:r>
        <w:t>Phần dịch vụ - chi phí - thanh toán không chỉ là chức năng thu tiền. Hệ thống phải liên kết được dịch vụ thực tế, đơn giá có hiệu lực, các khoản điều chỉnh, nhiều lần thanh toán và chứng từ tài chính. Điểm kiểm soát cốt lõi là mọi số tiền đều truy ngược được đến dịch vụ, người thao tác, thời điểm và căn cứ thay đổi.</w:t>
      </w:r>
    </w:p>
    <w:p w14:paraId="59559A51">
      <w:pPr>
        <w:pStyle w:val="23"/>
        <w:spacing w:after="80" w:line="280" w:lineRule="auto"/>
        <w:ind w:left="720" w:hanging="360"/>
      </w:pPr>
      <w:r>
        <w:t>Quản lý danh mục dịch vụ, đơn vị tính và lịch sử giá.</w:t>
      </w:r>
    </w:p>
    <w:p w14:paraId="2F1F1EA0">
      <w:pPr>
        <w:pStyle w:val="23"/>
        <w:spacing w:after="80" w:line="280" w:lineRule="auto"/>
        <w:ind w:left="720" w:hanging="360"/>
      </w:pPr>
      <w:r>
        <w:t>Ghi nhận dịch vụ chỉ định, đã thực hiện, đã hủy và khoản phát sinh.</w:t>
      </w:r>
    </w:p>
    <w:p w14:paraId="7B9D27A8">
      <w:pPr>
        <w:pStyle w:val="23"/>
        <w:spacing w:after="80" w:line="280" w:lineRule="auto"/>
        <w:ind w:left="720" w:hanging="360"/>
      </w:pPr>
      <w:r>
        <w:t>Tính tổng chi phí, tiền cọc, giảm giá, số đã trả và số còn lại.</w:t>
      </w:r>
    </w:p>
    <w:p w14:paraId="6D965C06">
      <w:pPr>
        <w:pStyle w:val="23"/>
        <w:spacing w:after="80" w:line="280" w:lineRule="auto"/>
        <w:ind w:left="720" w:hanging="360"/>
      </w:pPr>
      <w:r>
        <w:t>Hỗ trợ thanh toán toàn bộ, thanh toán một phần và kết hợp nhiều phương thức.</w:t>
      </w:r>
    </w:p>
    <w:p w14:paraId="2F5684BC">
      <w:pPr>
        <w:pStyle w:val="23"/>
        <w:spacing w:after="80" w:line="280" w:lineRule="auto"/>
        <w:ind w:left="720" w:hanging="360"/>
      </w:pPr>
      <w:r>
        <w:t>Quản lý phiếu cọc, phiếu thu, hoàn tiền, điều chỉnh và hóa đơn điện tử.</w:t>
      </w:r>
    </w:p>
    <w:p w14:paraId="63214C71">
      <w:pPr>
        <w:pStyle w:val="23"/>
        <w:spacing w:after="80" w:line="280" w:lineRule="auto"/>
        <w:ind w:left="720" w:hanging="360"/>
      </w:pPr>
      <w:r>
        <w:t>Phân quyền phê duyệt và lưu nhật ký thao tác để phục vụ đối soát.</w:t>
      </w:r>
    </w:p>
    <w:p w14:paraId="2FE49AF2">
      <w:pPr>
        <w:pStyle w:val="2"/>
      </w:pPr>
      <w:r>
        <w:t>Tài liệu tham khảo</w:t>
      </w:r>
    </w:p>
    <w:p w14:paraId="5B2606D9">
      <w:pPr>
        <w:keepNext/>
        <w:keepLines/>
        <w:spacing w:after="20"/>
      </w:pPr>
      <w:r>
        <w:rPr>
          <w:rFonts w:ascii="Calibri" w:hAnsi="Calibri" w:eastAsia="Calibri"/>
          <w:sz w:val="18"/>
        </w:rPr>
        <w:t>[1] Quốc hội, Luật Khám bệnh, chữa bệnh số 15/2023/QH15, 2023.</w:t>
      </w:r>
    </w:p>
    <w:p w14:paraId="6156ED2C">
      <w:pPr>
        <w:keepLines/>
        <w:spacing w:after="40"/>
        <w:ind w:left="288"/>
      </w:pPr>
      <w:r>
        <w:fldChar w:fldCharType="begin"/>
      </w:r>
      <w:r>
        <w:instrText xml:space="preserve"> HYPERLINK "https://vbpl.vn/van-ban/chi-tiet/luat-kham-benh-chua-benh-2023-so-15-2023-qh15--168125" \h </w:instrText>
      </w:r>
      <w:r>
        <w:fldChar w:fldCharType="separate"/>
      </w:r>
      <w:r>
        <w:rPr>
          <w:color w:val="2E74B5"/>
          <w:sz w:val="17"/>
          <w:szCs w:val="17"/>
          <w:u w:val="single"/>
        </w:rPr>
        <w:t>https://vbpl.vn/van-ban/chi-tiet/luat-kham-benh-chua-benh-2023-so-15-2023-qh15--168125</w:t>
      </w:r>
      <w:r>
        <w:rPr>
          <w:color w:val="2E74B5"/>
          <w:sz w:val="17"/>
          <w:szCs w:val="17"/>
          <w:u w:val="single"/>
        </w:rPr>
        <w:fldChar w:fldCharType="end"/>
      </w:r>
    </w:p>
    <w:p w14:paraId="45379603">
      <w:pPr>
        <w:keepNext/>
        <w:keepLines/>
        <w:spacing w:after="20"/>
      </w:pPr>
      <w:r>
        <w:rPr>
          <w:rFonts w:ascii="Calibri" w:hAnsi="Calibri" w:eastAsia="Calibri"/>
          <w:sz w:val="18"/>
        </w:rPr>
        <w:t>[2] Peace Dentistry, Bảng giá nha khoa năm 2026, truy cập ngày 18/08/2026.</w:t>
      </w:r>
    </w:p>
    <w:p w14:paraId="2C17B605">
      <w:pPr>
        <w:keepLines/>
        <w:spacing w:after="40"/>
        <w:ind w:left="288"/>
      </w:pPr>
      <w:r>
        <w:fldChar w:fldCharType="begin"/>
      </w:r>
      <w:r>
        <w:instrText xml:space="preserve"> HYPERLINK "https://nhakhoapeace.com/bang-gia/" \h </w:instrText>
      </w:r>
      <w:r>
        <w:fldChar w:fldCharType="separate"/>
      </w:r>
      <w:r>
        <w:rPr>
          <w:color w:val="2E74B5"/>
          <w:sz w:val="17"/>
          <w:szCs w:val="17"/>
          <w:u w:val="single"/>
        </w:rPr>
        <w:t>https://nhakhoapeace.com/bang-gia/</w:t>
      </w:r>
      <w:r>
        <w:rPr>
          <w:color w:val="2E74B5"/>
          <w:sz w:val="17"/>
          <w:szCs w:val="17"/>
          <w:u w:val="single"/>
        </w:rPr>
        <w:fldChar w:fldCharType="end"/>
      </w:r>
    </w:p>
    <w:p w14:paraId="3FC0EC39">
      <w:pPr>
        <w:keepNext/>
        <w:keepLines/>
        <w:spacing w:after="20"/>
      </w:pPr>
      <w:r>
        <w:rPr>
          <w:rFonts w:ascii="Calibri" w:hAnsi="Calibri" w:eastAsia="Calibri"/>
          <w:sz w:val="18"/>
        </w:rPr>
        <w:t>[3] Quốc hội, Luật Bảo vệ quyền lợi người tiêu dùng số 19/2023/QH15, 2023.</w:t>
      </w:r>
    </w:p>
    <w:p w14:paraId="24906D0B">
      <w:pPr>
        <w:keepLines/>
        <w:spacing w:after="40"/>
        <w:ind w:left="288"/>
      </w:pPr>
      <w:r>
        <w:fldChar w:fldCharType="begin"/>
      </w:r>
      <w:r>
        <w:instrText xml:space="preserve"> HYPERLINK "https://chinhphu.vn/?classid=1&amp;docid=208363&amp;pageid=27160&amp;typegroupid=3" \h </w:instrText>
      </w:r>
      <w:r>
        <w:fldChar w:fldCharType="separate"/>
      </w:r>
      <w:r>
        <w:rPr>
          <w:color w:val="2E74B5"/>
          <w:sz w:val="17"/>
          <w:szCs w:val="17"/>
          <w:u w:val="single"/>
        </w:rPr>
        <w:t>https://chinhphu.vn/?classid=1&amp;docid=208363&amp;pageid=27160&amp;typegroupid=3</w:t>
      </w:r>
      <w:r>
        <w:rPr>
          <w:color w:val="2E74B5"/>
          <w:sz w:val="17"/>
          <w:szCs w:val="17"/>
          <w:u w:val="single"/>
        </w:rPr>
        <w:fldChar w:fldCharType="end"/>
      </w:r>
    </w:p>
    <w:p w14:paraId="52A9D3D5">
      <w:pPr>
        <w:keepNext/>
        <w:keepLines/>
        <w:spacing w:after="20"/>
      </w:pPr>
      <w:r>
        <w:rPr>
          <w:rFonts w:ascii="Calibri" w:hAnsi="Calibri" w:eastAsia="Calibri"/>
          <w:sz w:val="18"/>
        </w:rPr>
        <w:t>[4] Chính phủ, Nghị định số 123/2020/NĐ-CP quy định về hóa đơn, chứng từ, 2020.</w:t>
      </w:r>
    </w:p>
    <w:p w14:paraId="39411811">
      <w:pPr>
        <w:keepLines/>
        <w:spacing w:after="40"/>
        <w:ind w:left="288"/>
      </w:pPr>
      <w:r>
        <w:fldChar w:fldCharType="begin"/>
      </w:r>
      <w:r>
        <w:instrText xml:space="preserve"> HYPERLINK "https://congbao.chinhphu.vn/van-ban/nghi-dinh-so-123-2020-nd-cp-32290/32999.htm" \h </w:instrText>
      </w:r>
      <w:r>
        <w:fldChar w:fldCharType="separate"/>
      </w:r>
      <w:r>
        <w:rPr>
          <w:color w:val="2E74B5"/>
          <w:sz w:val="17"/>
          <w:szCs w:val="17"/>
          <w:u w:val="single"/>
        </w:rPr>
        <w:t>https://congbao.chinhphu.vn/van-ban/nghi-dinh-so-123-2020-nd-cp-32290/32999.htm</w:t>
      </w:r>
      <w:r>
        <w:rPr>
          <w:color w:val="2E74B5"/>
          <w:sz w:val="17"/>
          <w:szCs w:val="17"/>
          <w:u w:val="single"/>
        </w:rPr>
        <w:fldChar w:fldCharType="end"/>
      </w:r>
    </w:p>
    <w:p w14:paraId="00834B4E">
      <w:pPr>
        <w:keepNext/>
        <w:keepLines/>
        <w:spacing w:after="20"/>
      </w:pPr>
      <w:r>
        <w:rPr>
          <w:rFonts w:ascii="Calibri" w:hAnsi="Calibri" w:eastAsia="Calibri"/>
          <w:sz w:val="18"/>
        </w:rPr>
        <w:t>[5] Chính phủ, Nghị định số 70/2025/NĐ-CP sửa đổi Nghị định số 123/2020/NĐ-CP về hóa đơn, chứng từ, 2025.</w:t>
      </w:r>
    </w:p>
    <w:p w14:paraId="47EC91BE">
      <w:pPr>
        <w:keepLines/>
        <w:spacing w:after="40"/>
        <w:ind w:left="288"/>
      </w:pPr>
      <w:r>
        <w:fldChar w:fldCharType="begin"/>
      </w:r>
      <w:r>
        <w:instrText xml:space="preserve"> HYPERLINK "https://congbao.chinhphu.vn/van-ban/nghi-dinh-so-70-2025-nd-cp-44623/55799.htm" \h </w:instrText>
      </w:r>
      <w:r>
        <w:fldChar w:fldCharType="separate"/>
      </w:r>
      <w:r>
        <w:rPr>
          <w:color w:val="2E74B5"/>
          <w:sz w:val="17"/>
          <w:szCs w:val="17"/>
          <w:u w:val="single"/>
        </w:rPr>
        <w:t>https://congbao.chinhphu.vn/van-ban/nghi-dinh-so-70-2025-nd-cp-44623/55799.htm</w:t>
      </w:r>
      <w:r>
        <w:rPr>
          <w:color w:val="2E74B5"/>
          <w:sz w:val="17"/>
          <w:szCs w:val="17"/>
          <w:u w:val="single"/>
        </w:rPr>
        <w:fldChar w:fldCharType="end"/>
      </w:r>
    </w:p>
    <w:p w14:paraId="14233658">
      <w:pPr>
        <w:keepNext/>
        <w:keepLines/>
        <w:spacing w:after="20"/>
      </w:pPr>
      <w:r>
        <w:rPr>
          <w:rFonts w:ascii="Calibri" w:hAnsi="Calibri" w:eastAsia="Calibri"/>
          <w:sz w:val="18"/>
        </w:rPr>
        <w:t>[6] Quốc hội, Luật Thuế giá trị gia tăng số 48/2024/QH15, 2024.</w:t>
      </w:r>
    </w:p>
    <w:p w14:paraId="4A016D3A">
      <w:pPr>
        <w:keepLines/>
        <w:spacing w:after="40"/>
        <w:ind w:left="288"/>
      </w:pPr>
      <w:r>
        <w:fldChar w:fldCharType="begin"/>
      </w:r>
      <w:r>
        <w:instrText xml:space="preserve"> HYPERLINK "https://vanban.chinhphu.vn/?docid=212476&amp;pageid=27160" \h </w:instrText>
      </w:r>
      <w:r>
        <w:fldChar w:fldCharType="separate"/>
      </w:r>
      <w:r>
        <w:rPr>
          <w:color w:val="2E74B5"/>
          <w:sz w:val="17"/>
          <w:szCs w:val="17"/>
          <w:u w:val="single"/>
        </w:rPr>
        <w:t>https://vanban.chinhphu.vn/?docid=212476&amp;pageid=27160</w:t>
      </w:r>
      <w:r>
        <w:rPr>
          <w:color w:val="2E74B5"/>
          <w:sz w:val="17"/>
          <w:szCs w:val="17"/>
          <w:u w:val="single"/>
        </w:rPr>
        <w:fldChar w:fldCharType="end"/>
      </w:r>
    </w:p>
    <w:sectPr>
      <w:headerReference r:id="rId5" w:type="default"/>
      <w:footerReference r:id="rId7" w:type="default"/>
      <w:headerReference r:id="rId6" w:type="even"/>
      <w:footerReference r:id="rId8" w:type="even"/>
      <w:pgSz w:w="12240" w:h="15840"/>
      <w:pgMar w:top="1224" w:right="1224" w:bottom="1152" w:left="1224"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33682">
    <w:pPr>
      <w:pStyle w:val="18"/>
      <w:jc w:val="right"/>
    </w:pPr>
    <w:r>
      <w:rPr>
        <w:rFonts w:ascii="Calibri" w:hAnsi="Calibri" w:eastAsia="Calibri"/>
        <w:color w:val="666666"/>
        <w:sz w:val="18"/>
      </w:rPr>
      <w:t xml:space="preserve">Trang </w:t>
    </w:r>
    <w:r>
      <w:rPr>
        <w:rFonts w:ascii="Calibri" w:hAnsi="Calibri" w:eastAsia="Calibri"/>
        <w:color w:val="666666"/>
        <w:sz w:val="18"/>
      </w:rPr>
      <w:fldChar w:fldCharType="begin"/>
    </w:r>
    <w:r>
      <w:rPr>
        <w:rFonts w:ascii="Calibri" w:hAnsi="Calibri" w:eastAsia="Calibri"/>
        <w:color w:val="666666"/>
        <w:sz w:val="18"/>
      </w:rPr>
      <w:instrText xml:space="preserve"> PAGE </w:instrText>
    </w:r>
    <w:r>
      <w:rPr>
        <w:rFonts w:ascii="Calibri" w:hAnsi="Calibri" w:eastAsia="Calibri"/>
        <w:color w:val="666666"/>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09CF1">
    <w:pPr>
      <w:pStyle w:val="18"/>
      <w:jc w:val="right"/>
    </w:pPr>
    <w:r>
      <w:rPr>
        <w:rFonts w:ascii="Calibri" w:hAnsi="Calibri" w:eastAsia="Calibri"/>
        <w:color w:val="666666"/>
        <w:sz w:val="18"/>
      </w:rPr>
      <w:t xml:space="preserve">Trang </w:t>
    </w:r>
    <w:r>
      <w:rPr>
        <w:rFonts w:ascii="Calibri" w:hAnsi="Calibri" w:eastAsia="Calibri"/>
        <w:color w:val="666666"/>
        <w:sz w:val="18"/>
      </w:rPr>
      <w:fldChar w:fldCharType="begin"/>
    </w:r>
    <w:r>
      <w:rPr>
        <w:rFonts w:ascii="Calibri" w:hAnsi="Calibri" w:eastAsia="Calibri"/>
        <w:color w:val="666666"/>
        <w:sz w:val="18"/>
      </w:rPr>
      <w:instrText xml:space="preserve"> PAGE </w:instrText>
    </w:r>
    <w:r>
      <w:rPr>
        <w:rFonts w:ascii="Calibri" w:hAnsi="Calibri" w:eastAsia="Calibri"/>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02D63">
    <w:pPr>
      <w:pStyle w:val="19"/>
      <w:spacing w:after="0"/>
      <w:jc w:val="right"/>
    </w:pPr>
    <w:r>
      <w:rPr>
        <w:rFonts w:ascii="Calibri" w:hAnsi="Calibri" w:eastAsia="Calibri"/>
        <w:b/>
        <w:color w:val="666666"/>
        <w:sz w:val="17"/>
      </w:rPr>
      <w:t>HỆ THỐNG QUẢN LÝ PHÒNG KHÁM NHA KHOA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F8FB1">
    <w:pPr>
      <w:pStyle w:val="19"/>
      <w:spacing w:after="0"/>
      <w:jc w:val="right"/>
    </w:pPr>
    <w:r>
      <w:rPr>
        <w:rFonts w:ascii="Calibri" w:hAnsi="Calibri" w:eastAsia="Calibri"/>
        <w:b/>
        <w:color w:val="666666"/>
        <w:sz w:val="17"/>
      </w:rPr>
      <w:t>HỆ THỐNG QUẢN LÝ PHÒNG KHÁM NHA KHOA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720"/>
        </w:tabs>
        <w:ind w:left="720" w:hanging="360"/>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720"/>
        </w:tabs>
        <w:ind w:left="720" w:hanging="36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D605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4"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4345</Words>
  <Characters>16467</Characters>
  <Lines>0</Lines>
  <Paragraphs>0</Paragraphs>
  <TotalTime>1</TotalTime>
  <ScaleCrop>false</ScaleCrop>
  <LinksUpToDate>false</LinksUpToDate>
  <CharactersWithSpaces>20446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hệ thống quản lý phòng khám nha khoa</dc:creator>
  <dc:description>generated by python-docx</dc:description>
  <cp:keywords>nha khoa, dịch vụ, chi phí, thanh toán</cp:keywords>
  <cp:lastModifiedBy>Trần Phúc Khang 12</cp:lastModifiedBy>
  <dcterms:modified xsi:type="dcterms:W3CDTF">2026-08-20T09:00:32Z</dcterms:modified>
  <dc:subject>Khảo sát hiện trạng, quy trình nghiệp vụ và quy định của hệ thống quản lý phòng khám nha khoa</dc:subject>
  <dc:title>Phần 4 - Dịch vụ, chi phí và thanh toán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eyJoZGlkIjoiOTYzMTFkMTUwYmYzYjBjZTM2ZDhlZDdmNzhmNWYwOTciLCJ1c2VySWQiOiIxMzkxODc1NDAzMjIwIn0=</vt:lpwstr>
  </property>
  <property fmtid="{D5CDD505-2E9C-101B-9397-08002B2CF9AE}" pid="3" name="KSOProductBuildVer">
    <vt:lpwstr>1033-12.1.0.28032</vt:lpwstr>
  </property>
  <property fmtid="{D5CDD505-2E9C-101B-9397-08002B2CF9AE}" pid="4" name="ICV">
    <vt:lpwstr>6889830F04794A54BAF046907EE32B67_12</vt:lpwstr>
  </property>
</Properties>
</file>