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000000" w:space="1" w:sz="4" w:val="single"/>
        </w:pBdr>
        <w:spacing w:after="120" w:line="240" w:lineRule="auto"/>
        <w:jc w:val="center"/>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THU THẬP, LÀM RÕ YÊU CẦU CỦA ỨNG DỤNG</w:t>
      </w:r>
    </w:p>
    <w:p w:rsidR="00000000" w:rsidDel="00000000" w:rsidP="00000000" w:rsidRDefault="00000000" w:rsidRPr="00000000" w14:paraId="00000002">
      <w:pPr>
        <w:spacing w:after="120" w:line="240" w:lineRule="auto"/>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sz w:val="26"/>
          <w:szCs w:val="26"/>
          <w:rtl w:val="0"/>
        </w:rPr>
        <w:t xml:space="preserve">Nhóm </w:t>
      </w:r>
      <w:r w:rsidDel="00000000" w:rsidR="00000000" w:rsidRPr="00000000">
        <w:rPr>
          <w:rFonts w:ascii="Times New Roman" w:cs="Times New Roman" w:eastAsia="Times New Roman" w:hAnsi="Times New Roman"/>
          <w:color w:val="ff0000"/>
          <w:sz w:val="26"/>
          <w:szCs w:val="26"/>
          <w:rtl w:val="0"/>
        </w:rPr>
        <w:t xml:space="preserve">08 </w:t>
      </w:r>
      <w:r w:rsidDel="00000000" w:rsidR="00000000" w:rsidRPr="00000000">
        <w:rPr>
          <w:rFonts w:ascii="Times New Roman" w:cs="Times New Roman" w:eastAsia="Times New Roman" w:hAnsi="Times New Roman"/>
          <w:sz w:val="26"/>
          <w:szCs w:val="26"/>
          <w:rtl w:val="0"/>
        </w:rPr>
        <w:t xml:space="preserve">- Thành viên nhóm </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ff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6"/>
          <w:szCs w:val="26"/>
          <w:u w:val="none"/>
          <w:shd w:fill="auto" w:val="clear"/>
          <w:vertAlign w:val="baseline"/>
          <w:rtl w:val="0"/>
        </w:rPr>
        <w:t xml:space="preserve">Nguyễn Quang Huy - 24634021 (Nhóm trưởng)</w:t>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ff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6"/>
          <w:szCs w:val="26"/>
          <w:u w:val="none"/>
          <w:shd w:fill="auto" w:val="clear"/>
          <w:vertAlign w:val="baseline"/>
          <w:rtl w:val="0"/>
        </w:rPr>
        <w:t xml:space="preserve">Nguyễn Văn Trí – 24643551</w:t>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ff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6"/>
          <w:szCs w:val="26"/>
          <w:u w:val="none"/>
          <w:shd w:fill="auto" w:val="clear"/>
          <w:vertAlign w:val="baseline"/>
          <w:rtl w:val="0"/>
        </w:rPr>
        <w:t xml:space="preserve">Đỗ Quốc Thịnh – 24641571 (Thư kí)</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ff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6"/>
          <w:szCs w:val="26"/>
          <w:u w:val="none"/>
          <w:shd w:fill="auto" w:val="clear"/>
          <w:vertAlign w:val="baseline"/>
          <w:rtl w:val="0"/>
        </w:rPr>
        <w:t xml:space="preserve">Trần Phúc Khang – 24632571</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b w:val="0"/>
          <w:bCs w:val="0"/>
          <w:i w:val="0"/>
          <w:iCs w:val="0"/>
          <w:smallCaps w:val="0"/>
          <w:strike w:val="0"/>
          <w:color w:val="ff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6"/>
          <w:szCs w:val="26"/>
          <w:u w:val="none"/>
          <w:shd w:fill="auto" w:val="clear"/>
          <w:vertAlign w:val="baseline"/>
          <w:rtl w:val="0"/>
        </w:rPr>
        <w:t xml:space="preserve">Nguyễn Hải Đăng - 24704331</w:t>
      </w:r>
    </w:p>
    <w:p w:rsidR="00000000" w:rsidDel="00000000" w:rsidP="00000000" w:rsidRDefault="00000000" w:rsidRPr="00000000" w14:paraId="00000008">
      <w:pPr>
        <w:spacing w:after="120" w:line="240" w:lineRule="auto"/>
        <w:jc w:val="both"/>
        <w:rPr>
          <w:rFonts w:ascii="Times New Roman" w:cs="Times New Roman" w:eastAsia="Times New Roman" w:hAnsi="Times New Roman"/>
          <w:b w:val="1"/>
          <w:bCs w:val="1"/>
          <w:color w:val="ff0000"/>
          <w:sz w:val="26"/>
          <w:szCs w:val="26"/>
        </w:rPr>
      </w:pPr>
      <w:r w:rsidDel="00000000" w:rsidR="00000000" w:rsidRPr="00000000">
        <w:rPr>
          <w:rFonts w:ascii="Times New Roman" w:cs="Times New Roman" w:eastAsia="Times New Roman" w:hAnsi="Times New Roman"/>
          <w:i w:val="1"/>
          <w:iCs w:val="1"/>
          <w:sz w:val="26"/>
          <w:szCs w:val="26"/>
          <w:rtl w:val="0"/>
        </w:rPr>
        <w:t xml:space="preserve">Tên ứng dụng:</w:t>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color w:val="ff0000"/>
          <w:sz w:val="26"/>
          <w:szCs w:val="26"/>
          <w:rtl w:val="0"/>
        </w:rPr>
        <w:t xml:space="preserve">CHƯƠNG TRÌNH QUẢN LÝ NHA KHOA</w:t>
      </w:r>
    </w:p>
    <w:p w:rsidR="00000000" w:rsidDel="00000000" w:rsidP="00000000" w:rsidRDefault="00000000" w:rsidRPr="00000000" w14:paraId="00000009">
      <w:pPr>
        <w:pBdr>
          <w:bottom w:color="000000" w:space="1" w:sz="4" w:val="single"/>
        </w:pBdr>
        <w:spacing w:after="120" w:lin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Thời gian thực hiện: Từ 03/08/2026 đến 26/10/2026 (15 tuần)</w:t>
      </w:r>
    </w:p>
    <w:p w:rsidR="00000000" w:rsidDel="00000000" w:rsidP="00000000" w:rsidRDefault="00000000" w:rsidRPr="00000000" w14:paraId="0000000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Thu thập yêu cầu:</w:t>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Khảo sát hiện trạng:</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Quản lý phòng khám: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Đang có sự phân hóa giữa mô hình thủ công (dễ sai sót, hao hụt, thiếu liên kết Labo) và mô hình số hóa (quản lý đồng bộ bằng phần mềm). Các phòng khám chịu áp lực lớn từ việc phải đáp ứng "Bộ 15 tiêu chí chất lượng" của Sở Y tế.</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Nhân sự &amp; Lịch làm việc: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Quản lý nhân sự phức tạp do ràng buộc khắt khe về giấy phép hành nghề và nghĩa vụ đào tạo liên tục (CME). Việc xếp lịch làm việc đòi hỏi phải khớp 3 yếu tố (Bác sĩ, Ghế nha, Thời gian thủ thuật) để tối ưu công suất. Khó khăn lớn nhất là tính toán hoa hồng chính xác sau khi đã cấn trừ chi phí vật tư và Labo.</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Thuốc, vật tư và kho: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Chiếm tỷ trọng chi phí rất lớn và ảnh hưởng trực tiếp đến an toàn y khoa. Đòi hỏi cơ sở vật chất chuyên biệt (diện tích phòng, ghế nha) và yêu cầu bắt buộc phải kiểm soát chặt chẽ theo Số lô (Lot) và Hạn sử dụng (Date).</w:t>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Quy trình nghiệp vụ</w:t>
      </w:r>
    </w:p>
    <w:p w:rsidR="00000000" w:rsidDel="00000000" w:rsidP="00000000" w:rsidRDefault="00000000" w:rsidRPr="00000000" w14:paraId="000000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8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Quản lý nhân sự:</w:t>
      </w:r>
      <w:r w:rsidDel="00000000" w:rsidR="00000000" w:rsidRPr="00000000">
        <w:rPr>
          <w:rtl w:val="0"/>
        </w:rPr>
      </w:r>
    </w:p>
    <w:p w:rsidR="00000000" w:rsidDel="00000000" w:rsidP="00000000" w:rsidRDefault="00000000" w:rsidRPr="00000000" w14:paraId="00000011">
      <w:pPr>
        <w:numPr>
          <w:ilvl w:val="0"/>
          <w:numId w:val="4"/>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Tiếp nhận &amp; Chuẩn hóa:</w:t>
      </w:r>
      <w:r w:rsidDel="00000000" w:rsidR="00000000" w:rsidRPr="00000000">
        <w:rPr>
          <w:rFonts w:ascii="Times New Roman" w:cs="Times New Roman" w:eastAsia="Times New Roman" w:hAnsi="Times New Roman"/>
          <w:sz w:val="24"/>
          <w:szCs w:val="24"/>
          <w:rtl w:val="0"/>
        </w:rPr>
        <w:t xml:space="preserve"> Thẩm định văn bằng chứng chỉ → Ký hợp đồng → Đăng ký hành nghề với Sở Y tế (trong 10 ngày).</w:t>
      </w:r>
    </w:p>
    <w:p w:rsidR="00000000" w:rsidDel="00000000" w:rsidP="00000000" w:rsidRDefault="00000000" w:rsidRPr="00000000" w14:paraId="00000012">
      <w:pPr>
        <w:numPr>
          <w:ilvl w:val="0"/>
          <w:numId w:val="4"/>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Thiết lập hệ thống:</w:t>
      </w:r>
      <w:r w:rsidDel="00000000" w:rsidR="00000000" w:rsidRPr="00000000">
        <w:rPr>
          <w:rFonts w:ascii="Times New Roman" w:cs="Times New Roman" w:eastAsia="Times New Roman" w:hAnsi="Times New Roman"/>
          <w:sz w:val="24"/>
          <w:szCs w:val="24"/>
          <w:rtl w:val="0"/>
        </w:rPr>
        <w:t xml:space="preserve"> Cấp tài khoản phần mềm → Phân quyền truy cập bảo mật → Cài đặt danh mục kỹ thuật được phép thực hiện.</w:t>
      </w:r>
    </w:p>
    <w:p w:rsidR="00000000" w:rsidDel="00000000" w:rsidP="00000000" w:rsidRDefault="00000000" w:rsidRPr="00000000" w14:paraId="00000013">
      <w:pPr>
        <w:numPr>
          <w:ilvl w:val="0"/>
          <w:numId w:val="4"/>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Lập lịch hẹn:</w:t>
      </w:r>
      <w:r w:rsidDel="00000000" w:rsidR="00000000" w:rsidRPr="00000000">
        <w:rPr>
          <w:rFonts w:ascii="Times New Roman" w:cs="Times New Roman" w:eastAsia="Times New Roman" w:hAnsi="Times New Roman"/>
          <w:sz w:val="24"/>
          <w:szCs w:val="24"/>
          <w:rtl w:val="0"/>
        </w:rPr>
        <w:t xml:space="preserve"> Đồng bộ ca làm việc với số ghế nha khả dụng → Bệnh nhân đặt lịch → Gửi tin nhắn nhắc hẹn tự động.</w:t>
      </w:r>
    </w:p>
    <w:p w:rsidR="00000000" w:rsidDel="00000000" w:rsidP="00000000" w:rsidRDefault="00000000" w:rsidRPr="00000000" w14:paraId="00000014">
      <w:pPr>
        <w:numPr>
          <w:ilvl w:val="0"/>
          <w:numId w:val="4"/>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Tính thù lao:</w:t>
      </w:r>
      <w:r w:rsidDel="00000000" w:rsidR="00000000" w:rsidRPr="00000000">
        <w:rPr>
          <w:rFonts w:ascii="Times New Roman" w:cs="Times New Roman" w:eastAsia="Times New Roman" w:hAnsi="Times New Roman"/>
          <w:sz w:val="24"/>
          <w:szCs w:val="24"/>
          <w:rtl w:val="0"/>
        </w:rPr>
        <w:t xml:space="preserve"> Ghi nhận thủ thuật hoàn tất → Tự động cấn trừ chi phí vật tư/Labo → Chốt % hoa hồng cho bác sĩ/phụ tá.</w:t>
      </w:r>
    </w:p>
    <w:p w:rsidR="00000000" w:rsidDel="00000000" w:rsidP="00000000" w:rsidRDefault="00000000" w:rsidRPr="00000000" w14:paraId="000000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80" w:before="280" w:line="240" w:lineRule="auto"/>
        <w:ind w:left="720" w:right="0" w:hanging="360"/>
        <w:jc w:val="left"/>
        <w:rPr>
          <w:b w:val="0"/>
          <w:bCs w:val="0"/>
          <w:i w:val="0"/>
          <w:iCs w:val="0"/>
          <w:smallCaps w:val="0"/>
          <w:strike w:val="0"/>
          <w:color w:val="000000"/>
          <w:sz w:val="24"/>
          <w:szCs w:val="24"/>
          <w:u w:val="none"/>
          <w:shd w:fill="auto" w:val="clear"/>
          <w:vertAlign w:val="baseline"/>
        </w:rPr>
      </w:pPr>
      <w:bookmarkStart w:colFirst="0" w:colLast="0" w:name="_5umnlfys80wt" w:id="0"/>
      <w:bookmarkEnd w:id="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Quản lý kho (Nhập – Xuất – Sử dụng – Kiểm kê):</w:t>
      </w:r>
      <w:r w:rsidDel="00000000" w:rsidR="00000000" w:rsidRPr="00000000">
        <w:rPr>
          <w:rtl w:val="0"/>
        </w:rPr>
      </w:r>
    </w:p>
    <w:p w:rsidR="00000000" w:rsidDel="00000000" w:rsidP="00000000" w:rsidRDefault="00000000" w:rsidRPr="00000000" w14:paraId="00000016">
      <w:pPr>
        <w:numPr>
          <w:ilvl w:val="0"/>
          <w:numId w:val="5"/>
        </w:numPr>
        <w:spacing w:after="0" w:before="28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Nhập kho:</w:t>
      </w:r>
      <w:r w:rsidDel="00000000" w:rsidR="00000000" w:rsidRPr="00000000">
        <w:rPr>
          <w:rFonts w:ascii="Caudex" w:cs="Caudex" w:eastAsia="Caudex" w:hAnsi="Caudex"/>
          <w:sz w:val="24"/>
          <w:szCs w:val="24"/>
          <w:rtl w:val="0"/>
        </w:rPr>
        <w:t xml:space="preserve"> Hệ thống báo mức tồn tối thiểu → Lập dự trù → Nhập kho (Ghi nhận mã vật tư, Số Lot, Hạn sử dụng, chứng từ xuất xứ).</w:t>
      </w:r>
    </w:p>
    <w:p w:rsidR="00000000" w:rsidDel="00000000" w:rsidP="00000000" w:rsidRDefault="00000000" w:rsidRPr="00000000" w14:paraId="00000017">
      <w:pPr>
        <w:numPr>
          <w:ilvl w:val="0"/>
          <w:numId w:val="5"/>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Xuất kho:</w:t>
      </w:r>
      <w:r w:rsidDel="00000000" w:rsidR="00000000" w:rsidRPr="00000000">
        <w:rPr>
          <w:rFonts w:ascii="Times New Roman" w:cs="Times New Roman" w:eastAsia="Times New Roman" w:hAnsi="Times New Roman"/>
          <w:sz w:val="24"/>
          <w:szCs w:val="24"/>
          <w:rtl w:val="0"/>
        </w:rPr>
        <w:t xml:space="preserve"> Điều chuyển vật tư từ kho tổng về các ghế nha theo nguyên tắc FEFO (Hết hạn trước - Xuất trước).</w:t>
      </w:r>
    </w:p>
    <w:p w:rsidR="00000000" w:rsidDel="00000000" w:rsidP="00000000" w:rsidRDefault="00000000" w:rsidRPr="00000000" w14:paraId="00000018">
      <w:pPr>
        <w:numPr>
          <w:ilvl w:val="0"/>
          <w:numId w:val="5"/>
        </w:numPr>
        <w:spacing w:after="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Sử dụng:</w:t>
      </w:r>
      <w:r w:rsidDel="00000000" w:rsidR="00000000" w:rsidRPr="00000000">
        <w:rPr>
          <w:rFonts w:ascii="Times New Roman" w:cs="Times New Roman" w:eastAsia="Times New Roman" w:hAnsi="Times New Roman"/>
          <w:sz w:val="24"/>
          <w:szCs w:val="24"/>
          <w:rtl w:val="0"/>
        </w:rPr>
        <w:t xml:space="preserve"> Bác sĩ hoàn tất thủ thuật → Hệ thống tự động trừ lùi tồn kho theo định mức (BOM) đã cài sẵn.</w:t>
      </w:r>
    </w:p>
    <w:p w:rsidR="00000000" w:rsidDel="00000000" w:rsidP="00000000" w:rsidRDefault="00000000" w:rsidRPr="00000000" w14:paraId="00000019">
      <w:pPr>
        <w:numPr>
          <w:ilvl w:val="0"/>
          <w:numId w:val="5"/>
        </w:numPr>
        <w:spacing w:after="280" w:before="0" w:lin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Kiểm kê:</w:t>
      </w:r>
      <w:r w:rsidDel="00000000" w:rsidR="00000000" w:rsidRPr="00000000">
        <w:rPr>
          <w:rFonts w:ascii="Times New Roman" w:cs="Times New Roman" w:eastAsia="Times New Roman" w:hAnsi="Times New Roman"/>
          <w:sz w:val="24"/>
          <w:szCs w:val="24"/>
          <w:rtl w:val="0"/>
        </w:rPr>
        <w:t xml:space="preserve"> Đối chiếu thực tế với phần mềm định kỳ → Cảnh báo hàng cận Date → Xử lý chênh lệch/tiêu hủy.</w:t>
      </w:r>
    </w:p>
    <w:p w:rsidR="00000000" w:rsidDel="00000000" w:rsidP="00000000" w:rsidRDefault="00000000" w:rsidRPr="00000000" w14:paraId="0000001A">
      <w:pPr>
        <w:spacing w:after="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0" w:line="240" w:lineRule="auto"/>
        <w:ind w:left="720" w:right="0" w:hanging="360"/>
        <w:jc w:val="both"/>
        <w:rPr>
          <w:rFonts w:ascii="Times New Roman" w:cs="Times New Roman" w:eastAsia="Times New Roman" w:hAnsi="Times New Roman"/>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Quy định:</w:t>
      </w:r>
    </w:p>
    <w:p w:rsidR="00000000" w:rsidDel="00000000" w:rsidP="00000000" w:rsidRDefault="00000000" w:rsidRPr="00000000" w14:paraId="0000001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Khám chữa bệnh &amp; Hồ sơ: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Tuân thủ Luật Khám bệnh, chữa bệnh 2023. Nhân sự phải hành nghề đúng phạm vi cấp phép, không trùng giờ làm việc ở nơi khác và phải tích lũy đủ 120 giờ CME/5 năm. Hồ sơ bệnh án phải lưu trữ tối thiểu 10-20 năm, không được tùy tiện xóa bỏ.</w:t>
      </w:r>
    </w:p>
    <w:p w:rsidR="00000000" w:rsidDel="00000000" w:rsidP="00000000" w:rsidRDefault="00000000" w:rsidRPr="00000000" w14:paraId="0000001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Bảo mật thông tin (Nghị định 13/2023/NĐ-CP):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Dữ liệu nha khoa (phim 3D, sơ đồ răng) là "dữ liệu nhạy cảm". Phải phân quyền truy cập nghiêm ngặt. Việc dùng hình ảnh khách hàng (Before/After) để quảng cáo phải có sự đồng ý bằng văn bản.</w:t>
      </w:r>
    </w:p>
    <w:p w:rsidR="00000000" w:rsidDel="00000000" w:rsidP="00000000" w:rsidRDefault="00000000" w:rsidRPr="00000000" w14:paraId="0000001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Thuốc &amp; An toàn cấp cứu: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Tuân thủ Thông tư 51/2017/TT-BYT về chống sốc phản vệ. Bắt buộc trang bị hộp thuốc cấp cứu (có Adrenaline) tại mỗi ghế nha và dán công khai phác đồ xử trí.</w:t>
      </w:r>
    </w:p>
    <w:p w:rsidR="00000000" w:rsidDel="00000000" w:rsidP="00000000" w:rsidRDefault="00000000" w:rsidRPr="00000000" w14:paraId="0000001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Vật tư &amp; Trang thiết bị:</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Quy trình vô trùng dụng cụ phải tuân thủ nghiêm ngặt chuẩn "một chiều" (Bẩn → Khử khuẩn → Hấp tiệt trùng → Lưu trữ tia UV). Máy chụp X-quang phải được kiểm định, phòng chụp bọc chì và nhân sự phải có chứng chỉ an toàn bức xạ, đeo liều kế cá nhân (Thông tư 13/2014/TTLT).</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4"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40" w:lineRule="auto"/>
        <w:ind w:left="284" w:right="0" w:hanging="284"/>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Danh sách các câu hỏi khi thu thập và làm rõ yêu cầu của ứng dụng</w:t>
      </w:r>
    </w:p>
    <w:tbl>
      <w:tblPr>
        <w:tblStyle w:val="Table1"/>
        <w:tblW w:w="102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9"/>
        <w:gridCol w:w="3102"/>
        <w:gridCol w:w="3750"/>
        <w:gridCol w:w="2714"/>
        <w:tblGridChange w:id="0">
          <w:tblGrid>
            <w:gridCol w:w="679"/>
            <w:gridCol w:w="3102"/>
            <w:gridCol w:w="3750"/>
            <w:gridCol w:w="2714"/>
          </w:tblGrid>
        </w:tblGridChange>
      </w:tblGrid>
      <w:tr>
        <w:trPr>
          <w:cantSplit w:val="0"/>
          <w:tblHeader w:val="1"/>
        </w:trPr>
        <w:tc>
          <w:tcPr/>
          <w:p w:rsidR="00000000" w:rsidDel="00000000" w:rsidP="00000000" w:rsidRDefault="00000000" w:rsidRPr="00000000" w14:paraId="00000022">
            <w:pPr>
              <w:spacing w:after="12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STT</w:t>
            </w:r>
          </w:p>
        </w:tc>
        <w:tc>
          <w:tcPr/>
          <w:p w:rsidR="00000000" w:rsidDel="00000000" w:rsidP="00000000" w:rsidRDefault="00000000" w:rsidRPr="00000000" w14:paraId="00000023">
            <w:pPr>
              <w:spacing w:after="12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Câu hỏi (Questions)</w:t>
            </w:r>
          </w:p>
        </w:tc>
        <w:tc>
          <w:tcPr/>
          <w:p w:rsidR="00000000" w:rsidDel="00000000" w:rsidP="00000000" w:rsidRDefault="00000000" w:rsidRPr="00000000" w14:paraId="00000024">
            <w:pPr>
              <w:spacing w:after="12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Trả lời (Answers)</w:t>
            </w:r>
          </w:p>
        </w:tc>
        <w:tc>
          <w:tcPr/>
          <w:p w:rsidR="00000000" w:rsidDel="00000000" w:rsidP="00000000" w:rsidRDefault="00000000" w:rsidRPr="00000000" w14:paraId="00000025">
            <w:pPr>
              <w:spacing w:after="120" w:lineRule="auto"/>
              <w:jc w:val="center"/>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Ghi chú</w:t>
            </w:r>
          </w:p>
        </w:tc>
      </w:tr>
      <w:tr>
        <w:trPr>
          <w:cantSplit w:val="0"/>
          <w:trHeight w:val="339" w:hRule="atLeast"/>
          <w:tblHeader w:val="0"/>
        </w:trPr>
        <w:tc>
          <w:tcPr>
            <w:vAlign w:val="center"/>
          </w:tcPr>
          <w:p w:rsidR="00000000" w:rsidDel="00000000" w:rsidP="00000000" w:rsidRDefault="00000000" w:rsidRPr="00000000" w14:paraId="00000026">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vAlign w:val="center"/>
          </w:tcPr>
          <w:p w:rsidR="00000000" w:rsidDel="00000000" w:rsidP="00000000" w:rsidRDefault="00000000" w:rsidRPr="00000000" w14:paraId="00000027">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28">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9">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2A">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vAlign w:val="center"/>
          </w:tcPr>
          <w:p w:rsidR="00000000" w:rsidDel="00000000" w:rsidP="00000000" w:rsidRDefault="00000000" w:rsidRPr="00000000" w14:paraId="0000002B">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2C">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2D">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2E">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vAlign w:val="center"/>
          </w:tcPr>
          <w:p w:rsidR="00000000" w:rsidDel="00000000" w:rsidP="00000000" w:rsidRDefault="00000000" w:rsidRPr="00000000" w14:paraId="0000002F">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30">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1">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32">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vAlign w:val="center"/>
          </w:tcPr>
          <w:p w:rsidR="00000000" w:rsidDel="00000000" w:rsidP="00000000" w:rsidRDefault="00000000" w:rsidRPr="00000000" w14:paraId="00000033">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34">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5">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36">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vAlign w:val="center"/>
          </w:tcPr>
          <w:p w:rsidR="00000000" w:rsidDel="00000000" w:rsidP="00000000" w:rsidRDefault="00000000" w:rsidRPr="00000000" w14:paraId="00000037">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38">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9">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3A">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vAlign w:val="center"/>
          </w:tcPr>
          <w:p w:rsidR="00000000" w:rsidDel="00000000" w:rsidP="00000000" w:rsidRDefault="00000000" w:rsidRPr="00000000" w14:paraId="0000003B">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3C">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3D">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3E">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vAlign w:val="center"/>
          </w:tcPr>
          <w:p w:rsidR="00000000" w:rsidDel="00000000" w:rsidP="00000000" w:rsidRDefault="00000000" w:rsidRPr="00000000" w14:paraId="0000003F">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40">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41">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42">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vAlign w:val="center"/>
          </w:tcPr>
          <w:p w:rsidR="00000000" w:rsidDel="00000000" w:rsidP="00000000" w:rsidRDefault="00000000" w:rsidRPr="00000000" w14:paraId="00000043">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44">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45">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46">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vAlign w:val="center"/>
          </w:tcPr>
          <w:p w:rsidR="00000000" w:rsidDel="00000000" w:rsidP="00000000" w:rsidRDefault="00000000" w:rsidRPr="00000000" w14:paraId="00000047">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48">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49">
            <w:pPr>
              <w:spacing w:after="120" w:lineRule="auto"/>
              <w:jc w:val="both"/>
              <w:rPr>
                <w:rFonts w:ascii="Times New Roman" w:cs="Times New Roman" w:eastAsia="Times New Roman" w:hAnsi="Times New Roman"/>
                <w:sz w:val="26"/>
                <w:szCs w:val="26"/>
              </w:rPr>
            </w:pPr>
            <w:r w:rsidDel="00000000" w:rsidR="00000000" w:rsidRPr="00000000">
              <w:rPr>
                <w:rtl w:val="0"/>
              </w:rPr>
            </w:r>
          </w:p>
        </w:tc>
      </w:tr>
      <w:tr>
        <w:trPr>
          <w:cantSplit w:val="0"/>
          <w:trHeight w:val="339" w:hRule="atLeast"/>
          <w:tblHeader w:val="0"/>
        </w:trPr>
        <w:tc>
          <w:tcPr>
            <w:vAlign w:val="center"/>
          </w:tcPr>
          <w:p w:rsidR="00000000" w:rsidDel="00000000" w:rsidP="00000000" w:rsidRDefault="00000000" w:rsidRPr="00000000" w14:paraId="0000004A">
            <w:pPr>
              <w:spacing w:after="12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vAlign w:val="center"/>
          </w:tcPr>
          <w:p w:rsidR="00000000" w:rsidDel="00000000" w:rsidP="00000000" w:rsidRDefault="00000000" w:rsidRPr="00000000" w14:paraId="0000004B">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vAlign w:val="center"/>
          </w:tcPr>
          <w:p w:rsidR="00000000" w:rsidDel="00000000" w:rsidP="00000000" w:rsidRDefault="00000000" w:rsidRPr="00000000" w14:paraId="0000004C">
            <w:pPr>
              <w:spacing w:after="120" w:lineRule="auto"/>
              <w:jc w:val="both"/>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4D">
            <w:pPr>
              <w:spacing w:after="120" w:lineRule="auto"/>
              <w:jc w:val="both"/>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04E">
      <w:pPr>
        <w:spacing w:after="120" w:line="24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0" w:line="240" w:lineRule="auto"/>
        <w:ind w:left="284" w:right="0" w:hanging="284"/>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Yêu cầu chức năng/phi chức năng của ứng dụng</w:t>
      </w:r>
    </w:p>
    <w:p w:rsidR="00000000" w:rsidDel="00000000" w:rsidP="00000000" w:rsidRDefault="00000000" w:rsidRPr="00000000" w14:paraId="00000050">
      <w:pPr>
        <w:spacing w:after="120" w:line="24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Sơ đồ phân cấp chức năng của ứng dụng</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4"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284" w:right="0" w:hanging="284"/>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Các chức năng chính cho ứng dụng (Mục tiêu của ứng dụng)</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284" w:right="0" w:firstLine="0"/>
        <w:jc w:val="both"/>
        <w:rPr>
          <w:rFonts w:ascii="Times New Roman" w:cs="Times New Roman" w:eastAsia="Times New Roman" w:hAnsi="Times New Roman"/>
          <w:b w:val="1"/>
          <w:bCs w:val="1"/>
          <w:i w:val="1"/>
          <w:iCs w:val="1"/>
          <w:smallCaps w:val="0"/>
          <w:strike w:val="0"/>
          <w:color w:val="ff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ff0000"/>
          <w:sz w:val="26"/>
          <w:szCs w:val="26"/>
          <w:u w:val="none"/>
          <w:shd w:fill="auto" w:val="clear"/>
          <w:vertAlign w:val="baseline"/>
          <w:rtl w:val="0"/>
        </w:rPr>
        <w:t xml:space="preserve">Link nhật ký</w:t>
      </w:r>
    </w:p>
    <w:p w:rsidR="00000000" w:rsidDel="00000000" w:rsidP="00000000" w:rsidRDefault="00000000" w:rsidRPr="00000000" w14:paraId="00000055">
      <w:pPr>
        <w:spacing w:after="120" w:line="24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56">
      <w:pPr>
        <w:spacing w:after="120" w:line="240" w:lineRule="auto"/>
        <w:jc w:val="both"/>
        <w:rPr>
          <w:rFonts w:ascii="Times New Roman" w:cs="Times New Roman" w:eastAsia="Times New Roman" w:hAnsi="Times New Roman"/>
          <w:b w:val="1"/>
          <w:bCs w:val="1"/>
          <w:sz w:val="26"/>
          <w:szCs w:val="26"/>
        </w:rPr>
      </w:pPr>
      <w:r w:rsidDel="00000000" w:rsidR="00000000" w:rsidRPr="00000000">
        <w:rPr>
          <w:rtl w:val="0"/>
        </w:rPr>
      </w:r>
    </w:p>
    <w:sectPr>
      <w:headerReference r:id="rId6" w:type="default"/>
      <w:headerReference r:id="rId7" w:type="first"/>
      <w:headerReference r:id="rId8" w:type="even"/>
      <w:footerReference r:id="rId9" w:type="default"/>
      <w:footerReference r:id="rId10" w:type="first"/>
      <w:footerReference r:id="rId11" w:type="even"/>
      <w:pgSz w:h="15840" w:w="12240" w:orient="portrait"/>
      <w:pgMar w:bottom="851" w:top="851" w:left="1134" w:right="851"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6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Khoa Công nghệ thông tin – Trường Đại học Công nghiệp TP. Hồ Chí Minh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tab/>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10796</wp:posOffset>
              </wp:positionH>
              <wp:positionV relativeFrom="paragraph">
                <wp:posOffset>0</wp:posOffset>
              </wp:positionV>
              <wp:extent cx="6660000" cy="12700"/>
              <wp:effectExtent b="0" l="0" r="0" t="0"/>
              <wp:wrapNone/>
              <wp:docPr id="1" name=""/>
              <a:graphic>
                <a:graphicData uri="http://schemas.microsoft.com/office/word/2010/wordprocessingShape">
                  <wps:wsp>
                    <wps:cNvCnPr/>
                    <wps:spPr>
                      <a:xfrm>
                        <a:off x="2016000" y="3780000"/>
                        <a:ext cx="6660000" cy="0"/>
                      </a:xfrm>
                      <a:prstGeom prst="straightConnector1">
                        <a:avLst/>
                      </a:prstGeom>
                      <a:noFill/>
                      <a:ln cap="flat" cmpd="sng" w="9525">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10796</wp:posOffset>
              </wp:positionH>
              <wp:positionV relativeFrom="paragraph">
                <wp:posOffset>0</wp:posOffset>
              </wp:positionV>
              <wp:extent cx="6660000" cy="12700"/>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6660000" cy="12700"/>
                      </a:xfrm>
                      <a:prstGeom prst="rect"/>
                      <a:ln/>
                    </pic:spPr>
                  </pic:pic>
                </a:graphicData>
              </a:graphic>
            </wp:anchor>
          </w:drawing>
        </mc:Fallback>
      </mc:AlternateConten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lowerLetter"/>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