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08A50">
      <w:pPr>
        <w:pStyle w:val="36"/>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40"/>
        </w:rPr>
        <w:t>Báo cáo chi tiết House Prices EDA</w:t>
      </w:r>
    </w:p>
    <w:p w14:paraId="1602F875">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6"/>
        </w:rPr>
        <w:t>Tổng hợp bốn phần phân tích dữ liệu Ames Housing</w:t>
      </w:r>
    </w:p>
    <w:p w14:paraId="78D2C457">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Phạm vi: nội dung, mã nguồn và kết quả đã lưu của bốn notebook Phan1, Phan2, Phan3 và phan4.</w:t>
      </w:r>
    </w:p>
    <w:p w14:paraId="1F6B8856">
      <w:pPr>
        <w:pStyle w:val="2"/>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32"/>
        </w:rPr>
        <w:t>1. Mục tiêu và phạm vi</w:t>
      </w:r>
    </w:p>
    <w:p w14:paraId="56DED8C3">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Báo cáo mô tả notebook house_price_EDA đã gộp bốn phần của quy trình khám phá dữ liệu giá nhà. Notebook dùng bộ Ames Housing với train gồm 1.460 dòng, 81 cột và test gồm 1.459 dòng, 80 cột theo output được lưu ở phần 1 và phần 2. Biến đích là SalePrice; Id là định danh và không được xem là biến giải thích.</w:t>
      </w:r>
    </w:p>
    <w:p w14:paraId="0C4E406C">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Việc gộp không viết lại thuật toán. Các code cell được sao chép nguyên văn; báo cáo chỉ diễn giải đúng thứ tự các thao tác, ý nghĩa của kết quả và các giới hạn cần lưu ý khi chạy lại.</w:t>
      </w:r>
    </w:p>
    <w:p w14:paraId="149F27DA">
      <w:pPr>
        <w:pStyle w:val="2"/>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lang w:val="en-US"/>
        </w:rPr>
      </w:pPr>
      <w:r>
        <w:rPr>
          <w:rFonts w:hint="default" w:ascii="Times New Roman" w:hAnsi="Times New Roman" w:eastAsia="Times New Roman" w:cs="Times New Roman"/>
          <w:b/>
          <w:color w:val="000000"/>
          <w:sz w:val="32"/>
        </w:rPr>
        <w:t xml:space="preserve">2. </w:t>
      </w:r>
      <w:r>
        <w:rPr>
          <w:rFonts w:hint="default" w:ascii="Times New Roman" w:hAnsi="Times New Roman" w:eastAsia="Times New Roman" w:cs="Times New Roman"/>
          <w:b/>
          <w:color w:val="000000"/>
          <w:sz w:val="32"/>
          <w:lang w:val="en-US"/>
        </w:rPr>
        <w:t>Phân công theo phần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5"/>
        <w:gridCol w:w="3138"/>
        <w:gridCol w:w="2816"/>
        <w:gridCol w:w="2585"/>
      </w:tblGrid>
      <w:tr w14:paraId="3FA5C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65" w:type="dxa"/>
            <w:shd w:val="clear" w:color="auto" w:fill="auto"/>
            <w:tcMar>
              <w:top w:w="100" w:type="dxa"/>
              <w:left w:w="120" w:type="dxa"/>
              <w:bottom w:w="100" w:type="dxa"/>
              <w:right w:w="120" w:type="dxa"/>
            </w:tcMar>
            <w:vAlign w:val="center"/>
          </w:tcPr>
          <w:p w14:paraId="0E0C2841">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lang w:val="en-US"/>
              </w:rPr>
            </w:pPr>
            <w:r>
              <w:rPr>
                <w:rFonts w:hint="default" w:ascii="Times New Roman" w:hAnsi="Times New Roman" w:eastAsia="Times New Roman" w:cs="Times New Roman"/>
                <w:b/>
                <w:color w:val="000000"/>
                <w:sz w:val="22"/>
                <w:lang w:val="en-US"/>
              </w:rPr>
              <w:t>Phần</w:t>
            </w:r>
          </w:p>
        </w:tc>
        <w:tc>
          <w:tcPr>
            <w:tcW w:w="3138" w:type="dxa"/>
            <w:shd w:val="clear" w:color="auto" w:fill="auto"/>
            <w:tcMar>
              <w:top w:w="100" w:type="dxa"/>
              <w:left w:w="120" w:type="dxa"/>
              <w:bottom w:w="100" w:type="dxa"/>
              <w:right w:w="120" w:type="dxa"/>
            </w:tcMar>
            <w:vAlign w:val="center"/>
          </w:tcPr>
          <w:p w14:paraId="76950533">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22"/>
              </w:rPr>
              <w:t>Nội dung</w:t>
            </w:r>
          </w:p>
        </w:tc>
        <w:tc>
          <w:tcPr>
            <w:tcW w:w="2816" w:type="dxa"/>
            <w:shd w:val="clear" w:color="auto" w:fill="auto"/>
            <w:tcMar>
              <w:top w:w="100" w:type="dxa"/>
              <w:left w:w="120" w:type="dxa"/>
              <w:bottom w:w="100" w:type="dxa"/>
              <w:right w:w="120" w:type="dxa"/>
            </w:tcMar>
            <w:vAlign w:val="center"/>
          </w:tcPr>
          <w:p w14:paraId="60A4C5B5">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lang w:val="en-US"/>
              </w:rPr>
            </w:pPr>
            <w:r>
              <w:rPr>
                <w:rFonts w:hint="default" w:ascii="Times New Roman" w:hAnsi="Times New Roman" w:cs="Times New Roman"/>
                <w:b/>
                <w:bCs/>
                <w:lang w:val="en-US"/>
              </w:rPr>
              <w:t>Đả</w:t>
            </w:r>
            <w:r>
              <w:rPr>
                <w:rFonts w:hint="default" w:ascii="Times New Roman" w:hAnsi="Times New Roman" w:cs="Times New Roman"/>
                <w:b/>
                <w:bCs/>
                <w:lang w:val="en-US"/>
              </w:rPr>
              <w:t>m nhận</w:t>
            </w:r>
          </w:p>
        </w:tc>
        <w:tc>
          <w:tcPr>
            <w:tcW w:w="2585" w:type="dxa"/>
            <w:shd w:val="clear" w:color="auto" w:fill="auto"/>
            <w:tcMar>
              <w:top w:w="100" w:type="dxa"/>
              <w:left w:w="120" w:type="dxa"/>
              <w:bottom w:w="100" w:type="dxa"/>
              <w:right w:w="120" w:type="dxa"/>
            </w:tcMar>
            <w:vAlign w:val="center"/>
          </w:tcPr>
          <w:p w14:paraId="471EDF17">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lang w:val="en-US"/>
              </w:rPr>
            </w:pPr>
            <w:r>
              <w:rPr>
                <w:rFonts w:hint="default" w:ascii="Times New Roman" w:hAnsi="Times New Roman" w:eastAsia="Times New Roman" w:cs="Times New Roman"/>
                <w:b/>
                <w:color w:val="000000"/>
                <w:sz w:val="22"/>
                <w:lang w:val="en-US"/>
              </w:rPr>
              <w:t>MSSV</w:t>
            </w:r>
          </w:p>
        </w:tc>
      </w:tr>
      <w:tr w14:paraId="1DC4A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5" w:type="dxa"/>
            <w:tcMar>
              <w:top w:w="100" w:type="dxa"/>
              <w:left w:w="120" w:type="dxa"/>
              <w:bottom w:w="100" w:type="dxa"/>
              <w:right w:w="120" w:type="dxa"/>
            </w:tcMar>
            <w:vAlign w:val="center"/>
          </w:tcPr>
          <w:p w14:paraId="5C690D52">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1</w:t>
            </w:r>
          </w:p>
        </w:tc>
        <w:tc>
          <w:tcPr>
            <w:tcW w:w="3138" w:type="dxa"/>
            <w:tcMar>
              <w:top w:w="100" w:type="dxa"/>
              <w:left w:w="120" w:type="dxa"/>
              <w:bottom w:w="100" w:type="dxa"/>
              <w:right w:w="120" w:type="dxa"/>
            </w:tcMar>
            <w:vAlign w:val="center"/>
          </w:tcPr>
          <w:p w14:paraId="1C9582CC">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rPr>
              <w:t>Phần 1 - Khám Phá Và Phân Phối Saleprice</w:t>
            </w:r>
          </w:p>
        </w:tc>
        <w:tc>
          <w:tcPr>
            <w:tcW w:w="2816" w:type="dxa"/>
            <w:tcMar>
              <w:top w:w="100" w:type="dxa"/>
              <w:left w:w="120" w:type="dxa"/>
              <w:bottom w:w="100" w:type="dxa"/>
              <w:right w:w="120" w:type="dxa"/>
            </w:tcMar>
            <w:vAlign w:val="center"/>
          </w:tcPr>
          <w:p w14:paraId="0125C558">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lang w:val="en-US"/>
              </w:rPr>
            </w:pPr>
            <w:r>
              <w:rPr>
                <w:rFonts w:hint="default" w:ascii="Times New Roman" w:hAnsi="Times New Roman" w:eastAsia="Times New Roman" w:cs="Times New Roman"/>
                <w:b w:val="0"/>
                <w:color w:val="000000"/>
                <w:sz w:val="21"/>
                <w:lang w:val="en-US"/>
              </w:rPr>
              <w:t>Bùi Nhật Hào</w:t>
            </w:r>
          </w:p>
        </w:tc>
        <w:tc>
          <w:tcPr>
            <w:tcW w:w="2585" w:type="dxa"/>
            <w:tcMar>
              <w:top w:w="100" w:type="dxa"/>
              <w:left w:w="120" w:type="dxa"/>
              <w:bottom w:w="100" w:type="dxa"/>
              <w:right w:w="120" w:type="dxa"/>
            </w:tcMar>
            <w:vAlign w:val="center"/>
          </w:tcPr>
          <w:p w14:paraId="547F179B">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lang w:val="en-US"/>
              </w:rPr>
            </w:pPr>
            <w:r>
              <w:rPr>
                <w:rFonts w:hint="default" w:ascii="Times New Roman" w:hAnsi="Times New Roman" w:eastAsia="Times New Roman" w:cs="Times New Roman"/>
                <w:b w:val="0"/>
                <w:color w:val="000000"/>
                <w:sz w:val="21"/>
                <w:lang w:val="en-US"/>
              </w:rPr>
              <w:t>3124411077</w:t>
            </w:r>
          </w:p>
        </w:tc>
      </w:tr>
      <w:tr w14:paraId="7752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5" w:type="dxa"/>
            <w:tcMar>
              <w:top w:w="100" w:type="dxa"/>
              <w:left w:w="120" w:type="dxa"/>
              <w:bottom w:w="100" w:type="dxa"/>
              <w:right w:w="120" w:type="dxa"/>
            </w:tcMar>
            <w:vAlign w:val="center"/>
          </w:tcPr>
          <w:p w14:paraId="03AC64AF">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lang w:val="en-US"/>
              </w:rPr>
              <w:t>2</w:t>
            </w:r>
          </w:p>
        </w:tc>
        <w:tc>
          <w:tcPr>
            <w:tcW w:w="3138" w:type="dxa"/>
            <w:tcMar>
              <w:top w:w="100" w:type="dxa"/>
              <w:left w:w="120" w:type="dxa"/>
              <w:bottom w:w="100" w:type="dxa"/>
              <w:right w:w="120" w:type="dxa"/>
            </w:tcMar>
            <w:vAlign w:val="center"/>
          </w:tcPr>
          <w:p w14:paraId="51569A84">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rPr>
              <w:t>Phần 2 - Phân Loại Và Chuyển Đổi Thuộc Tính</w:t>
            </w:r>
          </w:p>
        </w:tc>
        <w:tc>
          <w:tcPr>
            <w:tcW w:w="2816" w:type="dxa"/>
            <w:tcMar>
              <w:top w:w="100" w:type="dxa"/>
              <w:left w:w="120" w:type="dxa"/>
              <w:bottom w:w="100" w:type="dxa"/>
              <w:right w:w="120" w:type="dxa"/>
            </w:tcMar>
            <w:vAlign w:val="center"/>
          </w:tcPr>
          <w:p w14:paraId="2AC4FEED">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lang w:val="en-US"/>
              </w:rPr>
            </w:pPr>
            <w:r>
              <w:rPr>
                <w:rFonts w:hint="default" w:ascii="Times New Roman" w:hAnsi="Times New Roman" w:eastAsia="Times New Roman" w:cs="Times New Roman"/>
                <w:b w:val="0"/>
                <w:color w:val="000000"/>
                <w:sz w:val="21"/>
                <w:lang w:val="en-US"/>
              </w:rPr>
              <w:t>Phùng Anh Vũ</w:t>
            </w:r>
          </w:p>
        </w:tc>
        <w:tc>
          <w:tcPr>
            <w:tcW w:w="2585" w:type="dxa"/>
            <w:tcMar>
              <w:top w:w="100" w:type="dxa"/>
              <w:left w:w="120" w:type="dxa"/>
              <w:bottom w:w="100" w:type="dxa"/>
              <w:right w:w="120" w:type="dxa"/>
            </w:tcMar>
            <w:vAlign w:val="center"/>
          </w:tcPr>
          <w:p w14:paraId="38AFAFDE">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3124411351</w:t>
            </w:r>
          </w:p>
        </w:tc>
      </w:tr>
      <w:tr w14:paraId="22045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5" w:type="dxa"/>
            <w:tcMar>
              <w:top w:w="100" w:type="dxa"/>
              <w:left w:w="120" w:type="dxa"/>
              <w:bottom w:w="100" w:type="dxa"/>
              <w:right w:w="120" w:type="dxa"/>
            </w:tcMar>
            <w:vAlign w:val="center"/>
          </w:tcPr>
          <w:p w14:paraId="14B927DD">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lang w:val="en-US"/>
              </w:rPr>
              <w:t>3</w:t>
            </w:r>
          </w:p>
        </w:tc>
        <w:tc>
          <w:tcPr>
            <w:tcW w:w="3138" w:type="dxa"/>
            <w:tcMar>
              <w:top w:w="100" w:type="dxa"/>
              <w:left w:w="120" w:type="dxa"/>
              <w:bottom w:w="100" w:type="dxa"/>
              <w:right w:w="120" w:type="dxa"/>
            </w:tcMar>
            <w:vAlign w:val="center"/>
          </w:tcPr>
          <w:p w14:paraId="79FF3567">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rPr>
              <w:t>Phần 3 - Phân Tích Đa Biến Và Đa Cộng Tuyến</w:t>
            </w:r>
          </w:p>
        </w:tc>
        <w:tc>
          <w:tcPr>
            <w:tcW w:w="2816" w:type="dxa"/>
            <w:tcMar>
              <w:top w:w="100" w:type="dxa"/>
              <w:left w:w="120" w:type="dxa"/>
              <w:bottom w:w="100" w:type="dxa"/>
              <w:right w:w="120" w:type="dxa"/>
            </w:tcMar>
            <w:vAlign w:val="center"/>
          </w:tcPr>
          <w:p w14:paraId="6DD3A47F">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lang w:val="en-US"/>
              </w:rPr>
            </w:pPr>
            <w:r>
              <w:rPr>
                <w:rFonts w:hint="default" w:ascii="Times New Roman" w:hAnsi="Times New Roman" w:eastAsia="Times New Roman" w:cs="Times New Roman"/>
                <w:b w:val="0"/>
                <w:color w:val="000000"/>
                <w:sz w:val="21"/>
                <w:lang w:val="en-US"/>
              </w:rPr>
              <w:t>Nguyễn Hoàng Phúc</w:t>
            </w:r>
          </w:p>
        </w:tc>
        <w:tc>
          <w:tcPr>
            <w:tcW w:w="2585" w:type="dxa"/>
            <w:tcMar>
              <w:top w:w="100" w:type="dxa"/>
              <w:left w:w="120" w:type="dxa"/>
              <w:bottom w:w="100" w:type="dxa"/>
              <w:right w:w="120" w:type="dxa"/>
            </w:tcMar>
            <w:vAlign w:val="center"/>
          </w:tcPr>
          <w:p w14:paraId="428F9966">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3124411236</w:t>
            </w:r>
          </w:p>
        </w:tc>
      </w:tr>
      <w:tr w14:paraId="1FBC3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5" w:type="dxa"/>
            <w:tcMar>
              <w:top w:w="100" w:type="dxa"/>
              <w:left w:w="120" w:type="dxa"/>
              <w:bottom w:w="100" w:type="dxa"/>
              <w:right w:w="120" w:type="dxa"/>
            </w:tcMar>
            <w:vAlign w:val="center"/>
          </w:tcPr>
          <w:p w14:paraId="10C0D28A">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lang w:val="en-US"/>
              </w:rPr>
              <w:t>4</w:t>
            </w:r>
          </w:p>
        </w:tc>
        <w:tc>
          <w:tcPr>
            <w:tcW w:w="3138" w:type="dxa"/>
            <w:tcMar>
              <w:top w:w="100" w:type="dxa"/>
              <w:left w:w="120" w:type="dxa"/>
              <w:bottom w:w="100" w:type="dxa"/>
              <w:right w:w="120" w:type="dxa"/>
            </w:tcMar>
            <w:vAlign w:val="center"/>
          </w:tcPr>
          <w:p w14:paraId="540D9E60">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rPr>
              <w:t>Phần 4 - Dữ Liệu Khuyết Thiếu Và Ngoại Lệ</w:t>
            </w:r>
          </w:p>
        </w:tc>
        <w:tc>
          <w:tcPr>
            <w:tcW w:w="2816" w:type="dxa"/>
            <w:tcMar>
              <w:top w:w="100" w:type="dxa"/>
              <w:left w:w="120" w:type="dxa"/>
              <w:bottom w:w="100" w:type="dxa"/>
              <w:right w:w="120" w:type="dxa"/>
            </w:tcMar>
            <w:vAlign w:val="center"/>
          </w:tcPr>
          <w:p w14:paraId="1D914889">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lang w:val="en-US"/>
              </w:rPr>
            </w:pPr>
            <w:r>
              <w:rPr>
                <w:rFonts w:hint="default" w:ascii="Times New Roman" w:hAnsi="Times New Roman" w:eastAsia="Times New Roman" w:cs="Times New Roman"/>
                <w:b w:val="0"/>
                <w:color w:val="000000"/>
                <w:sz w:val="21"/>
                <w:lang w:val="en-US"/>
              </w:rPr>
              <w:t>Trần Nhựt Huy</w:t>
            </w:r>
          </w:p>
        </w:tc>
        <w:tc>
          <w:tcPr>
            <w:tcW w:w="2585" w:type="dxa"/>
            <w:tcMar>
              <w:top w:w="100" w:type="dxa"/>
              <w:left w:w="120" w:type="dxa"/>
              <w:bottom w:w="100" w:type="dxa"/>
              <w:right w:w="120" w:type="dxa"/>
            </w:tcMar>
            <w:vAlign w:val="center"/>
          </w:tcPr>
          <w:p w14:paraId="4F1F7CD2">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3124411112</w:t>
            </w:r>
          </w:p>
        </w:tc>
      </w:tr>
    </w:tbl>
    <w:p w14:paraId="20A4F7EE">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p>
    <w:p w14:paraId="19C0D499">
      <w:pPr>
        <w:pStyle w:val="2"/>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32"/>
        </w:rPr>
        <w:t>3. Phần Khám phá và phân phối SalePrice</w:t>
      </w:r>
    </w:p>
    <w:p w14:paraId="19237579">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28"/>
        </w:rPr>
        <w:t>3.1 Quy trình thực hiện</w:t>
      </w:r>
    </w:p>
    <w:p w14:paraId="1CBD062C">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Phần 1 nạp pandas, NumPy, Matplotlib và Seaborn; sau đó đọc data/train.csv và data/test.csv. Notebook in kích thước hai tập, hiển thị năm dòng đầu tiên của train, tách X bằng cách bỏ SalePrice và gán y là cột SalePrice.</w:t>
      </w:r>
    </w:p>
    <w:p w14:paraId="0B64E222">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Các cell tiếp theo gọi describe, tính skewness của SalePrice, vẽ histogram kèm KDE, tạo LogSalePrice = log1p(SalePrice), tính lại skewness và vẽ histogram sau biến đổi. Cell cuối in hai hệ số lệch để so sánh trực tiếp.</w:t>
      </w:r>
    </w:p>
    <w:p w14:paraId="002B04FD">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28"/>
        </w:rPr>
        <w:t>3.2 Diễn giải</w:t>
      </w:r>
    </w:p>
    <w:p w14:paraId="4ED794A4">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SalePrice là biến giá dương và thường có đuôi phải. log1p phù hợp vì xử lý an toàn trường hợp giá trị bằng 0 về mặt công thức và làm giảm ảnh hưởng tương đối của các mức giá lớn. Histogram, KDE và hệ số skewness là ba góc nhìn bổ sung cho cùng một câu hỏi: phân phối mục tiêu có cân đối hơn sau biến đổi hay không.</w:t>
      </w:r>
    </w:p>
    <w:p w14:paraId="2AD5B445">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Đánh giá: nên huấn luyện mô hình hồi quy trên log1p(SalePrice) nếu metric và pipeline được thiết kế theo không gian log; khi xuất kết quả về đơn vị giá, cần dùng phép biến đổi ngược phù hợp.</w:t>
      </w:r>
    </w:p>
    <w:p w14:paraId="2AA0745F">
      <w:pPr>
        <w:pStyle w:val="2"/>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32"/>
        </w:rPr>
        <w:t xml:space="preserve">4. Phần </w:t>
      </w:r>
      <w:r>
        <w:rPr>
          <w:rFonts w:hint="default" w:ascii="Times New Roman" w:hAnsi="Times New Roman" w:eastAsia="Times New Roman" w:cs="Times New Roman"/>
          <w:b/>
          <w:color w:val="000000"/>
          <w:sz w:val="32"/>
          <w:lang w:val="en-US"/>
        </w:rPr>
        <w:t>p</w:t>
      </w:r>
      <w:r>
        <w:rPr>
          <w:rFonts w:hint="default" w:ascii="Times New Roman" w:hAnsi="Times New Roman" w:eastAsia="Times New Roman" w:cs="Times New Roman"/>
          <w:b/>
          <w:color w:val="000000"/>
          <w:sz w:val="32"/>
        </w:rPr>
        <w:t>hân loại thuộc tính và chuyển đổi kiểu dữ liệu</w:t>
      </w:r>
    </w:p>
    <w:p w14:paraId="7855D448">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28"/>
        </w:rPr>
        <w:t>4.1 Phân nhóm biến</w:t>
      </w:r>
    </w:p>
    <w:p w14:paraId="0B0E4F56">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Notebook xác định 79 biến giải thích bằng cách bỏ Id và SalePrice. Các biến được chia ban đầu theo dtype thành numeric và categorical. Một bảng kiểm tra liệt kê dtype, số mức, min, max và số khuyết của biến số để phát hiện các cột nhìn có vẻ numeric nhưng thực chất là mã.</w:t>
      </w:r>
    </w:p>
    <w:p w14:paraId="59F59D4E">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MSSubClass, MoSold và YrSold được ép sang category ở cả train và test. Notebook hợp nhất levels của hai tập trước khi đặt categories, giúp hai bảng có cùng miền giá trị danh mục.</w:t>
      </w:r>
    </w:p>
    <w:p w14:paraId="2637040F">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28"/>
        </w:rPr>
        <w:t>4.2 Ordinal encoding</w:t>
      </w:r>
    </w:p>
    <w:p w14:paraId="79BC9A3B">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Các thang chất lượng được ánh xạ None, Po, Fa, TA, Gd, Ex thành 0 đến 5. Notebook còn có ánh xạ riêng cho BsmtExposure, BsmtFinType1, BsmtFinType2, GarageFinish, Functional, Fence, PavedDrive và một số cột có thứ tự khác. Hàm encode_ordinal phân biệt NaN mang nghĩa không có tiện ích với giá trị khuyết chưa rõ nghĩa.</w:t>
      </w:r>
    </w:p>
    <w:p w14:paraId="71AEBC46">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28"/>
        </w:rPr>
        <w:t>4.3 Kiểm tra và đầu ra</w:t>
      </w:r>
    </w:p>
    <w:p w14:paraId="13ED3E2B">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Cuối phần 2, các biến được phân vào numeric, ordinal hoặc categorical. Hai assert xác nhận hợp của ba nhóm có đúng 79 biến và không có giao giữa categorical với hai nhóm còn lại. Notebook lưu train_part2.pkl, test_part2.pkl và feature_groups.json.</w:t>
      </w:r>
    </w:p>
    <w:p w14:paraId="593A52FC">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Đánh giá: kiểm tra bằng assert là điểm mạnh vì phát hiện sớm biến bị bỏ sót hoặc bị gán vào hai nhóm. Tuy vậy, các tệp lưu là artifact của phiên chạy; khi chạy lại cần thống nhất working directory để phần sau tìm đúng dữ liệu.</w:t>
      </w:r>
    </w:p>
    <w:p w14:paraId="1436686F">
      <w:pPr>
        <w:pStyle w:val="2"/>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32"/>
        </w:rPr>
        <w:t xml:space="preserve">5. Phần </w:t>
      </w:r>
      <w:r>
        <w:rPr>
          <w:rFonts w:hint="default" w:ascii="Times New Roman" w:hAnsi="Times New Roman" w:eastAsia="Times New Roman" w:cs="Times New Roman"/>
          <w:b/>
          <w:color w:val="000000"/>
          <w:sz w:val="32"/>
          <w:lang w:val="en-US"/>
        </w:rPr>
        <w:t>p</w:t>
      </w:r>
      <w:bookmarkStart w:id="0" w:name="_GoBack"/>
      <w:bookmarkEnd w:id="0"/>
      <w:r>
        <w:rPr>
          <w:rFonts w:hint="default" w:ascii="Times New Roman" w:hAnsi="Times New Roman" w:eastAsia="Times New Roman" w:cs="Times New Roman"/>
          <w:b/>
          <w:color w:val="000000"/>
          <w:sz w:val="32"/>
        </w:rPr>
        <w:t>hân tích đa biến mối tương quan và đa cộng tuyến</w:t>
      </w:r>
    </w:p>
    <w:p w14:paraId="5282BD4C">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28"/>
        </w:rPr>
        <w:t>5.1 Tương quan và biến dẫn xuất</w:t>
      </w:r>
    </w:p>
    <w:p w14:paraId="54D51E49">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Phần 3 đọc train.csv và tạo TotalSF từ TotalBsmtSF đã điền 0, 1stFlrSF và 2ndFlrSF. Notebook chọn các cột số, lập ma trận tương quan, lọc cặp có |r| lớn hơn 0,7 và trực quan hóa bằng heatmap. Nhận xét đi kèm nêu các cặp GarageCars - GarageArea, GrLivArea - TotalSF, TotalBsmtSF - TotalSF và TotRmsAbvGrd - GrLivArea.</w:t>
      </w:r>
    </w:p>
    <w:p w14:paraId="248DA73E">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28"/>
        </w:rPr>
        <w:t>5.2 Giá theo vị trí</w:t>
      </w:r>
    </w:p>
    <w:p w14:paraId="5EF1C162">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Một hàm pivot table tính count, median, mean, min và max của SalePrice theo Neighborhood, OverallQual và GarageCars. Các bảng này được vẽ cùng boxplot để so sánh trung vị, mức phân tán và các giá trị cực trị giữa nhóm. Notebook nhận xét NridgHt, NoRidge và StoneBr là các khu vực có giá vượt trội.</w:t>
      </w:r>
    </w:p>
    <w:p w14:paraId="2682E736">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28"/>
        </w:rPr>
        <w:t>5.3 Đa cộng tuyến và VIF</w:t>
      </w:r>
    </w:p>
    <w:p w14:paraId="4BC7B224">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Notebook dùng hai cách: lọc cặp tương quan cao và tính VIF theo công thức 1/(1 - R bình phương). Các cột trong danh sách trước xử lý gồm OverallQual, GrLivArea, TotalBsmtSF, 1stFlrSF, GarageCars, FullBath, YearBuilt và YearRemodAdd; cell tiếp theo in VIF và vẽ biểu đồ so sánh trước/sau khi bỏ các biến được chọn.</w:t>
      </w:r>
    </w:p>
    <w:p w14:paraId="5A02255E">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Đánh giá: TotalSF là tổng của nhiều cột thành phần nên đa cộng tuyến của nó với các thành phần là có chủ đích. Cần chọn giữa tổng và các thành phần dựa trên mô hình/validation. Có một giới hạn tái lập: cell VIF thứ hai gán dữ liệu vào f nhưng sau đó dùng df; code không được sửa theo yêu cầu nên phải chạy theo thứ tự để df đã tồn tại từ cell trước.</w:t>
      </w:r>
    </w:p>
    <w:p w14:paraId="677E753A">
      <w:pPr>
        <w:pStyle w:val="2"/>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32"/>
        </w:rPr>
        <w:t xml:space="preserve">6. Phần </w:t>
      </w:r>
      <w:r>
        <w:rPr>
          <w:rFonts w:hint="default" w:ascii="Times New Roman" w:hAnsi="Times New Roman" w:eastAsia="Times New Roman" w:cs="Times New Roman"/>
          <w:b/>
          <w:color w:val="000000"/>
          <w:sz w:val="32"/>
          <w:lang w:val="en-US"/>
        </w:rPr>
        <w:t>d</w:t>
      </w:r>
      <w:r>
        <w:rPr>
          <w:rFonts w:hint="default" w:ascii="Times New Roman" w:hAnsi="Times New Roman" w:eastAsia="Times New Roman" w:cs="Times New Roman"/>
          <w:b/>
          <w:color w:val="000000"/>
          <w:sz w:val="32"/>
        </w:rPr>
        <w:t>ữ liệu khuyết thiếu và ngoại lệ</w:t>
      </w:r>
    </w:p>
    <w:p w14:paraId="082F2D36">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28"/>
        </w:rPr>
        <w:t>6.1 Khuyết thiếu</w:t>
      </w:r>
    </w:p>
    <w:p w14:paraId="7FF3EA14">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Phần 4 đặt theme biểu đồ, tạo thư mục figures và khai báo danh sách NA_MEANS_ABSENT. Sau khi đọc train.csv, notebook tạo bảng summary gồm số lượng, tỷ lệ khuyết, dtype và nhãn phân loại. Biểu đồ cột, heatmap vị trí khuyết và heatmap tương quan khuyết giúp quan sát cấu trúc thiếu dữ liệu.</w:t>
      </w:r>
    </w:p>
    <w:p w14:paraId="31899907">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Nhóm Garage được kiểm tra riêng: nếu GarageType khuyết và các cột Garage liên quan cùng khuyết hoặc GarageArea bằng 0, NA được hiểu là nhà không có gara thay vì lỗi nhập liệu.</w:t>
      </w:r>
    </w:p>
    <w:p w14:paraId="2484C4B8">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28"/>
        </w:rPr>
        <w:t>6.2 Ngoại lệ</w:t>
      </w:r>
    </w:p>
    <w:p w14:paraId="1FEE51FE">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Notebook dùng scatter GrLivArea - SalePrice và đánh dấu Id 524, 1299 là ứng viên ngoại lệ; Id 692, 1183 là nhà lớn nhưng được xem là hợp lệ để đối chiếu. Hàm zscore_residual tính phần dư của hồi quy tuyến tính, plot_pair đánh dấu điểm có |z| vượt ngưỡng và tạo lưới scatter cho nhiều cặp. Phần sau so sánh hệ số góc và tương quan trước/sau khi bỏ hai Id ứng viên.</w:t>
      </w:r>
    </w:p>
    <w:p w14:paraId="40AD56D8">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28"/>
        </w:rPr>
        <w:t>6.3 IQR và phân phối mục tiêu</w:t>
      </w:r>
    </w:p>
    <w:p w14:paraId="472FCA3B">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Quy tắc IQR được áp dụng cho toàn bộ biến số trừ Id và SalePrice: outlier nằm ngoài [Q1 - 1,5 IQR, Q3 + 1,5 IQR]. Notebook đếm số outlier, vẽ boxplot tám cột nhiều outlier nhất và boxplot SalePrice theo OverallQual, GarageCars, Neighborhood. Cuối phần là histogram, Q-Q plot của SalePrice và log1p(SalePrice), đếm số nhà trên 500.000 USD và pairplot các biến có tương quan mạnh với SalePrice.</w:t>
      </w:r>
    </w:p>
    <w:p w14:paraId="15C492E0">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Đánh giá: ngoại lệ không nên bị xóa chỉ vì vượt ngưỡng thống kê. Hai Id cụ thể cần được áp dụng nhất quán trong tập huấn luyện và quyết định này phải được xác nhận bằng cải thiện trên validation, không chỉ bằng biểu đồ.</w:t>
      </w:r>
    </w:p>
    <w:p w14:paraId="5FF43C30">
      <w:pPr>
        <w:pStyle w:val="2"/>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32"/>
        </w:rPr>
        <w:t>7. Đánh giá tổng hợp và giới hạn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5"/>
        <w:gridCol w:w="3135"/>
        <w:gridCol w:w="3135"/>
      </w:tblGrid>
      <w:tr w14:paraId="46B3D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28" w:type="dxa"/>
            <w:shd w:val="clear" w:color="auto" w:fill="D9EAF7"/>
            <w:tcMar>
              <w:top w:w="100" w:type="dxa"/>
              <w:left w:w="120" w:type="dxa"/>
              <w:bottom w:w="100" w:type="dxa"/>
              <w:right w:w="120" w:type="dxa"/>
            </w:tcMar>
            <w:vAlign w:val="center"/>
          </w:tcPr>
          <w:p w14:paraId="75194420">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22"/>
              </w:rPr>
              <w:t>Nội dung</w:t>
            </w:r>
          </w:p>
        </w:tc>
        <w:tc>
          <w:tcPr>
            <w:tcW w:w="3855" w:type="dxa"/>
            <w:shd w:val="clear" w:color="auto" w:fill="D9EAF7"/>
            <w:tcMar>
              <w:top w:w="100" w:type="dxa"/>
              <w:left w:w="120" w:type="dxa"/>
              <w:bottom w:w="100" w:type="dxa"/>
              <w:right w:w="120" w:type="dxa"/>
            </w:tcMar>
            <w:vAlign w:val="center"/>
          </w:tcPr>
          <w:p w14:paraId="110ABC80">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22"/>
              </w:rPr>
              <w:t>Kết luận từ notebook</w:t>
            </w:r>
          </w:p>
        </w:tc>
        <w:tc>
          <w:tcPr>
            <w:tcW w:w="3855" w:type="dxa"/>
            <w:shd w:val="clear" w:color="auto" w:fill="D9EAF7"/>
            <w:tcMar>
              <w:top w:w="100" w:type="dxa"/>
              <w:left w:w="120" w:type="dxa"/>
              <w:bottom w:w="100" w:type="dxa"/>
              <w:right w:w="120" w:type="dxa"/>
            </w:tcMar>
            <w:vAlign w:val="center"/>
          </w:tcPr>
          <w:p w14:paraId="072158A9">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sz w:val="22"/>
              </w:rPr>
              <w:t>Lưu ý khi dùng cho mô hình</w:t>
            </w:r>
          </w:p>
        </w:tc>
      </w:tr>
      <w:tr w14:paraId="55BF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Mar>
              <w:top w:w="100" w:type="dxa"/>
              <w:left w:w="120" w:type="dxa"/>
              <w:bottom w:w="100" w:type="dxa"/>
              <w:right w:w="120" w:type="dxa"/>
            </w:tcMar>
            <w:vAlign w:val="center"/>
          </w:tcPr>
          <w:p w14:paraId="22110FD9">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rPr>
              <w:t>Biến mục tiêu</w:t>
            </w:r>
          </w:p>
        </w:tc>
        <w:tc>
          <w:tcPr>
            <w:tcW w:w="3855" w:type="dxa"/>
            <w:tcMar>
              <w:top w:w="100" w:type="dxa"/>
              <w:left w:w="120" w:type="dxa"/>
              <w:bottom w:w="100" w:type="dxa"/>
              <w:right w:w="120" w:type="dxa"/>
            </w:tcMar>
            <w:vAlign w:val="center"/>
          </w:tcPr>
          <w:p w14:paraId="51E4162B">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rPr>
              <w:t>SalePrice được đối chiếu với log1p(SalePrice).</w:t>
            </w:r>
          </w:p>
        </w:tc>
        <w:tc>
          <w:tcPr>
            <w:tcW w:w="3855" w:type="dxa"/>
            <w:tcMar>
              <w:top w:w="100" w:type="dxa"/>
              <w:left w:w="120" w:type="dxa"/>
              <w:bottom w:w="100" w:type="dxa"/>
              <w:right w:w="120" w:type="dxa"/>
            </w:tcMar>
            <w:vAlign w:val="center"/>
          </w:tcPr>
          <w:p w14:paraId="4CDB274C">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rPr>
              <w:t>Giữ rõ không gian đánh giá và phép biến đổi ngược.</w:t>
            </w:r>
          </w:p>
        </w:tc>
      </w:tr>
      <w:tr w14:paraId="6E06F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Mar>
              <w:top w:w="100" w:type="dxa"/>
              <w:left w:w="120" w:type="dxa"/>
              <w:bottom w:w="100" w:type="dxa"/>
              <w:right w:w="120" w:type="dxa"/>
            </w:tcMar>
            <w:vAlign w:val="center"/>
          </w:tcPr>
          <w:p w14:paraId="1A712509">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rPr>
              <w:t>Kiểu biến</w:t>
            </w:r>
          </w:p>
        </w:tc>
        <w:tc>
          <w:tcPr>
            <w:tcW w:w="3855" w:type="dxa"/>
            <w:tcMar>
              <w:top w:w="100" w:type="dxa"/>
              <w:left w:w="120" w:type="dxa"/>
              <w:bottom w:w="100" w:type="dxa"/>
              <w:right w:w="120" w:type="dxa"/>
            </w:tcMar>
            <w:vAlign w:val="center"/>
          </w:tcPr>
          <w:p w14:paraId="1AA30AF6">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rPr>
              <w:t>79 biến được phân numeric, ordinal, categorical.</w:t>
            </w:r>
          </w:p>
        </w:tc>
        <w:tc>
          <w:tcPr>
            <w:tcW w:w="3855" w:type="dxa"/>
            <w:tcMar>
              <w:top w:w="100" w:type="dxa"/>
              <w:left w:w="120" w:type="dxa"/>
              <w:bottom w:w="100" w:type="dxa"/>
              <w:right w:w="120" w:type="dxa"/>
            </w:tcMar>
            <w:vAlign w:val="center"/>
          </w:tcPr>
          <w:p w14:paraId="1FF2299E">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rPr>
              <w:t>Fit encoder trên train và áp dụng nhất quán cho test/CV.</w:t>
            </w:r>
          </w:p>
        </w:tc>
      </w:tr>
      <w:tr w14:paraId="7DA23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Mar>
              <w:top w:w="100" w:type="dxa"/>
              <w:left w:w="120" w:type="dxa"/>
              <w:bottom w:w="100" w:type="dxa"/>
              <w:right w:w="120" w:type="dxa"/>
            </w:tcMar>
            <w:vAlign w:val="center"/>
          </w:tcPr>
          <w:p w14:paraId="41EF177A">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rPr>
              <w:t>Tương quan</w:t>
            </w:r>
          </w:p>
        </w:tc>
        <w:tc>
          <w:tcPr>
            <w:tcW w:w="3855" w:type="dxa"/>
            <w:tcMar>
              <w:top w:w="100" w:type="dxa"/>
              <w:left w:w="120" w:type="dxa"/>
              <w:bottom w:w="100" w:type="dxa"/>
              <w:right w:w="120" w:type="dxa"/>
            </w:tcMar>
            <w:vAlign w:val="center"/>
          </w:tcPr>
          <w:p w14:paraId="424D4D1C">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rPr>
              <w:t>Các cặp |r| &gt; 0,7 và VIF được khảo sát.</w:t>
            </w:r>
          </w:p>
        </w:tc>
        <w:tc>
          <w:tcPr>
            <w:tcW w:w="3855" w:type="dxa"/>
            <w:tcMar>
              <w:top w:w="100" w:type="dxa"/>
              <w:left w:w="120" w:type="dxa"/>
              <w:bottom w:w="100" w:type="dxa"/>
              <w:right w:w="120" w:type="dxa"/>
            </w:tcMar>
            <w:vAlign w:val="center"/>
          </w:tcPr>
          <w:p w14:paraId="262F9D86">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rPr>
              <w:t>Chọn biến dựa trên validation, tránh suy luận nhân quả từ tương quan.</w:t>
            </w:r>
          </w:p>
        </w:tc>
      </w:tr>
      <w:tr w14:paraId="31865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Mar>
              <w:top w:w="100" w:type="dxa"/>
              <w:left w:w="120" w:type="dxa"/>
              <w:bottom w:w="100" w:type="dxa"/>
              <w:right w:w="120" w:type="dxa"/>
            </w:tcMar>
            <w:vAlign w:val="center"/>
          </w:tcPr>
          <w:p w14:paraId="768C8F10">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rPr>
              <w:t>Khuyết và ngoại lệ</w:t>
            </w:r>
          </w:p>
        </w:tc>
        <w:tc>
          <w:tcPr>
            <w:tcW w:w="3855" w:type="dxa"/>
            <w:tcMar>
              <w:top w:w="100" w:type="dxa"/>
              <w:left w:w="120" w:type="dxa"/>
              <w:bottom w:w="100" w:type="dxa"/>
              <w:right w:w="120" w:type="dxa"/>
            </w:tcMar>
            <w:vAlign w:val="center"/>
          </w:tcPr>
          <w:p w14:paraId="029CBBCE">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rPr>
              <w:t>NA được phân theo ngữ nghĩa, outlier được kiểm tra trực quan và IQR.</w:t>
            </w:r>
          </w:p>
        </w:tc>
        <w:tc>
          <w:tcPr>
            <w:tcW w:w="3855" w:type="dxa"/>
            <w:tcMar>
              <w:top w:w="100" w:type="dxa"/>
              <w:left w:w="120" w:type="dxa"/>
              <w:bottom w:w="100" w:type="dxa"/>
              <w:right w:w="120" w:type="dxa"/>
            </w:tcMar>
            <w:vAlign w:val="center"/>
          </w:tcPr>
          <w:p w14:paraId="6DAF79E1">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1"/>
              </w:rPr>
              <w:t>Không loại dữ liệu hàng loạt; ghi rõ rule trong pipeline.</w:t>
            </w:r>
          </w:p>
        </w:tc>
      </w:tr>
    </w:tbl>
    <w:p w14:paraId="5CA8F8C1">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p>
    <w:p w14:paraId="477002C5">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r>
        <w:rPr>
          <w:rFonts w:hint="default" w:ascii="Times New Roman" w:hAnsi="Times New Roman" w:eastAsia="Times New Roman" w:cs="Times New Roman"/>
          <w:b w:val="0"/>
          <w:color w:val="000000"/>
          <w:sz w:val="24"/>
        </w:rPr>
        <w:t>Notebook đã gộp phù hợp cho EDA và chuẩn bị dữ liệu. Nó chưa phải pipeline huấn luyện hoàn chỉnh: cần đóng gói tiền xử lý trong pipeline theo từng fold, chọn mô hình và đánh giá bằng validation/CV trước khi kết luận hiệu quả dự báo.</w:t>
      </w:r>
    </w:p>
    <w:p w14:paraId="647A1D82">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rPr>
      </w:pPr>
    </w:p>
    <w:sectPr>
      <w:pgSz w:w="12240" w:h="15840"/>
      <w:pgMar w:top="1247"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9475FE"/>
    <w:rsid w:val="4BC507DB"/>
    <w:rsid w:val="6FB504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1860</Words>
  <Characters>8719</Characters>
  <Lines>0</Lines>
  <Paragraphs>0</Paragraphs>
  <TotalTime>7</TotalTime>
  <ScaleCrop>false</ScaleCrop>
  <LinksUpToDate>false</LinksUpToDate>
  <CharactersWithSpaces>10357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Trần Nhựt Huy</cp:lastModifiedBy>
  <dcterms:modified xsi:type="dcterms:W3CDTF">2026-10-03T14:31:03Z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eyJoZGlkIjoiY2FiNmYxZmYzNTM3YjBlM2EzOWNmOTBiZDhjNGYyM2QiLCJ1c2VySWQiOiIxMzkxODYwNjk1NzIyIn0=</vt:lpwstr>
  </property>
  <property fmtid="{D5CDD505-2E9C-101B-9397-08002B2CF9AE}" pid="3" name="KSOProductBuildVer">
    <vt:lpwstr>1033-12.1.0.28485</vt:lpwstr>
  </property>
  <property fmtid="{D5CDD505-2E9C-101B-9397-08002B2CF9AE}" pid="4" name="ICV">
    <vt:lpwstr>3363E5B0AE03418C8F6AFE2D735BB57E_12</vt:lpwstr>
  </property>
</Properties>
</file>