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86B2A" w14:textId="77777777" w:rsidR="00A526B9" w:rsidRPr="001B2C5D" w:rsidRDefault="00A526B9" w:rsidP="00DE08B1">
      <w:pPr>
        <w:jc w:val="left"/>
      </w:pPr>
    </w:p>
    <w:p w14:paraId="152298F0" w14:textId="545DEE68" w:rsidR="00C96830" w:rsidRPr="001B2C5D" w:rsidRDefault="00C96830" w:rsidP="00DE08B1">
      <w:pPr>
        <w:jc w:val="left"/>
      </w:pPr>
    </w:p>
    <w:p w14:paraId="366E8591" w14:textId="2CA4F1DE" w:rsidR="00A526B9" w:rsidRPr="004F76CC" w:rsidRDefault="0020511F" w:rsidP="004F76CC">
      <w:pPr>
        <w:pStyle w:val="Heading2"/>
      </w:pPr>
      <w:r>
        <w:t xml:space="preserve">1 </w:t>
      </w:r>
      <w:r w:rsidR="002814FF" w:rsidRPr="004F76CC">
        <w:t>Twee deelmarkten</w:t>
      </w:r>
    </w:p>
    <w:p w14:paraId="328FEF36" w14:textId="04D6FE80" w:rsidR="00A526B9" w:rsidRDefault="00A526B9" w:rsidP="00DE08B1">
      <w:pPr>
        <w:jc w:val="left"/>
      </w:pPr>
    </w:p>
    <w:p w14:paraId="46EE25E1" w14:textId="77777777" w:rsidR="00A526B9" w:rsidRDefault="00A526B9" w:rsidP="00DE08B1">
      <w:pPr>
        <w:jc w:val="left"/>
      </w:pPr>
    </w:p>
    <w:p w14:paraId="4FA793F7" w14:textId="32D31D1B" w:rsidR="00BB78CE" w:rsidRPr="003157D6" w:rsidRDefault="002F10FA" w:rsidP="003157D6">
      <w:pPr>
        <w:jc w:val="left"/>
      </w:pPr>
      <w:r>
        <w:t xml:space="preserve">Vanwege de onderlinge verschillen tussen </w:t>
      </w:r>
      <w:r w:rsidR="00E21E70">
        <w:t xml:space="preserve">de vervoersorganisatie, </w:t>
      </w:r>
      <w:r>
        <w:t xml:space="preserve">het vaargebied </w:t>
      </w:r>
      <w:r w:rsidR="001F1AD5">
        <w:t>en</w:t>
      </w:r>
      <w:r>
        <w:t xml:space="preserve"> de vaartuigen is het zinvol</w:t>
      </w:r>
      <w:r w:rsidR="00320E35">
        <w:t xml:space="preserve"> om in dit hoofdstuk een onderscheid te maken tussen twee deelmarkten: de internationale binnenvaart en </w:t>
      </w:r>
      <w:r w:rsidR="00BE471C">
        <w:t xml:space="preserve">de </w:t>
      </w:r>
      <w:r w:rsidR="00320E35">
        <w:t>binnenlandse scheepvaart. De internationale binnenvaart omvat al het goederenvervoer met binnenschepen over de Nederlandse landsgrenzen</w:t>
      </w:r>
      <w:r w:rsidR="00A95572">
        <w:t xml:space="preserve">, vooral </w:t>
      </w:r>
      <w:r w:rsidR="00320E35">
        <w:t>met Duitsland</w:t>
      </w:r>
      <w:r w:rsidR="00A95572">
        <w:t xml:space="preserve"> en België. </w:t>
      </w:r>
      <w:r w:rsidR="00320E35">
        <w:t xml:space="preserve">Het grootste deel van dit vervoer, de zogenaamde Rijnvaart, bestaat uit schepen en goederen die de Nederlandse grens </w:t>
      </w:r>
      <w:r w:rsidR="00E21E70">
        <w:t xml:space="preserve">op </w:t>
      </w:r>
      <w:r w:rsidR="00320E35">
        <w:t xml:space="preserve">de Rijn bij Lobith passeren. De binnenlandse </w:t>
      </w:r>
      <w:r w:rsidR="00DD2B09">
        <w:t>scheep</w:t>
      </w:r>
      <w:r w:rsidR="00320E35">
        <w:t>vaart verzorgt al het binnenlandse goederenvervoer.</w:t>
      </w:r>
      <w:r w:rsidR="006E1E10">
        <w:rPr>
          <w:rStyle w:val="EndnoteReference"/>
        </w:rPr>
        <w:endnoteReference w:id="1"/>
      </w:r>
    </w:p>
    <w:p w14:paraId="6CAE507F" w14:textId="5B3ADF69" w:rsidR="00BB78CE" w:rsidRPr="0006701D" w:rsidRDefault="00BB78CE" w:rsidP="00BB78CE">
      <w:pPr>
        <w:rPr>
          <w:rFonts w:ascii="Calibri" w:eastAsia="Times New Roman" w:hAnsi="Calibri" w:cs="Calibri"/>
          <w:color w:val="FF0000"/>
          <w:szCs w:val="24"/>
          <w:shd w:val="clear" w:color="auto" w:fill="FFFFFF"/>
          <w:lang w:eastAsia="nl-NL"/>
        </w:rPr>
      </w:pPr>
      <w:r w:rsidRPr="0006701D">
        <w:rPr>
          <w:rFonts w:ascii="Calibri" w:eastAsia="Times New Roman" w:hAnsi="Calibri" w:cs="Calibri"/>
          <w:color w:val="FF0000"/>
          <w:szCs w:val="24"/>
          <w:shd w:val="clear" w:color="auto" w:fill="FFFFFF"/>
          <w:lang w:eastAsia="nl-NL"/>
        </w:rPr>
        <w:t>@i@</w:t>
      </w:r>
      <w:r w:rsidRPr="0006701D">
        <w:rPr>
          <w:rFonts w:eastAsia="Times New Roman" w:cs="Times New Roman"/>
          <w:color w:val="FF0000"/>
          <w:szCs w:val="24"/>
          <w:lang w:eastAsia="nl-NL"/>
        </w:rPr>
        <w:t>[[[</w:t>
      </w:r>
      <w:r w:rsidR="007B21A6">
        <w:rPr>
          <w:rFonts w:eastAsia="Times New Roman" w:cs="Times New Roman"/>
          <w:color w:val="FF0000"/>
          <w:szCs w:val="24"/>
          <w:lang w:eastAsia="nl-NL"/>
        </w:rPr>
        <w:t>1</w:t>
      </w:r>
      <w:r w:rsidRPr="0006701D">
        <w:rPr>
          <w:bCs/>
          <w:color w:val="FF0000"/>
        </w:rPr>
        <w:t>-07_Haringvliet_Rotterdam</w:t>
      </w:r>
      <w:r w:rsidRPr="0006701D">
        <w:rPr>
          <w:color w:val="FF0000"/>
        </w:rPr>
        <w:t>.jpg</w:t>
      </w:r>
      <w:r w:rsidRPr="0006701D">
        <w:rPr>
          <w:rFonts w:cstheme="minorHAnsi"/>
          <w:color w:val="FF0000"/>
        </w:rPr>
        <w:t>]]]</w:t>
      </w:r>
      <w:r w:rsidR="006C1176" w:rsidRPr="0006701D">
        <w:rPr>
          <w:rFonts w:cstheme="minorHAnsi"/>
          <w:color w:val="FF0000"/>
        </w:rPr>
        <w:t xml:space="preserve"> [[[</w:t>
      </w:r>
      <w:r w:rsidR="006C1176" w:rsidRPr="0006701D">
        <w:rPr>
          <w:rFonts w:ascii="Calibri" w:eastAsia="Times New Roman" w:hAnsi="Calibri" w:cs="Calibri"/>
          <w:color w:val="FF0000"/>
          <w:shd w:val="clear" w:color="auto" w:fill="FFFFFF"/>
          <w:lang w:eastAsia="nl-NL"/>
        </w:rPr>
        <w:t>2-26_Stroom</w:t>
      </w:r>
      <w:r w:rsidR="00FE5DB7">
        <w:rPr>
          <w:rFonts w:ascii="Calibri" w:eastAsia="Times New Roman" w:hAnsi="Calibri" w:cs="Calibri"/>
          <w:color w:val="FF0000"/>
          <w:shd w:val="clear" w:color="auto" w:fill="FFFFFF"/>
          <w:lang w:eastAsia="nl-NL"/>
        </w:rPr>
        <w:t>af</w:t>
      </w:r>
      <w:r w:rsidR="006C1176" w:rsidRPr="0006701D">
        <w:rPr>
          <w:rFonts w:ascii="Calibri" w:eastAsia="Times New Roman" w:hAnsi="Calibri" w:cs="Calibri"/>
          <w:color w:val="FF0000"/>
          <w:shd w:val="clear" w:color="auto" w:fill="FFFFFF"/>
          <w:lang w:eastAsia="nl-NL"/>
        </w:rPr>
        <w:t>waarts.jpg</w:t>
      </w:r>
      <w:r w:rsidR="006C1176" w:rsidRPr="0006701D">
        <w:rPr>
          <w:rFonts w:ascii="Calibri" w:eastAsia="Times New Roman" w:hAnsi="Calibri" w:cs="Calibri"/>
          <w:color w:val="FF0000"/>
          <w:szCs w:val="24"/>
          <w:shd w:val="clear" w:color="auto" w:fill="FFFFFF"/>
          <w:lang w:eastAsia="nl-NL"/>
        </w:rPr>
        <w:t>]]]</w:t>
      </w:r>
      <w:r w:rsidRPr="0006701D">
        <w:rPr>
          <w:rFonts w:ascii="Calibri" w:eastAsia="Times New Roman" w:hAnsi="Calibri" w:cs="Calibri"/>
          <w:color w:val="FF0000"/>
          <w:szCs w:val="24"/>
          <w:shd w:val="clear" w:color="auto" w:fill="FFFFFF"/>
          <w:lang w:eastAsia="nl-NL"/>
        </w:rPr>
        <w:t>@/i@​</w:t>
      </w:r>
    </w:p>
    <w:p w14:paraId="53C9849F" w14:textId="64216F07" w:rsidR="00320E35" w:rsidRDefault="00FB7886" w:rsidP="00DE08B1">
      <w:pPr>
        <w:jc w:val="left"/>
      </w:pPr>
      <w:r>
        <w:rPr>
          <w:bCs/>
          <w:noProof/>
          <w:color w:val="ED7D31" w:themeColor="accent2"/>
        </w:rPr>
        <w:t xml:space="preserve">  </w:t>
      </w:r>
    </w:p>
    <w:p w14:paraId="16AA1A04" w14:textId="77777777" w:rsidR="00491F1C" w:rsidRPr="002F10FA" w:rsidRDefault="00491F1C" w:rsidP="00DE08B1">
      <w:pPr>
        <w:jc w:val="left"/>
      </w:pPr>
    </w:p>
    <w:p w14:paraId="0335799A" w14:textId="5C58E366" w:rsidR="00491F1C" w:rsidRDefault="00491F1C" w:rsidP="00BF0AF1">
      <w:pPr>
        <w:pStyle w:val="Heading2"/>
        <w:jc w:val="left"/>
      </w:pPr>
      <w:bookmarkStart w:id="1" w:name="_Hlk85267192"/>
      <w:r w:rsidRPr="004F76CC">
        <w:t xml:space="preserve">De </w:t>
      </w:r>
      <w:r w:rsidR="00397408">
        <w:t>A</w:t>
      </w:r>
      <w:r w:rsidRPr="004F76CC">
        <w:t>kte van Mannheim (1868)</w:t>
      </w:r>
      <w:r w:rsidR="00BF0AF1">
        <w:br/>
      </w:r>
    </w:p>
    <w:bookmarkEnd w:id="1"/>
    <w:p w14:paraId="61303083" w14:textId="2CC53F41" w:rsidR="004B4790" w:rsidRPr="007B21A6" w:rsidRDefault="0067077B" w:rsidP="0079160B">
      <w:pPr>
        <w:jc w:val="left"/>
        <w:rPr>
          <w:rFonts w:ascii="Calibri" w:eastAsia="Times New Roman" w:hAnsi="Calibri" w:cs="Calibri"/>
          <w:color w:val="FF0000"/>
          <w:szCs w:val="24"/>
          <w:shd w:val="clear" w:color="auto" w:fill="FFFFFF"/>
          <w:lang w:eastAsia="nl-NL"/>
        </w:rPr>
      </w:pPr>
      <w:r>
        <w:t xml:space="preserve">De verhoudingen </w:t>
      </w:r>
      <w:bookmarkStart w:id="2" w:name="_Hlk67325408"/>
      <w:r>
        <w:t xml:space="preserve">in de Rijnvaart worden geregeld door de Akte van Mannheim, een internationaal verdrag dat in 1868 door alle </w:t>
      </w:r>
      <w:r w:rsidR="00A95572">
        <w:t xml:space="preserve">toenmalige </w:t>
      </w:r>
      <w:r>
        <w:t xml:space="preserve">Rijnoeverstaten en België </w:t>
      </w:r>
      <w:r w:rsidR="00DD2B09">
        <w:t xml:space="preserve">werd </w:t>
      </w:r>
      <w:r>
        <w:t>gesloten.</w:t>
      </w:r>
      <w:r w:rsidR="00B7655E">
        <w:rPr>
          <w:rStyle w:val="EndnoteReference"/>
        </w:rPr>
        <w:endnoteReference w:id="2"/>
      </w:r>
      <w:r>
        <w:t xml:space="preserve"> </w:t>
      </w:r>
      <w:bookmarkEnd w:id="2"/>
      <w:r>
        <w:t xml:space="preserve">Deze Akte bevatte drie hoofdbepalingen, die voor het Rijnvaartvervoer </w:t>
      </w:r>
      <w:r w:rsidR="00DD2B09">
        <w:t xml:space="preserve">tot </w:t>
      </w:r>
      <w:r w:rsidR="00E21E70">
        <w:t xml:space="preserve">op </w:t>
      </w:r>
      <w:r w:rsidR="00DD2B09">
        <w:t xml:space="preserve">heden </w:t>
      </w:r>
      <w:r>
        <w:t xml:space="preserve">van grote betekenis </w:t>
      </w:r>
      <w:r w:rsidR="00DD2B09">
        <w:t>zijn</w:t>
      </w:r>
      <w:r>
        <w:t>:</w:t>
      </w:r>
      <w:r w:rsidR="00010FEA">
        <w:t xml:space="preserve"> </w:t>
      </w:r>
      <w:r w:rsidR="00491F1C">
        <w:t>1</w:t>
      </w:r>
      <w:r w:rsidR="00BE6E63">
        <w:t>.</w:t>
      </w:r>
      <w:r w:rsidR="00491F1C">
        <w:t xml:space="preserve"> </w:t>
      </w:r>
      <w:r w:rsidR="00010FEA">
        <w:t>Op de Rijn en de daarop aansluitende zijrivieren heerst</w:t>
      </w:r>
      <w:r w:rsidR="00103A3E">
        <w:t>e</w:t>
      </w:r>
      <w:r w:rsidR="00010FEA">
        <w:t xml:space="preserve"> vrije concurrentie</w:t>
      </w:r>
      <w:r w:rsidR="00E21E70">
        <w:t xml:space="preserve">. De </w:t>
      </w:r>
      <w:r w:rsidR="00587D2F">
        <w:t xml:space="preserve">Rijnoeverstaten mochten </w:t>
      </w:r>
      <w:r w:rsidR="00010FEA">
        <w:t xml:space="preserve">geen protectionistische maatregelen </w:t>
      </w:r>
      <w:r w:rsidR="00DD2B09">
        <w:t xml:space="preserve">nemen </w:t>
      </w:r>
      <w:r w:rsidR="00010FEA">
        <w:t xml:space="preserve">om hun eigen scheepvaart of schippers </w:t>
      </w:r>
      <w:r w:rsidR="00DD2B09">
        <w:t xml:space="preserve">bij het vervoer </w:t>
      </w:r>
      <w:r w:rsidR="00491F1C">
        <w:t>te bevoordelen; 2</w:t>
      </w:r>
      <w:r w:rsidR="00A71D3A">
        <w:t>.</w:t>
      </w:r>
      <w:r w:rsidR="00491F1C">
        <w:t xml:space="preserve"> </w:t>
      </w:r>
      <w:r w:rsidR="00A95572">
        <w:t xml:space="preserve">Op de </w:t>
      </w:r>
      <w:r w:rsidR="00010FEA">
        <w:t xml:space="preserve">Rijn en de daarop </w:t>
      </w:r>
      <w:r w:rsidR="00A95572">
        <w:t xml:space="preserve">afwaterende </w:t>
      </w:r>
      <w:r w:rsidR="00010FEA">
        <w:t xml:space="preserve">zijrivieren </w:t>
      </w:r>
      <w:r w:rsidR="00DD2B09">
        <w:t>m</w:t>
      </w:r>
      <w:r w:rsidR="00103A3E">
        <w:t xml:space="preserve">ocht </w:t>
      </w:r>
      <w:r w:rsidR="00CB3781">
        <w:t xml:space="preserve">geen </w:t>
      </w:r>
      <w:r w:rsidR="00DD2B09">
        <w:t xml:space="preserve">tol </w:t>
      </w:r>
      <w:r w:rsidR="00CB3781">
        <w:t>worden geheven</w:t>
      </w:r>
      <w:r w:rsidR="00491F1C">
        <w:t xml:space="preserve"> en 3</w:t>
      </w:r>
      <w:r w:rsidR="00A71D3A">
        <w:t xml:space="preserve">. </w:t>
      </w:r>
      <w:r w:rsidR="00010FEA">
        <w:t xml:space="preserve">De Rijnvaart </w:t>
      </w:r>
      <w:r w:rsidR="00DD2B09">
        <w:t>st</w:t>
      </w:r>
      <w:r w:rsidR="00103A3E">
        <w:t xml:space="preserve">ond </w:t>
      </w:r>
      <w:r w:rsidR="00010FEA">
        <w:t xml:space="preserve">onder toezicht van een internationale commissie, de Centrale Commissie voor de Rijnvaart. Deze commissie </w:t>
      </w:r>
      <w:r w:rsidR="00DD2B09">
        <w:t>stel</w:t>
      </w:r>
      <w:r w:rsidR="00103A3E">
        <w:t>de</w:t>
      </w:r>
      <w:r w:rsidR="00DD2B09">
        <w:t xml:space="preserve"> </w:t>
      </w:r>
      <w:r w:rsidR="007C42A5">
        <w:t xml:space="preserve">regels aan </w:t>
      </w:r>
      <w:r w:rsidR="00010FEA">
        <w:t xml:space="preserve">de Rijnschippers, de Rijnschepen, </w:t>
      </w:r>
      <w:r w:rsidR="00A95572">
        <w:t xml:space="preserve">de bemanning, </w:t>
      </w:r>
      <w:r w:rsidR="009B7BF6">
        <w:t xml:space="preserve">het vervoer, </w:t>
      </w:r>
      <w:r w:rsidR="00010FEA">
        <w:t xml:space="preserve">de verkeersafwikkeling, </w:t>
      </w:r>
      <w:r w:rsidR="003F7003">
        <w:t xml:space="preserve">de verkeersveiligheid, </w:t>
      </w:r>
      <w:r w:rsidR="007C42A5">
        <w:t>de v</w:t>
      </w:r>
      <w:r w:rsidR="00010FEA">
        <w:t>aarwegverbetering</w:t>
      </w:r>
      <w:r w:rsidR="007C42A5">
        <w:t xml:space="preserve">en </w:t>
      </w:r>
      <w:r w:rsidR="00010FEA">
        <w:t xml:space="preserve">en de bebakening. </w:t>
      </w:r>
      <w:r w:rsidR="0079160B">
        <w:t xml:space="preserve"> </w:t>
      </w:r>
      <w:r w:rsidR="0079160B" w:rsidRPr="00A4282E">
        <w:rPr>
          <w:rFonts w:ascii="Calibri" w:eastAsia="Times New Roman" w:hAnsi="Calibri" w:cs="Calibri"/>
          <w:color w:val="FF0000"/>
          <w:szCs w:val="24"/>
          <w:shd w:val="clear" w:color="auto" w:fill="FFFFFF"/>
          <w:lang w:eastAsia="nl-NL"/>
        </w:rPr>
        <w:t>@i@</w:t>
      </w:r>
      <w:r w:rsidR="0079160B" w:rsidRPr="00A4282E">
        <w:rPr>
          <w:rFonts w:eastAsia="Times New Roman" w:cs="Times New Roman"/>
          <w:color w:val="FF0000"/>
          <w:szCs w:val="24"/>
          <w:lang w:eastAsia="nl-NL"/>
        </w:rPr>
        <w:t>[[[</w:t>
      </w:r>
      <w:r w:rsidR="00A4282E" w:rsidRPr="00A4282E">
        <w:rPr>
          <w:rFonts w:eastAsia="Times New Roman" w:cs="Times New Roman"/>
          <w:color w:val="FF0000"/>
          <w:szCs w:val="24"/>
          <w:lang w:eastAsia="nl-NL"/>
        </w:rPr>
        <w:t>3</w:t>
      </w:r>
      <w:r w:rsidR="00FE5DB7">
        <w:rPr>
          <w:rFonts w:eastAsia="Times New Roman" w:cs="Times New Roman"/>
          <w:color w:val="FF0000"/>
          <w:szCs w:val="24"/>
          <w:lang w:eastAsia="nl-NL"/>
        </w:rPr>
        <w:t>a</w:t>
      </w:r>
      <w:r w:rsidR="00A4282E" w:rsidRPr="00A4282E">
        <w:rPr>
          <w:rFonts w:eastAsia="Times New Roman" w:cs="Times New Roman"/>
          <w:color w:val="FF0000"/>
          <w:szCs w:val="24"/>
          <w:lang w:eastAsia="nl-NL"/>
        </w:rPr>
        <w:t>-</w:t>
      </w:r>
      <w:r w:rsidR="009E0C00" w:rsidRPr="00A4282E">
        <w:rPr>
          <w:rFonts w:eastAsia="Times New Roman" w:cs="Times New Roman"/>
          <w:color w:val="FF0000"/>
          <w:szCs w:val="24"/>
          <w:lang w:eastAsia="nl-NL"/>
        </w:rPr>
        <w:t>0</w:t>
      </w:r>
      <w:r w:rsidR="0079160B" w:rsidRPr="00A4282E">
        <w:rPr>
          <w:rFonts w:eastAsia="Times New Roman" w:cs="Times New Roman"/>
          <w:color w:val="FF0000"/>
          <w:szCs w:val="24"/>
          <w:lang w:eastAsia="nl-NL"/>
        </w:rPr>
        <w:t>1</w:t>
      </w:r>
      <w:r w:rsidR="009E0C00" w:rsidRPr="00A4282E">
        <w:rPr>
          <w:rFonts w:eastAsia="Times New Roman" w:cs="Times New Roman"/>
          <w:color w:val="FF0000"/>
          <w:szCs w:val="24"/>
          <w:lang w:eastAsia="nl-NL"/>
        </w:rPr>
        <w:t>a</w:t>
      </w:r>
      <w:r w:rsidR="0079160B" w:rsidRPr="00A4282E">
        <w:rPr>
          <w:rFonts w:eastAsia="Times New Roman" w:cs="Times New Roman"/>
          <w:color w:val="FF0000"/>
          <w:szCs w:val="24"/>
          <w:lang w:eastAsia="nl-NL"/>
        </w:rPr>
        <w:t>_</w:t>
      </w:r>
      <w:r w:rsidR="009E0C00" w:rsidRPr="00A4282E">
        <w:rPr>
          <w:rFonts w:cstheme="minorHAnsi"/>
          <w:color w:val="FF0000"/>
        </w:rPr>
        <w:t>Akte</w:t>
      </w:r>
      <w:r w:rsidR="00C81BA9" w:rsidRPr="00A4282E">
        <w:rPr>
          <w:rFonts w:cstheme="minorHAnsi"/>
          <w:color w:val="FF0000"/>
        </w:rPr>
        <w:t>1</w:t>
      </w:r>
      <w:r w:rsidR="0079160B" w:rsidRPr="00A4282E">
        <w:rPr>
          <w:rFonts w:cstheme="minorHAnsi"/>
          <w:color w:val="FF0000"/>
        </w:rPr>
        <w:t>.jpg]]]</w:t>
      </w:r>
      <w:r w:rsidR="009E0C00" w:rsidRPr="00A4282E">
        <w:rPr>
          <w:rFonts w:cstheme="minorHAnsi"/>
          <w:color w:val="FF0000"/>
        </w:rPr>
        <w:t xml:space="preserve"> </w:t>
      </w:r>
      <w:r w:rsidR="009E0C00" w:rsidRPr="00A4282E">
        <w:rPr>
          <w:rFonts w:eastAsia="Times New Roman" w:cs="Times New Roman"/>
          <w:color w:val="FF0000"/>
          <w:szCs w:val="24"/>
          <w:lang w:eastAsia="nl-NL"/>
        </w:rPr>
        <w:t>[[[</w:t>
      </w:r>
      <w:r w:rsidR="00BA6743">
        <w:rPr>
          <w:rFonts w:eastAsia="Times New Roman" w:cs="Times New Roman"/>
          <w:color w:val="FF0000"/>
          <w:szCs w:val="24"/>
          <w:lang w:eastAsia="nl-NL"/>
        </w:rPr>
        <w:t>3b</w:t>
      </w:r>
      <w:r w:rsidR="00A4282E" w:rsidRPr="00A4282E">
        <w:rPr>
          <w:rFonts w:eastAsia="Times New Roman" w:cs="Times New Roman"/>
          <w:color w:val="FF0000"/>
          <w:szCs w:val="24"/>
          <w:lang w:eastAsia="nl-NL"/>
        </w:rPr>
        <w:t>-</w:t>
      </w:r>
      <w:r w:rsidR="009E0C00" w:rsidRPr="00A4282E">
        <w:rPr>
          <w:rFonts w:eastAsia="Times New Roman" w:cs="Times New Roman"/>
          <w:color w:val="FF0000"/>
          <w:szCs w:val="24"/>
          <w:lang w:eastAsia="nl-NL"/>
        </w:rPr>
        <w:t>01b_</w:t>
      </w:r>
      <w:r w:rsidR="009E0C00" w:rsidRPr="00A4282E">
        <w:rPr>
          <w:rFonts w:cstheme="minorHAnsi"/>
          <w:color w:val="FF0000"/>
        </w:rPr>
        <w:t>Akte</w:t>
      </w:r>
      <w:r w:rsidR="00C81BA9" w:rsidRPr="00A4282E">
        <w:rPr>
          <w:rFonts w:cstheme="minorHAnsi"/>
          <w:color w:val="FF0000"/>
        </w:rPr>
        <w:t>2</w:t>
      </w:r>
      <w:r w:rsidR="009E0C00" w:rsidRPr="00A4282E">
        <w:rPr>
          <w:rFonts w:cstheme="minorHAnsi"/>
          <w:color w:val="FF0000"/>
        </w:rPr>
        <w:t>.jpg]]]</w:t>
      </w:r>
      <w:r w:rsidR="0079160B" w:rsidRPr="00A4282E">
        <w:rPr>
          <w:rFonts w:ascii="Calibri" w:eastAsia="Times New Roman" w:hAnsi="Calibri" w:cs="Calibri"/>
          <w:color w:val="FF0000"/>
          <w:szCs w:val="24"/>
          <w:shd w:val="clear" w:color="auto" w:fill="FFFFFF"/>
          <w:lang w:eastAsia="nl-NL"/>
        </w:rPr>
        <w:t>@/i@​</w:t>
      </w:r>
    </w:p>
    <w:p w14:paraId="328C3AE4" w14:textId="1F46280B" w:rsidR="00BE6E52" w:rsidRDefault="00CB3781" w:rsidP="0079160B">
      <w:pPr>
        <w:ind w:firstLine="708"/>
        <w:jc w:val="left"/>
      </w:pPr>
      <w:r>
        <w:t>Nederland behoor</w:t>
      </w:r>
      <w:r w:rsidR="00587D2F">
        <w:t>t</w:t>
      </w:r>
      <w:r w:rsidR="00103A3E">
        <w:t xml:space="preserve"> </w:t>
      </w:r>
      <w:r>
        <w:t>tot de Rijnoeverstaten</w:t>
      </w:r>
      <w:r w:rsidR="00FC3790">
        <w:t xml:space="preserve">. In </w:t>
      </w:r>
      <w:r>
        <w:t xml:space="preserve">ons land </w:t>
      </w:r>
      <w:r w:rsidR="00587D2F">
        <w:t xml:space="preserve">vallen </w:t>
      </w:r>
      <w:r w:rsidR="00FC0683">
        <w:t xml:space="preserve">de grote rivieren vanaf Lobith via de Waal of de Neder-Rijn naar Rotterdam </w:t>
      </w:r>
      <w:r w:rsidR="003F7003">
        <w:t xml:space="preserve">tot in </w:t>
      </w:r>
      <w:r w:rsidR="00FC0683">
        <w:t xml:space="preserve">de Noordzee onder de Akte. </w:t>
      </w:r>
      <w:r w:rsidR="00FC3790">
        <w:t xml:space="preserve">Verder </w:t>
      </w:r>
      <w:r w:rsidR="00DD2EC8">
        <w:t xml:space="preserve">valt ook de internationale vaart vanaf de Rijn naar </w:t>
      </w:r>
      <w:r w:rsidR="00FC0683">
        <w:t xml:space="preserve">Antwerpen en Gent grotendeels onder het Rijnvaartregiem. </w:t>
      </w:r>
      <w:r w:rsidR="00103A3E">
        <w:t>Schepen van de Rijnoeverstaten en België mo</w:t>
      </w:r>
      <w:r w:rsidR="00AC4CF0">
        <w:t xml:space="preserve">chten </w:t>
      </w:r>
      <w:r w:rsidR="00103A3E">
        <w:t>de</w:t>
      </w:r>
      <w:r w:rsidR="00DD2EC8">
        <w:t>ze</w:t>
      </w:r>
      <w:r w:rsidR="00103A3E">
        <w:t xml:space="preserve"> vaarroute over de Zuid-Hollandse en Zeeuwse stromen vrijelijk en zonder tolbetaling bevaren. </w:t>
      </w:r>
      <w:r w:rsidR="00F1216D">
        <w:t xml:space="preserve">Mocht deze vaarroute verzanden of op andere wijze onbevaarbaar worden, dan moet </w:t>
      </w:r>
      <w:r w:rsidR="00103A3E">
        <w:t>Nederland een vervangende vaarweg aanwijzen</w:t>
      </w:r>
      <w:r w:rsidR="00F1216D">
        <w:t xml:space="preserve">. </w:t>
      </w:r>
      <w:r w:rsidR="00103A3E">
        <w:t xml:space="preserve">Ook </w:t>
      </w:r>
      <w:r w:rsidR="005C69B1">
        <w:t xml:space="preserve">in </w:t>
      </w:r>
      <w:r w:rsidR="00B04143">
        <w:t xml:space="preserve">de </w:t>
      </w:r>
      <w:r w:rsidR="00DD2EC8">
        <w:t xml:space="preserve">Rijnvaart </w:t>
      </w:r>
      <w:r w:rsidR="00103A3E">
        <w:t xml:space="preserve">naar </w:t>
      </w:r>
      <w:r w:rsidR="001F1AD5">
        <w:t>de Belgische zeehavens h</w:t>
      </w:r>
      <w:r w:rsidR="00103A3E">
        <w:t xml:space="preserve">eerste </w:t>
      </w:r>
      <w:r w:rsidR="00FC3790">
        <w:t xml:space="preserve">steeds </w:t>
      </w:r>
      <w:r w:rsidR="00103A3E">
        <w:t>vrije concurrentie.</w:t>
      </w:r>
      <w:r w:rsidR="00B97BB2">
        <w:br/>
      </w:r>
      <w:r w:rsidR="00B97BB2">
        <w:br/>
      </w:r>
      <w:r w:rsidR="00026692">
        <w:t xml:space="preserve"> </w:t>
      </w:r>
      <w:bookmarkStart w:id="3" w:name="_Hlk85267381"/>
    </w:p>
    <w:bookmarkEnd w:id="3"/>
    <w:p w14:paraId="6A91CA2D" w14:textId="2965128E" w:rsidR="002D0C87" w:rsidRPr="004F76CC" w:rsidRDefault="00BE6E52" w:rsidP="004F76CC">
      <w:pPr>
        <w:pStyle w:val="Heading2"/>
      </w:pPr>
      <w:r w:rsidRPr="004F76CC">
        <w:t>Het binnenlands vervoer</w:t>
      </w:r>
    </w:p>
    <w:p w14:paraId="0D7D8D7C" w14:textId="77777777" w:rsidR="00BE6E52" w:rsidRPr="00BE6E52" w:rsidRDefault="00BE6E52" w:rsidP="00BE6E52"/>
    <w:p w14:paraId="1149B438" w14:textId="189BA386" w:rsidR="00D56C94" w:rsidRDefault="00A035D3" w:rsidP="00DE08B1">
      <w:pPr>
        <w:jc w:val="left"/>
      </w:pPr>
      <w:r>
        <w:t xml:space="preserve">De Nederlandse overheid was verantwoordelijk voor </w:t>
      </w:r>
      <w:r w:rsidR="00717932">
        <w:t xml:space="preserve">de </w:t>
      </w:r>
      <w:r w:rsidR="00722910">
        <w:t xml:space="preserve">regels voor het vervoer </w:t>
      </w:r>
      <w:r w:rsidR="0008585A">
        <w:t xml:space="preserve">op de overige vaarwegen, </w:t>
      </w:r>
      <w:r w:rsidR="00AC4CF0">
        <w:t xml:space="preserve">waarop </w:t>
      </w:r>
      <w:r w:rsidR="0008585A">
        <w:t>hoofdzakelijk binnenlands vervoer</w:t>
      </w:r>
      <w:r w:rsidR="00AC4CF0">
        <w:t xml:space="preserve"> plaatsvond</w:t>
      </w:r>
      <w:r w:rsidR="0008585A">
        <w:t>.</w:t>
      </w:r>
      <w:r w:rsidR="00BE6E52" w:rsidRPr="007B23E0">
        <w:rPr>
          <w:rStyle w:val="EndnoteReference"/>
          <w:b/>
          <w:bCs/>
        </w:rPr>
        <w:endnoteReference w:id="3"/>
      </w:r>
      <w:r w:rsidR="00BE6E52">
        <w:t xml:space="preserve"> </w:t>
      </w:r>
      <w:r w:rsidR="00717932">
        <w:t xml:space="preserve">Aanvankelijk heerste </w:t>
      </w:r>
      <w:r w:rsidR="00FB2922">
        <w:t xml:space="preserve">ook </w:t>
      </w:r>
      <w:r w:rsidR="00FC3790">
        <w:lastRenderedPageBreak/>
        <w:t>hier v</w:t>
      </w:r>
      <w:r w:rsidR="00FB2922">
        <w:t>rije concurrentie</w:t>
      </w:r>
      <w:r w:rsidR="00DF7B9E">
        <w:t xml:space="preserve">. </w:t>
      </w:r>
      <w:r w:rsidR="00DC7A63">
        <w:t>Later</w:t>
      </w:r>
      <w:r w:rsidR="001F1AD5">
        <w:t xml:space="preserve">, toen </w:t>
      </w:r>
      <w:r w:rsidR="00DC7A63">
        <w:t xml:space="preserve">de economische crisis van de jaren dertig </w:t>
      </w:r>
      <w:r w:rsidR="00B30541">
        <w:t xml:space="preserve">van de twintigste eeuw </w:t>
      </w:r>
      <w:r w:rsidR="001F1AD5">
        <w:t xml:space="preserve">voor de schippers </w:t>
      </w:r>
      <w:r w:rsidR="00DC7A63">
        <w:t>tot een noodtoestand</w:t>
      </w:r>
      <w:r w:rsidR="001F1AD5">
        <w:t xml:space="preserve"> leidde</w:t>
      </w:r>
      <w:r w:rsidR="00DC7A63">
        <w:t xml:space="preserve">, </w:t>
      </w:r>
      <w:r w:rsidR="001F1AD5">
        <w:t xml:space="preserve">moest </w:t>
      </w:r>
      <w:r w:rsidR="00DF7B9E">
        <w:t xml:space="preserve">de regering ingrijpen. In 1933 </w:t>
      </w:r>
      <w:r w:rsidR="00617643">
        <w:t>kwam</w:t>
      </w:r>
      <w:r w:rsidR="00DF7B9E">
        <w:t>, als nood</w:t>
      </w:r>
      <w:r w:rsidR="00381C9B">
        <w:t>maat</w:t>
      </w:r>
      <w:r w:rsidR="00DF7B9E">
        <w:t xml:space="preserve">regel, de Wet op de Evenredige Vrachtverdeling </w:t>
      </w:r>
      <w:r w:rsidR="00617643">
        <w:t>tot stand</w:t>
      </w:r>
      <w:r w:rsidR="00DF7B9E">
        <w:t xml:space="preserve">, die </w:t>
      </w:r>
      <w:r w:rsidR="00D109B5">
        <w:t xml:space="preserve">de vrije concurrentie </w:t>
      </w:r>
      <w:r w:rsidR="00DF7B9E">
        <w:t xml:space="preserve">in het binnenlandse scheepvaartvervoer </w:t>
      </w:r>
      <w:r w:rsidR="00D109B5">
        <w:t xml:space="preserve">voor verschillende goederenstromen beëindigde. </w:t>
      </w:r>
      <w:r w:rsidR="00583581">
        <w:t xml:space="preserve">De Evenredige Vrachtverdeling </w:t>
      </w:r>
      <w:r w:rsidR="00DC7A63">
        <w:t xml:space="preserve">bleef </w:t>
      </w:r>
      <w:r w:rsidR="00F83903">
        <w:t>tot 1998 bestaan</w:t>
      </w:r>
      <w:r w:rsidR="00DC7A63">
        <w:t xml:space="preserve"> en </w:t>
      </w:r>
      <w:r w:rsidR="00F83903">
        <w:t xml:space="preserve">zou de </w:t>
      </w:r>
      <w:proofErr w:type="spellStart"/>
      <w:r w:rsidR="00F83903">
        <w:t>sociaal</w:t>
      </w:r>
      <w:r w:rsidR="001A6EB0">
        <w:t>-</w:t>
      </w:r>
      <w:r w:rsidR="00F83903">
        <w:t>economische</w:t>
      </w:r>
      <w:proofErr w:type="spellEnd"/>
      <w:r w:rsidR="00F83903">
        <w:t xml:space="preserve"> </w:t>
      </w:r>
      <w:r w:rsidR="007269E8">
        <w:t xml:space="preserve">verhoudingen </w:t>
      </w:r>
      <w:r w:rsidR="00F83903">
        <w:t xml:space="preserve">in de </w:t>
      </w:r>
      <w:r w:rsidR="007269E8">
        <w:t xml:space="preserve">binnenvaart </w:t>
      </w:r>
      <w:r w:rsidR="00F83903">
        <w:t xml:space="preserve">diepgaand </w:t>
      </w:r>
      <w:r w:rsidR="007269E8">
        <w:t>b</w:t>
      </w:r>
      <w:r w:rsidR="00F83903">
        <w:t>e</w:t>
      </w:r>
      <w:r w:rsidR="007269E8">
        <w:t xml:space="preserve">ïnvloeden. </w:t>
      </w:r>
    </w:p>
    <w:p w14:paraId="6B2AEFC4" w14:textId="54773A0A" w:rsidR="00717932" w:rsidRDefault="00DC7A63" w:rsidP="00B61BF4">
      <w:pPr>
        <w:ind w:firstLine="708"/>
        <w:jc w:val="left"/>
      </w:pPr>
      <w:r>
        <w:t xml:space="preserve">Dankzij de </w:t>
      </w:r>
      <w:r w:rsidR="00D56C94">
        <w:t xml:space="preserve">Akte van Mannheim </w:t>
      </w:r>
      <w:r>
        <w:t xml:space="preserve">voerden de grote verladers en reders de regie </w:t>
      </w:r>
      <w:r w:rsidR="00B05C1E">
        <w:t xml:space="preserve">over </w:t>
      </w:r>
      <w:r>
        <w:t xml:space="preserve">de Rijnvaart, terwijl de Nederlandse overheid </w:t>
      </w:r>
      <w:r w:rsidR="00583581">
        <w:t xml:space="preserve">lange tijd </w:t>
      </w:r>
      <w:r>
        <w:t>het binnenlands vervoer regisseerde.</w:t>
      </w:r>
      <w:r w:rsidR="00F511E2">
        <w:t xml:space="preserve"> Het binnenlandse vervoer </w:t>
      </w:r>
      <w:r w:rsidR="00254623">
        <w:t xml:space="preserve">ging tot 1998 alleen met Nederlandse schepen. </w:t>
      </w:r>
      <w:r w:rsidR="00F511E2">
        <w:t xml:space="preserve"> </w:t>
      </w:r>
    </w:p>
    <w:p w14:paraId="7CFA68B2" w14:textId="2A19D5CC" w:rsidR="00B04143" w:rsidRDefault="00B04143" w:rsidP="00DE08B1">
      <w:pPr>
        <w:jc w:val="left"/>
      </w:pPr>
    </w:p>
    <w:p w14:paraId="3C2BC5E8" w14:textId="77777777" w:rsidR="007247C9" w:rsidRDefault="007247C9" w:rsidP="00DE08B1">
      <w:pPr>
        <w:jc w:val="left"/>
      </w:pPr>
    </w:p>
    <w:p w14:paraId="25EF6CCE" w14:textId="4DD0A666" w:rsidR="00B04143" w:rsidRDefault="00B04143" w:rsidP="007247C9">
      <w:pPr>
        <w:pStyle w:val="Heading2"/>
      </w:pPr>
      <w:r>
        <w:t>De beschikbare gegevens</w:t>
      </w:r>
    </w:p>
    <w:p w14:paraId="588C83ED" w14:textId="77777777" w:rsidR="007247C9" w:rsidRPr="007247C9" w:rsidRDefault="007247C9" w:rsidP="007247C9"/>
    <w:p w14:paraId="42A4FEE3" w14:textId="53271E2D" w:rsidR="008C51D4" w:rsidRPr="008D46FD" w:rsidRDefault="00B04143" w:rsidP="005562E1">
      <w:pPr>
        <w:jc w:val="left"/>
        <w:rPr>
          <w:rFonts w:cstheme="minorHAnsi"/>
        </w:rPr>
      </w:pPr>
      <w:r>
        <w:t>Over de ontwikkeling van het internationale binnenvaartvervoer zijn vanaf de tweede helft van de negentiende eeuw statistische gegevens beschikbaar, hoewel deze vaak niet zijn geanalyseerd.</w:t>
      </w:r>
      <w:r w:rsidR="00D072C8">
        <w:rPr>
          <w:rStyle w:val="EndnoteReference"/>
        </w:rPr>
        <w:endnoteReference w:id="4"/>
      </w:r>
      <w:r>
        <w:t xml:space="preserve"> Over de aard en omvang </w:t>
      </w:r>
      <w:r w:rsidR="00D072C8">
        <w:t xml:space="preserve">van </w:t>
      </w:r>
      <w:r>
        <w:t xml:space="preserve">het binnenlandse goederenvervoer bestaat tot de Tweede Wereldoorlog nauwelijks statistische informatie. </w:t>
      </w:r>
      <w:r w:rsidRPr="006E4AB1">
        <w:t>Wél</w:t>
      </w:r>
      <w:r>
        <w:t xml:space="preserve"> organiseerde Rijkswaterstaat vanaf 1877 op een groot aantal waarnemingspunten verkeerstellingen, die een goed beeld geven van de verkeersontwikkeling.</w:t>
      </w:r>
    </w:p>
    <w:p w14:paraId="1521F8C4" w14:textId="1184BE54" w:rsidR="00B04143" w:rsidRDefault="00B04143" w:rsidP="00DE08B1">
      <w:pPr>
        <w:ind w:firstLine="708"/>
        <w:jc w:val="left"/>
      </w:pPr>
      <w:r>
        <w:t>Het Rijnschepenregister biedt vanaf 1879 informatie over de omvang en samenstelling van de Nederlandse Rijnvaartvloot. Nederlandse belastingstatistieken geven vanaf 1850 tot 1891 informatie over de vloot die het binnenlands vervoer verzorgde.</w:t>
      </w:r>
      <w:r w:rsidRPr="00B50A48">
        <w:t xml:space="preserve"> </w:t>
      </w:r>
      <w:r>
        <w:t xml:space="preserve">Een probleem is dat sommige schepen in deze jaren zowel binnenlands als Rijnvaartvervoer verrichtten. Deze overlap maakt het onmogelijk om exacte cijfers over de samenstelling van de hele Nederlandse vloot te geven. </w:t>
      </w:r>
      <w:r w:rsidR="00DC7F96">
        <w:t xml:space="preserve">Wél kunnen voor de periode tussen 1879 en 1891 afzonderlijke cijfers voor de Rijnschepen en de vaartuigen die aan het binnenlands vervoer deelnamen worden gepresenteerd. </w:t>
      </w:r>
      <w:r>
        <w:t xml:space="preserve">Vanaf 1934 geven CBS-statistieken informatie over de samenstelling van de Nederlandse binnenvaartvloot, eerst alleen voor het binnenlands vervoer, </w:t>
      </w:r>
      <w:r w:rsidR="00C22001">
        <w:t xml:space="preserve">en </w:t>
      </w:r>
      <w:r>
        <w:t xml:space="preserve">vanaf 1940 voor de hele vloot. </w:t>
      </w:r>
    </w:p>
    <w:p w14:paraId="53513CA9" w14:textId="1425E323" w:rsidR="00B04143" w:rsidRDefault="00B04143" w:rsidP="00DE08B1">
      <w:pPr>
        <w:ind w:firstLine="360"/>
        <w:jc w:val="left"/>
      </w:pPr>
      <w:r>
        <w:t>Daarnaast bieden de liggers van de scheepsmetingsdienst en de scheepsboekhouding van het kadaster informatie over de vlootontwikkeling, ook voor de periode tussen 1891/1899-1934. Vooral de gegevens van de scheepsmetingsdienst zijn zeer volledig en kunnen op internet worden geraadpleegd.</w:t>
      </w:r>
      <w:r w:rsidR="00D33A8F">
        <w:rPr>
          <w:rStyle w:val="EndnoteReference"/>
        </w:rPr>
        <w:endnoteReference w:id="5"/>
      </w:r>
      <w:r>
        <w:t xml:space="preserve"> Helaas zijn deze gegevens n</w:t>
      </w:r>
      <w:r w:rsidR="00B85847">
        <w:t>ooit systematisch geanalyseerd.</w:t>
      </w:r>
      <w:r w:rsidR="00B85847">
        <w:br/>
      </w:r>
    </w:p>
    <w:p w14:paraId="6E9107D8" w14:textId="0552C4A0" w:rsidR="00B04143" w:rsidRDefault="00B04143" w:rsidP="00DE08B1">
      <w:pPr>
        <w:jc w:val="left"/>
      </w:pPr>
    </w:p>
    <w:p w14:paraId="0431DCB7" w14:textId="57DCDB07" w:rsidR="00E174B3" w:rsidRPr="00423D6E" w:rsidRDefault="00B8635A" w:rsidP="00AE7175">
      <w:pPr>
        <w:pStyle w:val="Heading2"/>
        <w:jc w:val="left"/>
      </w:pPr>
      <w:bookmarkStart w:id="4" w:name="_Hlk85267544"/>
      <w:r>
        <w:t>2 Vervoer en vervoersorganisaties voor de Tweede Wereldoorlog</w:t>
      </w:r>
      <w:r w:rsidR="009F6BA6" w:rsidRPr="00423D6E">
        <w:br/>
      </w:r>
    </w:p>
    <w:bookmarkEnd w:id="4"/>
    <w:p w14:paraId="3ED4C367" w14:textId="635624F0" w:rsidR="00782E3F" w:rsidRDefault="00877C22" w:rsidP="00DE08B1">
      <w:pPr>
        <w:jc w:val="left"/>
      </w:pPr>
      <w:r w:rsidRPr="00B96528">
        <w:t xml:space="preserve">In </w:t>
      </w:r>
      <w:r w:rsidR="00617643" w:rsidRPr="00B96528">
        <w:t>1880</w:t>
      </w:r>
      <w:r w:rsidR="00617643">
        <w:t xml:space="preserve"> </w:t>
      </w:r>
      <w:r w:rsidR="004C7F00">
        <w:t xml:space="preserve">bedroeg </w:t>
      </w:r>
      <w:r w:rsidR="00FC11BB">
        <w:t xml:space="preserve">het internationale </w:t>
      </w:r>
      <w:r w:rsidR="0092328A">
        <w:t>binnenvaart</w:t>
      </w:r>
      <w:r w:rsidR="00FC11BB">
        <w:t xml:space="preserve">vervoer </w:t>
      </w:r>
      <w:r w:rsidR="004C7F00">
        <w:t>5,9 miljoen ton, exclusief de doorvoer</w:t>
      </w:r>
      <w:r w:rsidR="00FC11BB">
        <w:t xml:space="preserve">. Hiervan ging </w:t>
      </w:r>
      <w:r w:rsidR="004C7F00">
        <w:t xml:space="preserve">3,7 miljoen </w:t>
      </w:r>
      <w:r w:rsidR="00FC11BB">
        <w:t xml:space="preserve">ton </w:t>
      </w:r>
      <w:r w:rsidR="004C7F00">
        <w:t xml:space="preserve">over de Rijn </w:t>
      </w:r>
      <w:r w:rsidR="00FC11BB">
        <w:t xml:space="preserve">van/naar Duitsland </w:t>
      </w:r>
      <w:r w:rsidR="004C7F00">
        <w:t xml:space="preserve">en 2,1 miljoen </w:t>
      </w:r>
      <w:r w:rsidR="00FC11BB">
        <w:t xml:space="preserve">ton </w:t>
      </w:r>
      <w:r w:rsidR="004C7F00">
        <w:t>over de Schelde en de Zuid-Willemsvaart van/naar België. Op de Rijn</w:t>
      </w:r>
      <w:r w:rsidR="00FC11BB">
        <w:t xml:space="preserve"> vormde het </w:t>
      </w:r>
      <w:proofErr w:type="spellStart"/>
      <w:r w:rsidR="00FC11BB">
        <w:t>stroomafwaartse</w:t>
      </w:r>
      <w:proofErr w:type="spellEnd"/>
      <w:r w:rsidR="00FC11BB">
        <w:t xml:space="preserve"> </w:t>
      </w:r>
      <w:r w:rsidR="009B5421">
        <w:t xml:space="preserve">vervoer </w:t>
      </w:r>
      <w:r w:rsidR="00FC11BB">
        <w:t>van steenkolen met 1,5 miljoen</w:t>
      </w:r>
      <w:r w:rsidR="009B5421">
        <w:t xml:space="preserve"> ton de voornaamste goederenstroom.</w:t>
      </w:r>
      <w:r w:rsidR="00617643">
        <w:t xml:space="preserve"> De exacte omvang van het binnenlands vervoer is onbekend.</w:t>
      </w:r>
      <w:r w:rsidR="00085CD4">
        <w:rPr>
          <w:rStyle w:val="EndnoteReference"/>
        </w:rPr>
        <w:endnoteReference w:id="6"/>
      </w:r>
    </w:p>
    <w:p w14:paraId="2F186282" w14:textId="77777777" w:rsidR="0037622C" w:rsidRDefault="0037622C" w:rsidP="00DE08B1">
      <w:pPr>
        <w:jc w:val="left"/>
      </w:pPr>
    </w:p>
    <w:p w14:paraId="5B7AEA61" w14:textId="77777777" w:rsidR="0037622C" w:rsidRDefault="0037622C" w:rsidP="00DE08B1">
      <w:pPr>
        <w:jc w:val="left"/>
      </w:pPr>
    </w:p>
    <w:p w14:paraId="1A69DCC7" w14:textId="45FD7B0F" w:rsidR="00DD6CD2" w:rsidRPr="00AC06E4" w:rsidRDefault="00DD6CD2" w:rsidP="00C97374">
      <w:pPr>
        <w:pStyle w:val="Heading2"/>
        <w:jc w:val="left"/>
        <w:rPr>
          <w:color w:val="2E74B5" w:themeColor="accent5" w:themeShade="BF"/>
        </w:rPr>
      </w:pPr>
      <w:bookmarkStart w:id="5" w:name="_Hlk85267754"/>
      <w:r w:rsidRPr="00C52166">
        <w:t>De vervoersontwikkeling</w:t>
      </w:r>
      <w:bookmarkEnd w:id="5"/>
      <w:r w:rsidR="00C97374" w:rsidRPr="00AC06E4">
        <w:rPr>
          <w:color w:val="2E74B5" w:themeColor="accent5" w:themeShade="BF"/>
        </w:rPr>
        <w:br/>
      </w:r>
    </w:p>
    <w:p w14:paraId="76F3FD9D" w14:textId="680138F5" w:rsidR="006257CD" w:rsidRDefault="00881C47" w:rsidP="00DE08B1">
      <w:pPr>
        <w:jc w:val="left"/>
      </w:pPr>
      <w:r w:rsidRPr="00AC06E4">
        <w:rPr>
          <w:color w:val="auto"/>
        </w:rPr>
        <w:t>Vanaf</w:t>
      </w:r>
      <w:r w:rsidR="00274943" w:rsidRPr="00AC06E4">
        <w:rPr>
          <w:color w:val="auto"/>
        </w:rPr>
        <w:t xml:space="preserve"> het midden van de jaren zestig </w:t>
      </w:r>
      <w:r w:rsidR="006257CD" w:rsidRPr="00AC06E4">
        <w:t>ondervond</w:t>
      </w:r>
      <w:r w:rsidR="006257CD">
        <w:t xml:space="preserve"> de internationale binnenvaart sterke concurrentie van de spoorwegen. De gebrekkige toestand van de rivier de Waal veroorzaakte veel problemen. </w:t>
      </w:r>
      <w:proofErr w:type="spellStart"/>
      <w:r w:rsidR="006257CD">
        <w:t>Diepgeladen</w:t>
      </w:r>
      <w:proofErr w:type="spellEnd"/>
      <w:r w:rsidR="006257CD">
        <w:t xml:space="preserve"> schepen liepen bij laagwater in de smalle, ondiepe vaargeul herhaaldelijk aan de grond, waardoor de doorgang voor andere schepen </w:t>
      </w:r>
      <w:r w:rsidR="00A16437">
        <w:t xml:space="preserve">langdurig werd versperd. In het najaar van 1877 ontstond een verkeerschaos, waarbij ongeveer zevenhonderd schepen ter weerszijden van een </w:t>
      </w:r>
      <w:r w:rsidR="003E7575">
        <w:t xml:space="preserve">ondiepte </w:t>
      </w:r>
      <w:r w:rsidR="00A16437">
        <w:t>voor anker lagen en de marine moest ingrijpen om het verkeer weer op gang te brengen. Nadat de spoorwegen eerder het vervoer van hoogwaardige producten als suiker en koffie hadden overgenomen,</w:t>
      </w:r>
      <w:r w:rsidR="006257CD">
        <w:t xml:space="preserve"> </w:t>
      </w:r>
      <w:r w:rsidR="003E7575">
        <w:t>dreigde nu ook het steenkolenvervoer verloren te gaan. In 1884 vervoerden de spoorwegen voor het eerst meer steenkolen dan de Rijnvaart.</w:t>
      </w:r>
      <w:r w:rsidR="00A16437">
        <w:t xml:space="preserve"> Het leek nog slechts een kwestie van tijd, voordat de spoorwegen ook het overige vervoer zouden overnemen.</w:t>
      </w:r>
      <w:r w:rsidR="00A16437">
        <w:rPr>
          <w:rStyle w:val="EndnoteReference"/>
        </w:rPr>
        <w:endnoteReference w:id="7"/>
      </w:r>
      <w:r w:rsidR="00A16437">
        <w:t xml:space="preserve">  </w:t>
      </w:r>
      <w:r w:rsidR="006257CD">
        <w:t xml:space="preserve"> </w:t>
      </w:r>
    </w:p>
    <w:p w14:paraId="4C95C115" w14:textId="77777777" w:rsidR="00AA53B1" w:rsidRDefault="00BA6743" w:rsidP="00C4099C">
      <w:pPr>
        <w:jc w:val="left"/>
        <w:rPr>
          <w:rFonts w:ascii="Calibri" w:eastAsia="Times New Roman" w:hAnsi="Calibri" w:cs="Calibri"/>
          <w:color w:val="FF0000"/>
          <w:szCs w:val="24"/>
          <w:shd w:val="clear" w:color="auto" w:fill="FFFFFF"/>
          <w:lang w:eastAsia="nl-NL"/>
        </w:rPr>
      </w:pPr>
      <w:r w:rsidRPr="00A4282E">
        <w:rPr>
          <w:rFonts w:ascii="Calibri" w:eastAsia="Times New Roman" w:hAnsi="Calibri" w:cs="Calibri"/>
          <w:color w:val="FF0000"/>
          <w:szCs w:val="24"/>
          <w:shd w:val="clear" w:color="auto" w:fill="FFFFFF"/>
          <w:lang w:eastAsia="nl-NL"/>
        </w:rPr>
        <w:t>@i@</w:t>
      </w:r>
      <w:r w:rsidRPr="00A4282E">
        <w:rPr>
          <w:rFonts w:eastAsia="Times New Roman" w:cs="Times New Roman"/>
          <w:color w:val="FF0000"/>
          <w:szCs w:val="24"/>
          <w:lang w:eastAsia="nl-NL"/>
        </w:rPr>
        <w:t>[[[</w:t>
      </w:r>
      <w:r>
        <w:rPr>
          <w:rFonts w:eastAsia="Times New Roman" w:cs="Times New Roman"/>
          <w:color w:val="FF0000"/>
          <w:szCs w:val="24"/>
          <w:lang w:eastAsia="nl-NL"/>
        </w:rPr>
        <w:t>4_Lobith</w:t>
      </w:r>
      <w:r w:rsidRPr="00A4282E">
        <w:rPr>
          <w:rFonts w:cstheme="minorHAnsi"/>
          <w:color w:val="FF0000"/>
        </w:rPr>
        <w:t>.jpg]]]</w:t>
      </w:r>
      <w:r w:rsidRPr="00A4282E">
        <w:rPr>
          <w:rFonts w:ascii="Calibri" w:eastAsia="Times New Roman" w:hAnsi="Calibri" w:cs="Calibri"/>
          <w:color w:val="FF0000"/>
          <w:szCs w:val="24"/>
          <w:shd w:val="clear" w:color="auto" w:fill="FFFFFF"/>
          <w:lang w:eastAsia="nl-NL"/>
        </w:rPr>
        <w:t>@/i@​</w:t>
      </w:r>
      <w:r w:rsidR="00875262">
        <w:rPr>
          <w:rFonts w:ascii="Calibri" w:eastAsia="Times New Roman" w:hAnsi="Calibri" w:cs="Calibri"/>
          <w:color w:val="FF0000"/>
          <w:szCs w:val="24"/>
          <w:shd w:val="clear" w:color="auto" w:fill="FFFFFF"/>
          <w:lang w:eastAsia="nl-NL"/>
        </w:rPr>
        <w:t xml:space="preserve">  </w:t>
      </w:r>
    </w:p>
    <w:p w14:paraId="5059AAE6" w14:textId="281D2A55" w:rsidR="00BB27EC" w:rsidRPr="00687BE7" w:rsidRDefault="00A16437" w:rsidP="00AA53B1">
      <w:pPr>
        <w:ind w:firstLine="708"/>
        <w:jc w:val="left"/>
        <w:rPr>
          <w:rFonts w:ascii="Calibri" w:eastAsia="Times New Roman" w:hAnsi="Calibri" w:cs="Calibri"/>
          <w:color w:val="FF0000"/>
          <w:szCs w:val="24"/>
          <w:shd w:val="clear" w:color="auto" w:fill="FFFFFF"/>
          <w:lang w:eastAsia="nl-NL"/>
        </w:rPr>
      </w:pPr>
      <w:r>
        <w:t>Aan het eind van de negentiende eeuw ontwikkelde het Duitse Ruhrgebied zich tot het belang</w:t>
      </w:r>
      <w:r>
        <w:softHyphen/>
        <w:t>rijkste industriegebied in Europa.</w:t>
      </w:r>
      <w:r w:rsidR="00356EBF">
        <w:t xml:space="preserve"> Grote hoeveelheden ijzererts voor de Duitse hoogovens werden via de haven van Rotterdam geïmporteerd. Tegelijk verbeterde Nederland de Waal en de Boven-Merwede, waarna de gemiddelde scheepsgrootte van de Nederlandse Rijnschepen van circa 150 naar 430 ton groeide. </w:t>
      </w:r>
      <w:r w:rsidR="00D6489E">
        <w:t xml:space="preserve">De rivierverbetering en de daaropvolgende schaalvergroting leverden een </w:t>
      </w:r>
      <w:r w:rsidR="00D6489E" w:rsidRPr="0060220E">
        <w:t>aanzienlijke kostenbesparing</w:t>
      </w:r>
      <w:r w:rsidR="00B35BAF">
        <w:t xml:space="preserve"> op</w:t>
      </w:r>
      <w:r w:rsidR="00D6489E" w:rsidRPr="0060220E">
        <w:t>, waardoor de binnenvaart de concurrentiestrijd met de spoorwegen definitief won, ook in het vervoer met België</w:t>
      </w:r>
      <w:r w:rsidR="00D6489E">
        <w:t xml:space="preserve"> en het steenkolenvervoer</w:t>
      </w:r>
      <w:r w:rsidR="008F569F">
        <w:t>.</w:t>
      </w:r>
      <w:r w:rsidR="00B439FC">
        <w:rPr>
          <w:rStyle w:val="EndnoteReference"/>
        </w:rPr>
        <w:endnoteReference w:id="8"/>
      </w:r>
      <w:bookmarkStart w:id="6" w:name="_Hlk67391415"/>
      <w:r w:rsidR="00C4099C">
        <w:t xml:space="preserve"> </w:t>
      </w:r>
    </w:p>
    <w:p w14:paraId="49D67F4A" w14:textId="4C46B9FB" w:rsidR="008F569F" w:rsidRPr="007A61EF" w:rsidRDefault="00C4099C" w:rsidP="00BB27EC">
      <w:pPr>
        <w:ind w:firstLine="708"/>
        <w:jc w:val="left"/>
        <w:rPr>
          <w:color w:val="2E74B5" w:themeColor="accent5" w:themeShade="BF"/>
        </w:rPr>
      </w:pPr>
      <w:r>
        <w:t xml:space="preserve">Tussen 1880 en 1910 groeide het internationale binnenvaartvervoer, inclusief de doorvoer, van 6 naar 48 miljoen ton. In dat laatste jaar bedroeg het </w:t>
      </w:r>
      <w:proofErr w:type="spellStart"/>
      <w:r>
        <w:t>stroomopwaartse</w:t>
      </w:r>
      <w:proofErr w:type="spellEnd"/>
      <w:r>
        <w:t xml:space="preserve"> Rijnvervoer 17 miljoen ton, waarbij ijzererts met 7,3 miljoen ton de hoofdmoot vormde.</w:t>
      </w:r>
      <w:r>
        <w:tab/>
      </w:r>
    </w:p>
    <w:p w14:paraId="2FF72AE9" w14:textId="77777777" w:rsidR="00B744CF" w:rsidRPr="007A61EF" w:rsidRDefault="00B744CF" w:rsidP="00B744CF">
      <w:pPr>
        <w:rPr>
          <w:color w:val="2E74B5" w:themeColor="accent5" w:themeShade="BF"/>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0"/>
        <w:gridCol w:w="1093"/>
        <w:gridCol w:w="1094"/>
        <w:gridCol w:w="1057"/>
        <w:gridCol w:w="914"/>
        <w:gridCol w:w="1483"/>
        <w:gridCol w:w="1527"/>
        <w:gridCol w:w="914"/>
      </w:tblGrid>
      <w:tr w:rsidR="005F7947" w:rsidRPr="005F7947" w14:paraId="3A997825" w14:textId="77777777" w:rsidTr="000D2FB8">
        <w:trPr>
          <w:trHeight w:hRule="exact" w:val="851"/>
        </w:trPr>
        <w:tc>
          <w:tcPr>
            <w:tcW w:w="980" w:type="dxa"/>
            <w:vMerge w:val="restart"/>
          </w:tcPr>
          <w:p w14:paraId="3835ED62" w14:textId="77777777" w:rsidR="00B744CF" w:rsidRPr="005F7947" w:rsidRDefault="00B744CF" w:rsidP="00B744CF">
            <w:pPr>
              <w:contextualSpacing/>
              <w:jc w:val="center"/>
              <w:rPr>
                <w:rFonts w:eastAsia="Calibri" w:cs="Times New Roman"/>
                <w:b/>
                <w:bCs/>
                <w:color w:val="auto"/>
                <w:sz w:val="20"/>
                <w:szCs w:val="20"/>
              </w:rPr>
            </w:pPr>
            <w:r w:rsidRPr="005F7947">
              <w:rPr>
                <w:rFonts w:eastAsia="Calibri" w:cs="Times New Roman"/>
                <w:b/>
                <w:bCs/>
                <w:color w:val="auto"/>
                <w:sz w:val="20"/>
                <w:szCs w:val="20"/>
              </w:rPr>
              <w:t>Jaar</w:t>
            </w:r>
          </w:p>
        </w:tc>
        <w:tc>
          <w:tcPr>
            <w:tcW w:w="4158" w:type="dxa"/>
            <w:gridSpan w:val="4"/>
          </w:tcPr>
          <w:p w14:paraId="07E0A00C" w14:textId="75F9FB65" w:rsidR="00B744CF" w:rsidRPr="005F7947" w:rsidRDefault="00B744CF" w:rsidP="003C5B25">
            <w:pPr>
              <w:pStyle w:val="tabelKop"/>
              <w:rPr>
                <w:sz w:val="18"/>
                <w:szCs w:val="18"/>
              </w:rPr>
            </w:pPr>
            <w:r w:rsidRPr="005F7947">
              <w:t>Totaal internationaal vervoer per binnenschip (miljoen ton)</w:t>
            </w:r>
            <w:r w:rsidRPr="005F7947">
              <w:rPr>
                <w:sz w:val="18"/>
                <w:szCs w:val="18"/>
              </w:rPr>
              <w:t xml:space="preserve">                                                       </w:t>
            </w:r>
          </w:p>
        </w:tc>
        <w:tc>
          <w:tcPr>
            <w:tcW w:w="3924" w:type="dxa"/>
            <w:gridSpan w:val="3"/>
          </w:tcPr>
          <w:p w14:paraId="4F689EDC" w14:textId="77777777" w:rsidR="00B744CF" w:rsidRPr="005F7947" w:rsidRDefault="00B744CF" w:rsidP="003C5B25">
            <w:pPr>
              <w:pStyle w:val="tabelKop"/>
            </w:pPr>
            <w:r w:rsidRPr="005F7947">
              <w:t xml:space="preserve">Rijnvaart bij Lobith  </w:t>
            </w:r>
          </w:p>
          <w:p w14:paraId="7BA34818" w14:textId="77777777" w:rsidR="00B744CF" w:rsidRPr="00444CCB" w:rsidRDefault="00B744CF" w:rsidP="00444CCB">
            <w:pPr>
              <w:pStyle w:val="tabelKop"/>
            </w:pPr>
            <w:r w:rsidRPr="005F7947">
              <w:t xml:space="preserve">Vervoer </w:t>
            </w:r>
            <w:r w:rsidRPr="00444CCB">
              <w:t>van/naar Nederland</w:t>
            </w:r>
          </w:p>
          <w:p w14:paraId="4211A952" w14:textId="0DB693FE" w:rsidR="00B744CF" w:rsidRPr="005F7947" w:rsidRDefault="00B744CF" w:rsidP="00444CCB">
            <w:pPr>
              <w:pStyle w:val="tabelKop"/>
            </w:pPr>
            <w:r w:rsidRPr="00444CCB">
              <w:t>(miljoen ton)</w:t>
            </w:r>
          </w:p>
        </w:tc>
      </w:tr>
      <w:tr w:rsidR="005F7947" w:rsidRPr="005F7947" w14:paraId="46DF30FB" w14:textId="77777777" w:rsidTr="000D2FB8">
        <w:trPr>
          <w:trHeight w:hRule="exact" w:val="567"/>
        </w:trPr>
        <w:tc>
          <w:tcPr>
            <w:tcW w:w="980" w:type="dxa"/>
            <w:vMerge/>
            <w:tcBorders>
              <w:bottom w:val="single" w:sz="4" w:space="0" w:color="000000"/>
            </w:tcBorders>
          </w:tcPr>
          <w:p w14:paraId="2CA2F69D" w14:textId="77777777" w:rsidR="00B744CF" w:rsidRPr="005F7947" w:rsidRDefault="00B744CF" w:rsidP="00B744CF">
            <w:pPr>
              <w:contextualSpacing/>
              <w:jc w:val="center"/>
              <w:rPr>
                <w:rFonts w:eastAsia="Calibri" w:cs="Times New Roman"/>
                <w:color w:val="auto"/>
                <w:sz w:val="20"/>
                <w:szCs w:val="20"/>
              </w:rPr>
            </w:pPr>
          </w:p>
        </w:tc>
        <w:tc>
          <w:tcPr>
            <w:tcW w:w="1093" w:type="dxa"/>
            <w:tcBorders>
              <w:bottom w:val="single" w:sz="4" w:space="0" w:color="000000"/>
            </w:tcBorders>
          </w:tcPr>
          <w:p w14:paraId="02DBB058"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Gelost in Nederland</w:t>
            </w:r>
          </w:p>
        </w:tc>
        <w:tc>
          <w:tcPr>
            <w:tcW w:w="1094" w:type="dxa"/>
            <w:tcBorders>
              <w:bottom w:val="single" w:sz="4" w:space="0" w:color="000000"/>
            </w:tcBorders>
          </w:tcPr>
          <w:p w14:paraId="4108C223"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 xml:space="preserve">Geladen in Nederland </w:t>
            </w:r>
          </w:p>
        </w:tc>
        <w:tc>
          <w:tcPr>
            <w:tcW w:w="1057" w:type="dxa"/>
            <w:tcBorders>
              <w:bottom w:val="single" w:sz="4" w:space="0" w:color="000000"/>
            </w:tcBorders>
          </w:tcPr>
          <w:p w14:paraId="080C8BF7"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Doorvoer</w:t>
            </w:r>
          </w:p>
        </w:tc>
        <w:tc>
          <w:tcPr>
            <w:tcW w:w="914" w:type="dxa"/>
            <w:tcBorders>
              <w:bottom w:val="single" w:sz="4" w:space="0" w:color="000000"/>
            </w:tcBorders>
          </w:tcPr>
          <w:p w14:paraId="646245A4"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Totaal</w:t>
            </w:r>
          </w:p>
        </w:tc>
        <w:tc>
          <w:tcPr>
            <w:tcW w:w="1483" w:type="dxa"/>
            <w:tcBorders>
              <w:bottom w:val="single" w:sz="4" w:space="0" w:color="000000"/>
            </w:tcBorders>
          </w:tcPr>
          <w:p w14:paraId="29168649"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Stroomafwaarts</w:t>
            </w:r>
          </w:p>
        </w:tc>
        <w:tc>
          <w:tcPr>
            <w:tcW w:w="1527" w:type="dxa"/>
            <w:tcBorders>
              <w:bottom w:val="single" w:sz="4" w:space="0" w:color="000000"/>
            </w:tcBorders>
          </w:tcPr>
          <w:p w14:paraId="602A72F6"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Stroomopwaarts</w:t>
            </w:r>
          </w:p>
        </w:tc>
        <w:tc>
          <w:tcPr>
            <w:tcW w:w="914" w:type="dxa"/>
            <w:tcBorders>
              <w:bottom w:val="single" w:sz="4" w:space="0" w:color="000000"/>
            </w:tcBorders>
          </w:tcPr>
          <w:p w14:paraId="57893C67"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Totaal</w:t>
            </w:r>
          </w:p>
        </w:tc>
      </w:tr>
      <w:tr w:rsidR="005F7947" w:rsidRPr="005F7947" w14:paraId="19C32DF6" w14:textId="77777777" w:rsidTr="000D2FB8">
        <w:trPr>
          <w:trHeight w:hRule="exact" w:val="284"/>
        </w:trPr>
        <w:tc>
          <w:tcPr>
            <w:tcW w:w="980" w:type="dxa"/>
            <w:tcBorders>
              <w:bottom w:val="nil"/>
            </w:tcBorders>
          </w:tcPr>
          <w:p w14:paraId="7B66E6CB"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1880</w:t>
            </w:r>
          </w:p>
        </w:tc>
        <w:tc>
          <w:tcPr>
            <w:tcW w:w="1093" w:type="dxa"/>
            <w:tcBorders>
              <w:bottom w:val="nil"/>
            </w:tcBorders>
          </w:tcPr>
          <w:p w14:paraId="35B1033E" w14:textId="77777777" w:rsidR="00B744CF" w:rsidRPr="005F7947" w:rsidRDefault="00B744CF" w:rsidP="00BB2007">
            <w:pPr>
              <w:pStyle w:val="tabelNummers"/>
            </w:pPr>
            <w:r w:rsidRPr="005F7947">
              <w:t>4</w:t>
            </w:r>
          </w:p>
        </w:tc>
        <w:tc>
          <w:tcPr>
            <w:tcW w:w="1094" w:type="dxa"/>
            <w:tcBorders>
              <w:bottom w:val="nil"/>
            </w:tcBorders>
          </w:tcPr>
          <w:p w14:paraId="62D620FC" w14:textId="77777777" w:rsidR="00B744CF" w:rsidRPr="005F7947" w:rsidRDefault="00B744CF" w:rsidP="00BB2007">
            <w:pPr>
              <w:pStyle w:val="tabelNummers"/>
            </w:pPr>
            <w:r w:rsidRPr="005F7947">
              <w:t>2</w:t>
            </w:r>
          </w:p>
        </w:tc>
        <w:tc>
          <w:tcPr>
            <w:tcW w:w="1057" w:type="dxa"/>
            <w:tcBorders>
              <w:bottom w:val="nil"/>
            </w:tcBorders>
          </w:tcPr>
          <w:p w14:paraId="4BBC5DFB" w14:textId="77777777" w:rsidR="00B744CF" w:rsidRPr="005F7947" w:rsidRDefault="00B744CF" w:rsidP="00BB2007">
            <w:pPr>
              <w:pStyle w:val="tabelNummers"/>
            </w:pPr>
            <w:r w:rsidRPr="005F7947">
              <w:t>-</w:t>
            </w:r>
          </w:p>
        </w:tc>
        <w:tc>
          <w:tcPr>
            <w:tcW w:w="914" w:type="dxa"/>
            <w:tcBorders>
              <w:bottom w:val="nil"/>
            </w:tcBorders>
          </w:tcPr>
          <w:p w14:paraId="146E3862" w14:textId="77777777" w:rsidR="00B744CF" w:rsidRPr="005F7947" w:rsidRDefault="00B744CF" w:rsidP="00BB2007">
            <w:pPr>
              <w:pStyle w:val="tabelNummers"/>
            </w:pPr>
            <w:r w:rsidRPr="005F7947">
              <w:t>6</w:t>
            </w:r>
          </w:p>
        </w:tc>
        <w:tc>
          <w:tcPr>
            <w:tcW w:w="1483" w:type="dxa"/>
            <w:tcBorders>
              <w:bottom w:val="nil"/>
            </w:tcBorders>
          </w:tcPr>
          <w:p w14:paraId="6375C50A" w14:textId="77777777" w:rsidR="00B744CF" w:rsidRPr="005F7947" w:rsidRDefault="00B744CF" w:rsidP="00BB2007">
            <w:pPr>
              <w:pStyle w:val="tabelNummers"/>
            </w:pPr>
            <w:r w:rsidRPr="005F7947">
              <w:t>2</w:t>
            </w:r>
          </w:p>
        </w:tc>
        <w:tc>
          <w:tcPr>
            <w:tcW w:w="1527" w:type="dxa"/>
            <w:tcBorders>
              <w:bottom w:val="nil"/>
            </w:tcBorders>
          </w:tcPr>
          <w:p w14:paraId="38150EBD" w14:textId="77777777" w:rsidR="00B744CF" w:rsidRPr="005F7947" w:rsidRDefault="00B744CF" w:rsidP="00BB2007">
            <w:pPr>
              <w:pStyle w:val="tabelNummers"/>
            </w:pPr>
            <w:r w:rsidRPr="005F7947">
              <w:t>1</w:t>
            </w:r>
          </w:p>
        </w:tc>
        <w:tc>
          <w:tcPr>
            <w:tcW w:w="914" w:type="dxa"/>
            <w:tcBorders>
              <w:bottom w:val="nil"/>
            </w:tcBorders>
          </w:tcPr>
          <w:p w14:paraId="1AE3370A" w14:textId="77777777" w:rsidR="00B744CF" w:rsidRPr="005F7947" w:rsidRDefault="00B744CF" w:rsidP="00BB2007">
            <w:pPr>
              <w:pStyle w:val="tabelNummers"/>
            </w:pPr>
            <w:r w:rsidRPr="005F7947">
              <w:t>4</w:t>
            </w:r>
          </w:p>
        </w:tc>
      </w:tr>
      <w:tr w:rsidR="005F7947" w:rsidRPr="005F7947" w14:paraId="255D9F8E" w14:textId="77777777" w:rsidTr="000D2FB8">
        <w:trPr>
          <w:trHeight w:hRule="exact" w:val="284"/>
        </w:trPr>
        <w:tc>
          <w:tcPr>
            <w:tcW w:w="980" w:type="dxa"/>
            <w:tcBorders>
              <w:top w:val="nil"/>
              <w:bottom w:val="nil"/>
            </w:tcBorders>
          </w:tcPr>
          <w:p w14:paraId="6FC6FA1A"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1900</w:t>
            </w:r>
          </w:p>
        </w:tc>
        <w:tc>
          <w:tcPr>
            <w:tcW w:w="1093" w:type="dxa"/>
            <w:tcBorders>
              <w:top w:val="nil"/>
              <w:bottom w:val="nil"/>
            </w:tcBorders>
          </w:tcPr>
          <w:p w14:paraId="3F759914" w14:textId="77777777" w:rsidR="00B744CF" w:rsidRPr="005F7947" w:rsidRDefault="00B744CF" w:rsidP="00BB2007">
            <w:pPr>
              <w:pStyle w:val="tabelNummers"/>
            </w:pPr>
            <w:r w:rsidRPr="005F7947">
              <w:t>7</w:t>
            </w:r>
          </w:p>
        </w:tc>
        <w:tc>
          <w:tcPr>
            <w:tcW w:w="1094" w:type="dxa"/>
            <w:tcBorders>
              <w:top w:val="nil"/>
              <w:bottom w:val="nil"/>
            </w:tcBorders>
          </w:tcPr>
          <w:p w14:paraId="1D7E61D2" w14:textId="77777777" w:rsidR="00B744CF" w:rsidRPr="005F7947" w:rsidRDefault="00B744CF" w:rsidP="00BB2007">
            <w:pPr>
              <w:pStyle w:val="tabelNummers"/>
            </w:pPr>
            <w:r w:rsidRPr="005F7947">
              <w:t>12</w:t>
            </w:r>
          </w:p>
        </w:tc>
        <w:tc>
          <w:tcPr>
            <w:tcW w:w="1057" w:type="dxa"/>
            <w:tcBorders>
              <w:top w:val="nil"/>
              <w:bottom w:val="nil"/>
            </w:tcBorders>
          </w:tcPr>
          <w:p w14:paraId="147B68B1" w14:textId="77777777" w:rsidR="00B744CF" w:rsidRPr="005F7947" w:rsidRDefault="00B744CF" w:rsidP="00BB2007">
            <w:pPr>
              <w:pStyle w:val="tabelNummers"/>
            </w:pPr>
            <w:r w:rsidRPr="005F7947">
              <w:t>4</w:t>
            </w:r>
          </w:p>
        </w:tc>
        <w:tc>
          <w:tcPr>
            <w:tcW w:w="914" w:type="dxa"/>
            <w:tcBorders>
              <w:top w:val="nil"/>
              <w:bottom w:val="nil"/>
            </w:tcBorders>
          </w:tcPr>
          <w:p w14:paraId="5D6C1901" w14:textId="77777777" w:rsidR="00B744CF" w:rsidRPr="005F7947" w:rsidRDefault="00B744CF" w:rsidP="00BB2007">
            <w:pPr>
              <w:pStyle w:val="tabelNummers"/>
            </w:pPr>
            <w:r w:rsidRPr="005F7947">
              <w:t>23</w:t>
            </w:r>
          </w:p>
        </w:tc>
        <w:tc>
          <w:tcPr>
            <w:tcW w:w="1483" w:type="dxa"/>
            <w:tcBorders>
              <w:top w:val="nil"/>
              <w:bottom w:val="nil"/>
            </w:tcBorders>
          </w:tcPr>
          <w:p w14:paraId="170818E0" w14:textId="77777777" w:rsidR="00B744CF" w:rsidRPr="005F7947" w:rsidRDefault="00B744CF" w:rsidP="00BB2007">
            <w:pPr>
              <w:pStyle w:val="tabelNummers"/>
            </w:pPr>
            <w:r w:rsidRPr="005F7947">
              <w:t>4</w:t>
            </w:r>
          </w:p>
        </w:tc>
        <w:tc>
          <w:tcPr>
            <w:tcW w:w="1527" w:type="dxa"/>
            <w:tcBorders>
              <w:top w:val="nil"/>
              <w:bottom w:val="nil"/>
            </w:tcBorders>
          </w:tcPr>
          <w:p w14:paraId="2CAF173A" w14:textId="77777777" w:rsidR="00B744CF" w:rsidRPr="005F7947" w:rsidRDefault="00B744CF" w:rsidP="00BB2007">
            <w:pPr>
              <w:pStyle w:val="tabelNummers"/>
            </w:pPr>
            <w:r w:rsidRPr="005F7947">
              <w:t>9</w:t>
            </w:r>
          </w:p>
        </w:tc>
        <w:tc>
          <w:tcPr>
            <w:tcW w:w="914" w:type="dxa"/>
            <w:tcBorders>
              <w:top w:val="nil"/>
              <w:bottom w:val="nil"/>
            </w:tcBorders>
          </w:tcPr>
          <w:p w14:paraId="541ADB58" w14:textId="77777777" w:rsidR="00B744CF" w:rsidRPr="005F7947" w:rsidRDefault="00B744CF" w:rsidP="00BB2007">
            <w:pPr>
              <w:pStyle w:val="tabelNummers"/>
            </w:pPr>
            <w:r w:rsidRPr="005F7947">
              <w:t>13</w:t>
            </w:r>
          </w:p>
        </w:tc>
      </w:tr>
      <w:tr w:rsidR="005F7947" w:rsidRPr="005F7947" w14:paraId="649B73C6" w14:textId="77777777" w:rsidTr="000D2FB8">
        <w:trPr>
          <w:trHeight w:hRule="exact" w:val="284"/>
        </w:trPr>
        <w:tc>
          <w:tcPr>
            <w:tcW w:w="980" w:type="dxa"/>
            <w:tcBorders>
              <w:top w:val="nil"/>
              <w:bottom w:val="nil"/>
            </w:tcBorders>
          </w:tcPr>
          <w:p w14:paraId="13BEC33C"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1910</w:t>
            </w:r>
          </w:p>
        </w:tc>
        <w:tc>
          <w:tcPr>
            <w:tcW w:w="1093" w:type="dxa"/>
            <w:tcBorders>
              <w:top w:val="nil"/>
              <w:bottom w:val="nil"/>
            </w:tcBorders>
          </w:tcPr>
          <w:p w14:paraId="18549490" w14:textId="77777777" w:rsidR="00B744CF" w:rsidRPr="005F7947" w:rsidRDefault="00B744CF" w:rsidP="00BB2007">
            <w:pPr>
              <w:pStyle w:val="tabelNummers"/>
              <w:rPr>
                <w:rFonts w:eastAsia="Calibri"/>
              </w:rPr>
            </w:pPr>
            <w:r w:rsidRPr="005F7947">
              <w:t>19</w:t>
            </w:r>
          </w:p>
        </w:tc>
        <w:tc>
          <w:tcPr>
            <w:tcW w:w="1094" w:type="dxa"/>
            <w:tcBorders>
              <w:top w:val="nil"/>
              <w:bottom w:val="nil"/>
            </w:tcBorders>
          </w:tcPr>
          <w:p w14:paraId="7FD421E3" w14:textId="77777777" w:rsidR="00B744CF" w:rsidRPr="005F7947" w:rsidRDefault="00B744CF" w:rsidP="00BB2007">
            <w:pPr>
              <w:pStyle w:val="tabelNummers"/>
              <w:rPr>
                <w:rFonts w:eastAsia="Calibri"/>
              </w:rPr>
            </w:pPr>
            <w:r w:rsidRPr="005F7947">
              <w:t>24</w:t>
            </w:r>
          </w:p>
        </w:tc>
        <w:tc>
          <w:tcPr>
            <w:tcW w:w="1057" w:type="dxa"/>
            <w:tcBorders>
              <w:top w:val="nil"/>
              <w:bottom w:val="nil"/>
            </w:tcBorders>
          </w:tcPr>
          <w:p w14:paraId="08250FE8" w14:textId="77777777" w:rsidR="00B744CF" w:rsidRPr="005F7947" w:rsidRDefault="00B744CF" w:rsidP="00BB2007">
            <w:pPr>
              <w:pStyle w:val="tabelNummers"/>
              <w:rPr>
                <w:rFonts w:eastAsia="Calibri"/>
              </w:rPr>
            </w:pPr>
            <w:r w:rsidRPr="005F7947">
              <w:t>5</w:t>
            </w:r>
          </w:p>
        </w:tc>
        <w:tc>
          <w:tcPr>
            <w:tcW w:w="914" w:type="dxa"/>
            <w:tcBorders>
              <w:top w:val="nil"/>
              <w:bottom w:val="nil"/>
            </w:tcBorders>
          </w:tcPr>
          <w:p w14:paraId="10DFF64D" w14:textId="77777777" w:rsidR="00B744CF" w:rsidRPr="005F7947" w:rsidRDefault="00B744CF" w:rsidP="00BB2007">
            <w:pPr>
              <w:pStyle w:val="tabelNummers"/>
              <w:rPr>
                <w:rFonts w:eastAsia="Calibri"/>
              </w:rPr>
            </w:pPr>
            <w:r w:rsidRPr="005F7947">
              <w:t>48</w:t>
            </w:r>
          </w:p>
        </w:tc>
        <w:tc>
          <w:tcPr>
            <w:tcW w:w="1483" w:type="dxa"/>
            <w:tcBorders>
              <w:top w:val="nil"/>
              <w:bottom w:val="nil"/>
            </w:tcBorders>
          </w:tcPr>
          <w:p w14:paraId="7AF8923B" w14:textId="77777777" w:rsidR="00B744CF" w:rsidRPr="005F7947" w:rsidRDefault="00B744CF" w:rsidP="00BB2007">
            <w:pPr>
              <w:pStyle w:val="tabelNummers"/>
              <w:rPr>
                <w:rFonts w:eastAsia="Calibri"/>
              </w:rPr>
            </w:pPr>
            <w:r w:rsidRPr="005F7947">
              <w:t>13</w:t>
            </w:r>
          </w:p>
        </w:tc>
        <w:tc>
          <w:tcPr>
            <w:tcW w:w="1527" w:type="dxa"/>
            <w:tcBorders>
              <w:top w:val="nil"/>
              <w:bottom w:val="nil"/>
            </w:tcBorders>
          </w:tcPr>
          <w:p w14:paraId="2D0ECC5C" w14:textId="77777777" w:rsidR="00B744CF" w:rsidRPr="005F7947" w:rsidRDefault="00B744CF" w:rsidP="00BB2007">
            <w:pPr>
              <w:pStyle w:val="tabelNummers"/>
              <w:rPr>
                <w:rFonts w:eastAsia="Calibri"/>
              </w:rPr>
            </w:pPr>
            <w:r w:rsidRPr="005F7947">
              <w:t>17</w:t>
            </w:r>
          </w:p>
        </w:tc>
        <w:tc>
          <w:tcPr>
            <w:tcW w:w="914" w:type="dxa"/>
            <w:tcBorders>
              <w:top w:val="nil"/>
              <w:bottom w:val="nil"/>
            </w:tcBorders>
          </w:tcPr>
          <w:p w14:paraId="2BC2A0B1" w14:textId="77777777" w:rsidR="00B744CF" w:rsidRPr="005F7947" w:rsidRDefault="00B744CF" w:rsidP="00BB2007">
            <w:pPr>
              <w:pStyle w:val="tabelNummers"/>
              <w:rPr>
                <w:rFonts w:eastAsia="Calibri"/>
              </w:rPr>
            </w:pPr>
            <w:r w:rsidRPr="005F7947">
              <w:t>30</w:t>
            </w:r>
          </w:p>
        </w:tc>
      </w:tr>
      <w:tr w:rsidR="005F7947" w:rsidRPr="005F7947" w14:paraId="33442A8D" w14:textId="77777777" w:rsidTr="000D2FB8">
        <w:trPr>
          <w:trHeight w:hRule="exact" w:val="284"/>
        </w:trPr>
        <w:tc>
          <w:tcPr>
            <w:tcW w:w="980" w:type="dxa"/>
            <w:tcBorders>
              <w:top w:val="nil"/>
              <w:bottom w:val="nil"/>
            </w:tcBorders>
          </w:tcPr>
          <w:p w14:paraId="3AB56C17"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1920</w:t>
            </w:r>
          </w:p>
        </w:tc>
        <w:tc>
          <w:tcPr>
            <w:tcW w:w="1093" w:type="dxa"/>
            <w:tcBorders>
              <w:top w:val="nil"/>
              <w:bottom w:val="nil"/>
            </w:tcBorders>
          </w:tcPr>
          <w:p w14:paraId="5D007D2E" w14:textId="77777777" w:rsidR="00B744CF" w:rsidRPr="005F7947" w:rsidRDefault="00B744CF" w:rsidP="00BB2007">
            <w:pPr>
              <w:pStyle w:val="tabelNummers"/>
              <w:rPr>
                <w:rFonts w:eastAsia="Calibri"/>
              </w:rPr>
            </w:pPr>
            <w:r w:rsidRPr="005F7947">
              <w:t>7</w:t>
            </w:r>
          </w:p>
        </w:tc>
        <w:tc>
          <w:tcPr>
            <w:tcW w:w="1094" w:type="dxa"/>
            <w:tcBorders>
              <w:top w:val="nil"/>
              <w:bottom w:val="nil"/>
            </w:tcBorders>
          </w:tcPr>
          <w:p w14:paraId="76CF2AD8" w14:textId="77777777" w:rsidR="00B744CF" w:rsidRPr="005F7947" w:rsidRDefault="00B744CF" w:rsidP="00BB2007">
            <w:pPr>
              <w:pStyle w:val="tabelNummers"/>
              <w:rPr>
                <w:rFonts w:eastAsia="Calibri"/>
              </w:rPr>
            </w:pPr>
            <w:r w:rsidRPr="005F7947">
              <w:t>5</w:t>
            </w:r>
          </w:p>
        </w:tc>
        <w:tc>
          <w:tcPr>
            <w:tcW w:w="1057" w:type="dxa"/>
            <w:tcBorders>
              <w:top w:val="nil"/>
              <w:bottom w:val="nil"/>
            </w:tcBorders>
          </w:tcPr>
          <w:p w14:paraId="04AB9835" w14:textId="77777777" w:rsidR="00B744CF" w:rsidRPr="005F7947" w:rsidRDefault="00B744CF" w:rsidP="00BB2007">
            <w:pPr>
              <w:pStyle w:val="tabelNummers"/>
              <w:rPr>
                <w:rFonts w:eastAsia="Calibri"/>
              </w:rPr>
            </w:pPr>
            <w:r w:rsidRPr="005F7947">
              <w:t>5</w:t>
            </w:r>
          </w:p>
        </w:tc>
        <w:tc>
          <w:tcPr>
            <w:tcW w:w="914" w:type="dxa"/>
            <w:tcBorders>
              <w:top w:val="nil"/>
              <w:bottom w:val="nil"/>
            </w:tcBorders>
          </w:tcPr>
          <w:p w14:paraId="45FAE6EB" w14:textId="77777777" w:rsidR="00B744CF" w:rsidRPr="005F7947" w:rsidRDefault="00B744CF" w:rsidP="00BB2007">
            <w:pPr>
              <w:pStyle w:val="tabelNummers"/>
              <w:rPr>
                <w:rFonts w:eastAsia="Calibri"/>
              </w:rPr>
            </w:pPr>
            <w:r w:rsidRPr="005F7947">
              <w:t>17</w:t>
            </w:r>
          </w:p>
        </w:tc>
        <w:tc>
          <w:tcPr>
            <w:tcW w:w="1483" w:type="dxa"/>
            <w:tcBorders>
              <w:top w:val="nil"/>
              <w:bottom w:val="nil"/>
            </w:tcBorders>
          </w:tcPr>
          <w:p w14:paraId="4579B204" w14:textId="77777777" w:rsidR="00B744CF" w:rsidRPr="005F7947" w:rsidRDefault="00B744CF" w:rsidP="00BB2007">
            <w:pPr>
              <w:pStyle w:val="tabelNummers"/>
              <w:rPr>
                <w:rFonts w:eastAsia="Calibri"/>
              </w:rPr>
            </w:pPr>
            <w:r w:rsidRPr="005F7947">
              <w:t>7</w:t>
            </w:r>
          </w:p>
        </w:tc>
        <w:tc>
          <w:tcPr>
            <w:tcW w:w="1527" w:type="dxa"/>
            <w:tcBorders>
              <w:top w:val="nil"/>
              <w:bottom w:val="nil"/>
            </w:tcBorders>
          </w:tcPr>
          <w:p w14:paraId="68AF2BD3" w14:textId="77777777" w:rsidR="00B744CF" w:rsidRPr="005F7947" w:rsidRDefault="00B744CF" w:rsidP="00BB2007">
            <w:pPr>
              <w:pStyle w:val="tabelNummers"/>
              <w:rPr>
                <w:rFonts w:eastAsia="Calibri"/>
              </w:rPr>
            </w:pPr>
            <w:r w:rsidRPr="005F7947">
              <w:rPr>
                <w:rFonts w:eastAsia="Calibri"/>
              </w:rPr>
              <w:t>6</w:t>
            </w:r>
          </w:p>
        </w:tc>
        <w:tc>
          <w:tcPr>
            <w:tcW w:w="914" w:type="dxa"/>
            <w:tcBorders>
              <w:top w:val="nil"/>
              <w:bottom w:val="nil"/>
            </w:tcBorders>
          </w:tcPr>
          <w:p w14:paraId="23313ED5" w14:textId="77777777" w:rsidR="00B744CF" w:rsidRPr="005F7947" w:rsidRDefault="00B744CF" w:rsidP="00BB2007">
            <w:pPr>
              <w:pStyle w:val="tabelNummers"/>
              <w:rPr>
                <w:rFonts w:eastAsia="Calibri"/>
              </w:rPr>
            </w:pPr>
            <w:r w:rsidRPr="005F7947">
              <w:t>13</w:t>
            </w:r>
          </w:p>
        </w:tc>
      </w:tr>
      <w:tr w:rsidR="005F7947" w:rsidRPr="005F7947" w14:paraId="54C8B025" w14:textId="77777777" w:rsidTr="000D2FB8">
        <w:trPr>
          <w:trHeight w:hRule="exact" w:val="284"/>
        </w:trPr>
        <w:tc>
          <w:tcPr>
            <w:tcW w:w="980" w:type="dxa"/>
            <w:tcBorders>
              <w:top w:val="nil"/>
              <w:bottom w:val="nil"/>
            </w:tcBorders>
          </w:tcPr>
          <w:p w14:paraId="59212D67" w14:textId="77777777" w:rsidR="00B744CF" w:rsidRPr="005F7947" w:rsidRDefault="00B744CF" w:rsidP="00B744CF">
            <w:pPr>
              <w:contextualSpacing/>
              <w:jc w:val="center"/>
              <w:rPr>
                <w:rFonts w:eastAsia="Calibri" w:cs="Times New Roman"/>
                <w:color w:val="auto"/>
                <w:sz w:val="20"/>
                <w:szCs w:val="20"/>
              </w:rPr>
            </w:pPr>
            <w:r w:rsidRPr="005F7947">
              <w:rPr>
                <w:color w:val="auto"/>
                <w:sz w:val="20"/>
                <w:szCs w:val="20"/>
              </w:rPr>
              <w:t>1930</w:t>
            </w:r>
          </w:p>
        </w:tc>
        <w:tc>
          <w:tcPr>
            <w:tcW w:w="1093" w:type="dxa"/>
            <w:tcBorders>
              <w:top w:val="nil"/>
              <w:bottom w:val="nil"/>
            </w:tcBorders>
          </w:tcPr>
          <w:p w14:paraId="68D79B83" w14:textId="77777777" w:rsidR="00B744CF" w:rsidRPr="005F7947" w:rsidRDefault="00B744CF" w:rsidP="00BB2007">
            <w:pPr>
              <w:pStyle w:val="tabelNummers"/>
              <w:rPr>
                <w:rFonts w:eastAsia="Calibri"/>
              </w:rPr>
            </w:pPr>
            <w:r w:rsidRPr="005F7947">
              <w:t>25</w:t>
            </w:r>
          </w:p>
        </w:tc>
        <w:tc>
          <w:tcPr>
            <w:tcW w:w="1094" w:type="dxa"/>
            <w:tcBorders>
              <w:top w:val="nil"/>
              <w:bottom w:val="nil"/>
            </w:tcBorders>
          </w:tcPr>
          <w:p w14:paraId="3275DB4A" w14:textId="77777777" w:rsidR="00B744CF" w:rsidRPr="005F7947" w:rsidRDefault="00B744CF" w:rsidP="00BB2007">
            <w:pPr>
              <w:pStyle w:val="tabelNummers"/>
              <w:rPr>
                <w:rFonts w:eastAsia="Calibri"/>
              </w:rPr>
            </w:pPr>
            <w:r w:rsidRPr="005F7947">
              <w:t>23</w:t>
            </w:r>
          </w:p>
        </w:tc>
        <w:tc>
          <w:tcPr>
            <w:tcW w:w="1057" w:type="dxa"/>
            <w:tcBorders>
              <w:top w:val="nil"/>
              <w:bottom w:val="nil"/>
            </w:tcBorders>
          </w:tcPr>
          <w:p w14:paraId="6E6A7288" w14:textId="77777777" w:rsidR="00B744CF" w:rsidRPr="005F7947" w:rsidRDefault="00B744CF" w:rsidP="00BB2007">
            <w:pPr>
              <w:pStyle w:val="tabelNummers"/>
              <w:rPr>
                <w:rFonts w:eastAsia="Calibri"/>
              </w:rPr>
            </w:pPr>
            <w:r w:rsidRPr="005F7947">
              <w:t>13</w:t>
            </w:r>
          </w:p>
        </w:tc>
        <w:tc>
          <w:tcPr>
            <w:tcW w:w="914" w:type="dxa"/>
            <w:tcBorders>
              <w:top w:val="nil"/>
              <w:bottom w:val="nil"/>
            </w:tcBorders>
          </w:tcPr>
          <w:p w14:paraId="04B8C4A5" w14:textId="77777777" w:rsidR="00B744CF" w:rsidRPr="005F7947" w:rsidRDefault="00B744CF" w:rsidP="00BB2007">
            <w:pPr>
              <w:pStyle w:val="tabelNummers"/>
              <w:rPr>
                <w:rFonts w:eastAsia="Calibri"/>
              </w:rPr>
            </w:pPr>
            <w:r w:rsidRPr="005F7947">
              <w:t>61</w:t>
            </w:r>
          </w:p>
        </w:tc>
        <w:tc>
          <w:tcPr>
            <w:tcW w:w="1483" w:type="dxa"/>
            <w:tcBorders>
              <w:top w:val="nil"/>
              <w:bottom w:val="nil"/>
            </w:tcBorders>
          </w:tcPr>
          <w:p w14:paraId="3F5C9D85" w14:textId="77777777" w:rsidR="00B744CF" w:rsidRPr="005F7947" w:rsidRDefault="00B744CF" w:rsidP="00BB2007">
            <w:pPr>
              <w:pStyle w:val="tabelNummers"/>
              <w:rPr>
                <w:rFonts w:eastAsia="Calibri"/>
              </w:rPr>
            </w:pPr>
            <w:r w:rsidRPr="005F7947">
              <w:t>30</w:t>
            </w:r>
          </w:p>
        </w:tc>
        <w:tc>
          <w:tcPr>
            <w:tcW w:w="1527" w:type="dxa"/>
            <w:tcBorders>
              <w:top w:val="nil"/>
              <w:bottom w:val="nil"/>
            </w:tcBorders>
          </w:tcPr>
          <w:p w14:paraId="5F13DE44" w14:textId="77777777" w:rsidR="00B744CF" w:rsidRPr="005F7947" w:rsidRDefault="00B744CF" w:rsidP="00BB2007">
            <w:pPr>
              <w:pStyle w:val="tabelNummers"/>
              <w:rPr>
                <w:rFonts w:eastAsia="Calibri"/>
              </w:rPr>
            </w:pPr>
            <w:r w:rsidRPr="005F7947">
              <w:t>22</w:t>
            </w:r>
          </w:p>
        </w:tc>
        <w:tc>
          <w:tcPr>
            <w:tcW w:w="914" w:type="dxa"/>
            <w:tcBorders>
              <w:top w:val="nil"/>
              <w:bottom w:val="nil"/>
            </w:tcBorders>
          </w:tcPr>
          <w:p w14:paraId="1842C693" w14:textId="77777777" w:rsidR="00B744CF" w:rsidRPr="005F7947" w:rsidRDefault="00B744CF" w:rsidP="00BB2007">
            <w:pPr>
              <w:pStyle w:val="tabelNummers"/>
              <w:rPr>
                <w:rFonts w:eastAsia="Calibri"/>
              </w:rPr>
            </w:pPr>
            <w:r w:rsidRPr="005F7947">
              <w:t>52</w:t>
            </w:r>
          </w:p>
        </w:tc>
      </w:tr>
      <w:tr w:rsidR="005F7947" w:rsidRPr="005F7947" w14:paraId="5211DCA7" w14:textId="77777777" w:rsidTr="000D2FB8">
        <w:trPr>
          <w:trHeight w:hRule="exact" w:val="284"/>
        </w:trPr>
        <w:tc>
          <w:tcPr>
            <w:tcW w:w="980" w:type="dxa"/>
            <w:tcBorders>
              <w:top w:val="nil"/>
              <w:bottom w:val="nil"/>
            </w:tcBorders>
          </w:tcPr>
          <w:p w14:paraId="321A64DE"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1938</w:t>
            </w:r>
          </w:p>
        </w:tc>
        <w:tc>
          <w:tcPr>
            <w:tcW w:w="1093" w:type="dxa"/>
            <w:tcBorders>
              <w:top w:val="nil"/>
              <w:bottom w:val="nil"/>
            </w:tcBorders>
          </w:tcPr>
          <w:p w14:paraId="399C61EE" w14:textId="77777777" w:rsidR="00B744CF" w:rsidRPr="005F7947" w:rsidRDefault="00B744CF" w:rsidP="00BB2007">
            <w:pPr>
              <w:pStyle w:val="tabelNummers"/>
              <w:rPr>
                <w:rFonts w:eastAsia="Calibri"/>
              </w:rPr>
            </w:pPr>
            <w:r w:rsidRPr="005F7947">
              <w:rPr>
                <w:rFonts w:eastAsia="Calibri"/>
              </w:rPr>
              <w:t>25</w:t>
            </w:r>
          </w:p>
        </w:tc>
        <w:tc>
          <w:tcPr>
            <w:tcW w:w="1094" w:type="dxa"/>
            <w:tcBorders>
              <w:top w:val="nil"/>
              <w:bottom w:val="nil"/>
            </w:tcBorders>
          </w:tcPr>
          <w:p w14:paraId="3F65B3AA" w14:textId="77777777" w:rsidR="00B744CF" w:rsidRPr="005F7947" w:rsidRDefault="00B744CF" w:rsidP="00BB2007">
            <w:pPr>
              <w:pStyle w:val="tabelNummers"/>
              <w:rPr>
                <w:rFonts w:eastAsia="Calibri"/>
              </w:rPr>
            </w:pPr>
            <w:r w:rsidRPr="005F7947">
              <w:rPr>
                <w:rFonts w:eastAsia="Calibri"/>
              </w:rPr>
              <w:t>27</w:t>
            </w:r>
          </w:p>
        </w:tc>
        <w:tc>
          <w:tcPr>
            <w:tcW w:w="1057" w:type="dxa"/>
            <w:tcBorders>
              <w:top w:val="nil"/>
              <w:bottom w:val="nil"/>
            </w:tcBorders>
          </w:tcPr>
          <w:p w14:paraId="3BAA502F" w14:textId="77777777" w:rsidR="00B744CF" w:rsidRPr="005F7947" w:rsidRDefault="00B744CF" w:rsidP="00BB2007">
            <w:pPr>
              <w:pStyle w:val="tabelNummers"/>
              <w:rPr>
                <w:rFonts w:eastAsia="Calibri"/>
              </w:rPr>
            </w:pPr>
            <w:r w:rsidRPr="005F7947">
              <w:rPr>
                <w:rFonts w:eastAsia="Calibri"/>
              </w:rPr>
              <w:t>13</w:t>
            </w:r>
          </w:p>
        </w:tc>
        <w:tc>
          <w:tcPr>
            <w:tcW w:w="914" w:type="dxa"/>
            <w:tcBorders>
              <w:top w:val="nil"/>
              <w:bottom w:val="nil"/>
            </w:tcBorders>
          </w:tcPr>
          <w:p w14:paraId="0FD2E33C" w14:textId="77777777" w:rsidR="00B744CF" w:rsidRPr="005F7947" w:rsidRDefault="00B744CF" w:rsidP="00BB2007">
            <w:pPr>
              <w:pStyle w:val="tabelNummers"/>
              <w:rPr>
                <w:rFonts w:eastAsia="Calibri"/>
              </w:rPr>
            </w:pPr>
            <w:r w:rsidRPr="005F7947">
              <w:rPr>
                <w:rFonts w:eastAsia="Calibri"/>
              </w:rPr>
              <w:t>65</w:t>
            </w:r>
          </w:p>
        </w:tc>
        <w:tc>
          <w:tcPr>
            <w:tcW w:w="1483" w:type="dxa"/>
            <w:tcBorders>
              <w:top w:val="nil"/>
              <w:bottom w:val="nil"/>
            </w:tcBorders>
          </w:tcPr>
          <w:p w14:paraId="28642534" w14:textId="77777777" w:rsidR="00B744CF" w:rsidRPr="005F7947" w:rsidRDefault="00B744CF" w:rsidP="00BB2007">
            <w:pPr>
              <w:pStyle w:val="tabelNummers"/>
              <w:rPr>
                <w:rFonts w:eastAsia="Calibri"/>
              </w:rPr>
            </w:pPr>
            <w:r w:rsidRPr="005F7947">
              <w:rPr>
                <w:rFonts w:eastAsia="Calibri"/>
              </w:rPr>
              <w:t>28</w:t>
            </w:r>
          </w:p>
        </w:tc>
        <w:tc>
          <w:tcPr>
            <w:tcW w:w="1527" w:type="dxa"/>
            <w:tcBorders>
              <w:top w:val="nil"/>
              <w:bottom w:val="nil"/>
            </w:tcBorders>
          </w:tcPr>
          <w:p w14:paraId="24F3FC68" w14:textId="77777777" w:rsidR="00B744CF" w:rsidRPr="005F7947" w:rsidRDefault="00B744CF" w:rsidP="00BB2007">
            <w:pPr>
              <w:pStyle w:val="tabelNummers"/>
              <w:rPr>
                <w:rFonts w:eastAsia="Calibri"/>
              </w:rPr>
            </w:pPr>
            <w:r w:rsidRPr="005F7947">
              <w:rPr>
                <w:rFonts w:eastAsia="Calibri"/>
              </w:rPr>
              <w:t>28</w:t>
            </w:r>
          </w:p>
        </w:tc>
        <w:tc>
          <w:tcPr>
            <w:tcW w:w="914" w:type="dxa"/>
            <w:tcBorders>
              <w:top w:val="nil"/>
              <w:bottom w:val="nil"/>
            </w:tcBorders>
          </w:tcPr>
          <w:p w14:paraId="3F26E451" w14:textId="77777777" w:rsidR="00B744CF" w:rsidRPr="005F7947" w:rsidRDefault="00B744CF" w:rsidP="00BB2007">
            <w:pPr>
              <w:pStyle w:val="tabelNummers"/>
              <w:rPr>
                <w:rFonts w:eastAsia="Calibri"/>
              </w:rPr>
            </w:pPr>
            <w:r w:rsidRPr="005F7947">
              <w:rPr>
                <w:rFonts w:eastAsia="Calibri"/>
              </w:rPr>
              <w:t>56</w:t>
            </w:r>
          </w:p>
        </w:tc>
      </w:tr>
      <w:tr w:rsidR="005F7947" w:rsidRPr="005F7947" w14:paraId="3B202283" w14:textId="77777777" w:rsidTr="000D2FB8">
        <w:trPr>
          <w:trHeight w:hRule="exact" w:val="284"/>
        </w:trPr>
        <w:tc>
          <w:tcPr>
            <w:tcW w:w="980" w:type="dxa"/>
            <w:tcBorders>
              <w:top w:val="nil"/>
              <w:bottom w:val="nil"/>
            </w:tcBorders>
          </w:tcPr>
          <w:p w14:paraId="124ADBB8"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1950</w:t>
            </w:r>
          </w:p>
        </w:tc>
        <w:tc>
          <w:tcPr>
            <w:tcW w:w="1093" w:type="dxa"/>
            <w:tcBorders>
              <w:top w:val="nil"/>
              <w:bottom w:val="nil"/>
            </w:tcBorders>
          </w:tcPr>
          <w:p w14:paraId="5CDBEEA5" w14:textId="77777777" w:rsidR="00B744CF" w:rsidRPr="005F7947" w:rsidRDefault="00B744CF" w:rsidP="00BB2007">
            <w:pPr>
              <w:pStyle w:val="tabelNummers"/>
              <w:rPr>
                <w:rFonts w:eastAsia="Calibri"/>
              </w:rPr>
            </w:pPr>
            <w:r w:rsidRPr="005F7947">
              <w:rPr>
                <w:rFonts w:eastAsia="Calibri"/>
              </w:rPr>
              <w:t>17</w:t>
            </w:r>
          </w:p>
        </w:tc>
        <w:tc>
          <w:tcPr>
            <w:tcW w:w="1094" w:type="dxa"/>
            <w:tcBorders>
              <w:top w:val="nil"/>
              <w:bottom w:val="nil"/>
            </w:tcBorders>
          </w:tcPr>
          <w:p w14:paraId="7C5F10BF" w14:textId="77777777" w:rsidR="00B744CF" w:rsidRPr="005F7947" w:rsidRDefault="00B744CF" w:rsidP="00BB2007">
            <w:pPr>
              <w:pStyle w:val="tabelNummers"/>
              <w:rPr>
                <w:rFonts w:eastAsia="Calibri"/>
              </w:rPr>
            </w:pPr>
            <w:r w:rsidRPr="005F7947">
              <w:rPr>
                <w:rFonts w:eastAsia="Calibri"/>
              </w:rPr>
              <w:t>14</w:t>
            </w:r>
          </w:p>
        </w:tc>
        <w:tc>
          <w:tcPr>
            <w:tcW w:w="1057" w:type="dxa"/>
            <w:tcBorders>
              <w:top w:val="nil"/>
              <w:bottom w:val="nil"/>
            </w:tcBorders>
          </w:tcPr>
          <w:p w14:paraId="6612634C" w14:textId="77777777" w:rsidR="00B744CF" w:rsidRPr="005F7947" w:rsidRDefault="00B744CF" w:rsidP="00BB2007">
            <w:pPr>
              <w:pStyle w:val="tabelNummers"/>
              <w:rPr>
                <w:rFonts w:eastAsia="Calibri"/>
              </w:rPr>
            </w:pPr>
            <w:r w:rsidRPr="005F7947">
              <w:rPr>
                <w:rFonts w:eastAsia="Calibri"/>
              </w:rPr>
              <w:t>8</w:t>
            </w:r>
          </w:p>
        </w:tc>
        <w:tc>
          <w:tcPr>
            <w:tcW w:w="914" w:type="dxa"/>
            <w:tcBorders>
              <w:top w:val="nil"/>
              <w:bottom w:val="nil"/>
            </w:tcBorders>
          </w:tcPr>
          <w:p w14:paraId="6A785ACF" w14:textId="77777777" w:rsidR="00B744CF" w:rsidRPr="005F7947" w:rsidRDefault="00B744CF" w:rsidP="00BB2007">
            <w:pPr>
              <w:pStyle w:val="tabelNummers"/>
              <w:rPr>
                <w:rFonts w:eastAsia="Calibri"/>
              </w:rPr>
            </w:pPr>
            <w:r w:rsidRPr="005F7947">
              <w:rPr>
                <w:rFonts w:eastAsia="Calibri"/>
              </w:rPr>
              <w:t>39</w:t>
            </w:r>
          </w:p>
        </w:tc>
        <w:tc>
          <w:tcPr>
            <w:tcW w:w="1483" w:type="dxa"/>
            <w:tcBorders>
              <w:top w:val="nil"/>
              <w:bottom w:val="nil"/>
            </w:tcBorders>
          </w:tcPr>
          <w:p w14:paraId="2640AF3C" w14:textId="77777777" w:rsidR="00B744CF" w:rsidRPr="005F7947" w:rsidRDefault="00B744CF" w:rsidP="00BB2007">
            <w:pPr>
              <w:pStyle w:val="tabelNummers"/>
              <w:rPr>
                <w:rFonts w:eastAsia="Calibri"/>
              </w:rPr>
            </w:pPr>
            <w:r w:rsidRPr="005F7947">
              <w:rPr>
                <w:rFonts w:eastAsia="Calibri"/>
              </w:rPr>
              <w:t>17</w:t>
            </w:r>
          </w:p>
        </w:tc>
        <w:tc>
          <w:tcPr>
            <w:tcW w:w="1527" w:type="dxa"/>
            <w:tcBorders>
              <w:top w:val="nil"/>
              <w:bottom w:val="nil"/>
            </w:tcBorders>
          </w:tcPr>
          <w:p w14:paraId="1A8F6A30" w14:textId="77777777" w:rsidR="00B744CF" w:rsidRPr="005F7947" w:rsidRDefault="00B744CF" w:rsidP="00BB2007">
            <w:pPr>
              <w:pStyle w:val="tabelNummers"/>
              <w:rPr>
                <w:rFonts w:eastAsia="Calibri"/>
              </w:rPr>
            </w:pPr>
            <w:r w:rsidRPr="005F7947">
              <w:rPr>
                <w:rFonts w:eastAsia="Calibri"/>
              </w:rPr>
              <w:t>11</w:t>
            </w:r>
          </w:p>
        </w:tc>
        <w:tc>
          <w:tcPr>
            <w:tcW w:w="914" w:type="dxa"/>
            <w:tcBorders>
              <w:top w:val="nil"/>
              <w:bottom w:val="nil"/>
            </w:tcBorders>
          </w:tcPr>
          <w:p w14:paraId="0AE981AB" w14:textId="77777777" w:rsidR="00B744CF" w:rsidRPr="005F7947" w:rsidRDefault="00B744CF" w:rsidP="00BB2007">
            <w:pPr>
              <w:pStyle w:val="tabelNummers"/>
              <w:rPr>
                <w:rFonts w:eastAsia="Calibri"/>
              </w:rPr>
            </w:pPr>
            <w:r w:rsidRPr="005F7947">
              <w:rPr>
                <w:rFonts w:eastAsia="Calibri"/>
              </w:rPr>
              <w:t>29</w:t>
            </w:r>
          </w:p>
        </w:tc>
      </w:tr>
      <w:tr w:rsidR="005F7947" w:rsidRPr="005F7947" w14:paraId="51C76928" w14:textId="77777777" w:rsidTr="000D2FB8">
        <w:trPr>
          <w:trHeight w:hRule="exact" w:val="284"/>
        </w:trPr>
        <w:tc>
          <w:tcPr>
            <w:tcW w:w="980" w:type="dxa"/>
            <w:tcBorders>
              <w:top w:val="nil"/>
              <w:bottom w:val="nil"/>
            </w:tcBorders>
          </w:tcPr>
          <w:p w14:paraId="5AD8C791"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1960</w:t>
            </w:r>
          </w:p>
        </w:tc>
        <w:tc>
          <w:tcPr>
            <w:tcW w:w="1093" w:type="dxa"/>
            <w:tcBorders>
              <w:top w:val="nil"/>
              <w:bottom w:val="nil"/>
            </w:tcBorders>
          </w:tcPr>
          <w:p w14:paraId="496CE68F" w14:textId="77777777" w:rsidR="00B744CF" w:rsidRPr="005F7947" w:rsidRDefault="00B744CF" w:rsidP="00BB2007">
            <w:pPr>
              <w:pStyle w:val="tabelNummers"/>
              <w:rPr>
                <w:rFonts w:eastAsia="Calibri"/>
              </w:rPr>
            </w:pPr>
            <w:r w:rsidRPr="005F7947">
              <w:rPr>
                <w:rFonts w:eastAsia="Calibri"/>
              </w:rPr>
              <w:t>23</w:t>
            </w:r>
          </w:p>
        </w:tc>
        <w:tc>
          <w:tcPr>
            <w:tcW w:w="1094" w:type="dxa"/>
            <w:tcBorders>
              <w:top w:val="nil"/>
              <w:bottom w:val="nil"/>
            </w:tcBorders>
          </w:tcPr>
          <w:p w14:paraId="71D5D077" w14:textId="77777777" w:rsidR="00B744CF" w:rsidRPr="005F7947" w:rsidRDefault="00B744CF" w:rsidP="00BB2007">
            <w:pPr>
              <w:pStyle w:val="tabelNummers"/>
              <w:rPr>
                <w:rFonts w:eastAsia="Calibri"/>
              </w:rPr>
            </w:pPr>
            <w:r w:rsidRPr="005F7947">
              <w:rPr>
                <w:rFonts w:eastAsia="Calibri"/>
              </w:rPr>
              <w:t>50</w:t>
            </w:r>
          </w:p>
        </w:tc>
        <w:tc>
          <w:tcPr>
            <w:tcW w:w="1057" w:type="dxa"/>
            <w:tcBorders>
              <w:top w:val="nil"/>
              <w:bottom w:val="nil"/>
            </w:tcBorders>
          </w:tcPr>
          <w:p w14:paraId="32AB613D" w14:textId="77777777" w:rsidR="00B744CF" w:rsidRPr="005F7947" w:rsidRDefault="00B744CF" w:rsidP="00BB2007">
            <w:pPr>
              <w:pStyle w:val="tabelNummers"/>
              <w:rPr>
                <w:rFonts w:eastAsia="Calibri"/>
              </w:rPr>
            </w:pPr>
            <w:r w:rsidRPr="005F7947">
              <w:rPr>
                <w:rFonts w:eastAsia="Calibri"/>
              </w:rPr>
              <w:t>19</w:t>
            </w:r>
          </w:p>
        </w:tc>
        <w:tc>
          <w:tcPr>
            <w:tcW w:w="914" w:type="dxa"/>
            <w:tcBorders>
              <w:top w:val="nil"/>
              <w:bottom w:val="nil"/>
            </w:tcBorders>
          </w:tcPr>
          <w:p w14:paraId="73BE2C4F" w14:textId="77777777" w:rsidR="00B744CF" w:rsidRPr="005F7947" w:rsidRDefault="00B744CF" w:rsidP="00BB2007">
            <w:pPr>
              <w:pStyle w:val="tabelNummers"/>
              <w:rPr>
                <w:rFonts w:eastAsia="Calibri"/>
              </w:rPr>
            </w:pPr>
            <w:r w:rsidRPr="005F7947">
              <w:rPr>
                <w:rFonts w:eastAsia="Calibri"/>
              </w:rPr>
              <w:t>92</w:t>
            </w:r>
          </w:p>
        </w:tc>
        <w:tc>
          <w:tcPr>
            <w:tcW w:w="1483" w:type="dxa"/>
            <w:tcBorders>
              <w:top w:val="nil"/>
              <w:bottom w:val="nil"/>
            </w:tcBorders>
          </w:tcPr>
          <w:p w14:paraId="61B6DA05" w14:textId="77777777" w:rsidR="00B744CF" w:rsidRPr="005F7947" w:rsidRDefault="00B744CF" w:rsidP="00BB2007">
            <w:pPr>
              <w:pStyle w:val="tabelNummers"/>
              <w:rPr>
                <w:rFonts w:eastAsia="Calibri"/>
              </w:rPr>
            </w:pPr>
            <w:r w:rsidRPr="005F7947">
              <w:rPr>
                <w:rFonts w:eastAsia="Calibri"/>
              </w:rPr>
              <w:t>25</w:t>
            </w:r>
          </w:p>
        </w:tc>
        <w:tc>
          <w:tcPr>
            <w:tcW w:w="1527" w:type="dxa"/>
            <w:tcBorders>
              <w:top w:val="nil"/>
              <w:bottom w:val="nil"/>
            </w:tcBorders>
          </w:tcPr>
          <w:p w14:paraId="3ED6CD74" w14:textId="77777777" w:rsidR="00B744CF" w:rsidRPr="005F7947" w:rsidRDefault="00B744CF" w:rsidP="00BB2007">
            <w:pPr>
              <w:pStyle w:val="tabelNummers"/>
              <w:rPr>
                <w:rFonts w:eastAsia="Calibri"/>
              </w:rPr>
            </w:pPr>
            <w:r w:rsidRPr="005F7947">
              <w:rPr>
                <w:rFonts w:eastAsia="Calibri"/>
              </w:rPr>
              <w:t>46</w:t>
            </w:r>
          </w:p>
        </w:tc>
        <w:tc>
          <w:tcPr>
            <w:tcW w:w="914" w:type="dxa"/>
            <w:tcBorders>
              <w:top w:val="nil"/>
              <w:bottom w:val="nil"/>
            </w:tcBorders>
          </w:tcPr>
          <w:p w14:paraId="5194BA99" w14:textId="77777777" w:rsidR="00B744CF" w:rsidRPr="005F7947" w:rsidRDefault="00B744CF" w:rsidP="00BB2007">
            <w:pPr>
              <w:pStyle w:val="tabelNummers"/>
              <w:rPr>
                <w:rFonts w:eastAsia="Calibri"/>
              </w:rPr>
            </w:pPr>
            <w:r w:rsidRPr="005F7947">
              <w:rPr>
                <w:rFonts w:eastAsia="Calibri"/>
              </w:rPr>
              <w:t>71</w:t>
            </w:r>
          </w:p>
        </w:tc>
      </w:tr>
      <w:tr w:rsidR="005F7947" w:rsidRPr="005F7947" w14:paraId="4B612087" w14:textId="77777777" w:rsidTr="000D2FB8">
        <w:trPr>
          <w:trHeight w:hRule="exact" w:val="284"/>
        </w:trPr>
        <w:tc>
          <w:tcPr>
            <w:tcW w:w="980" w:type="dxa"/>
            <w:tcBorders>
              <w:top w:val="nil"/>
              <w:bottom w:val="nil"/>
            </w:tcBorders>
          </w:tcPr>
          <w:p w14:paraId="6A19FABF"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1970</w:t>
            </w:r>
          </w:p>
        </w:tc>
        <w:tc>
          <w:tcPr>
            <w:tcW w:w="1093" w:type="dxa"/>
            <w:tcBorders>
              <w:top w:val="nil"/>
              <w:bottom w:val="nil"/>
            </w:tcBorders>
          </w:tcPr>
          <w:p w14:paraId="01B55BB7" w14:textId="77777777" w:rsidR="00B744CF" w:rsidRPr="005F7947" w:rsidRDefault="00B744CF" w:rsidP="00BB2007">
            <w:pPr>
              <w:pStyle w:val="tabelNummers"/>
              <w:rPr>
                <w:rFonts w:eastAsia="Calibri"/>
              </w:rPr>
            </w:pPr>
            <w:r w:rsidRPr="005F7947">
              <w:rPr>
                <w:rFonts w:eastAsia="Calibri"/>
              </w:rPr>
              <w:t>43</w:t>
            </w:r>
          </w:p>
        </w:tc>
        <w:tc>
          <w:tcPr>
            <w:tcW w:w="1094" w:type="dxa"/>
            <w:tcBorders>
              <w:top w:val="nil"/>
              <w:bottom w:val="nil"/>
            </w:tcBorders>
          </w:tcPr>
          <w:p w14:paraId="258C254B" w14:textId="77777777" w:rsidR="00B744CF" w:rsidRPr="005F7947" w:rsidRDefault="00B744CF" w:rsidP="00BB2007">
            <w:pPr>
              <w:pStyle w:val="tabelNummers"/>
              <w:rPr>
                <w:rFonts w:eastAsia="Calibri"/>
              </w:rPr>
            </w:pPr>
            <w:r w:rsidRPr="005F7947">
              <w:rPr>
                <w:rFonts w:eastAsia="Calibri"/>
              </w:rPr>
              <w:t>81</w:t>
            </w:r>
          </w:p>
        </w:tc>
        <w:tc>
          <w:tcPr>
            <w:tcW w:w="1057" w:type="dxa"/>
            <w:tcBorders>
              <w:top w:val="nil"/>
              <w:bottom w:val="nil"/>
            </w:tcBorders>
          </w:tcPr>
          <w:p w14:paraId="0C7F6F5D" w14:textId="77777777" w:rsidR="00B744CF" w:rsidRPr="005F7947" w:rsidRDefault="00B744CF" w:rsidP="00BB2007">
            <w:pPr>
              <w:pStyle w:val="tabelNummers"/>
              <w:rPr>
                <w:rFonts w:eastAsia="Calibri"/>
              </w:rPr>
            </w:pPr>
            <w:r w:rsidRPr="005F7947">
              <w:rPr>
                <w:rFonts w:eastAsia="Calibri"/>
              </w:rPr>
              <w:t>25</w:t>
            </w:r>
          </w:p>
        </w:tc>
        <w:tc>
          <w:tcPr>
            <w:tcW w:w="914" w:type="dxa"/>
            <w:tcBorders>
              <w:top w:val="nil"/>
              <w:bottom w:val="nil"/>
            </w:tcBorders>
          </w:tcPr>
          <w:p w14:paraId="0FE00759" w14:textId="77777777" w:rsidR="00B744CF" w:rsidRPr="005F7947" w:rsidRDefault="00B744CF" w:rsidP="00BB2007">
            <w:pPr>
              <w:pStyle w:val="tabelNummers"/>
              <w:rPr>
                <w:rFonts w:eastAsia="Calibri"/>
              </w:rPr>
            </w:pPr>
            <w:r w:rsidRPr="005F7947">
              <w:rPr>
                <w:rFonts w:eastAsia="Calibri"/>
              </w:rPr>
              <w:t>149</w:t>
            </w:r>
          </w:p>
        </w:tc>
        <w:tc>
          <w:tcPr>
            <w:tcW w:w="1483" w:type="dxa"/>
            <w:tcBorders>
              <w:top w:val="nil"/>
              <w:bottom w:val="nil"/>
            </w:tcBorders>
          </w:tcPr>
          <w:p w14:paraId="20869C87" w14:textId="77777777" w:rsidR="00B744CF" w:rsidRPr="005F7947" w:rsidRDefault="00B744CF" w:rsidP="00BB2007">
            <w:pPr>
              <w:pStyle w:val="tabelNummers"/>
              <w:rPr>
                <w:rFonts w:eastAsia="Calibri"/>
              </w:rPr>
            </w:pPr>
            <w:r w:rsidRPr="005F7947">
              <w:rPr>
                <w:rFonts w:eastAsia="Calibri"/>
              </w:rPr>
              <w:t>44</w:t>
            </w:r>
          </w:p>
        </w:tc>
        <w:tc>
          <w:tcPr>
            <w:tcW w:w="1527" w:type="dxa"/>
            <w:tcBorders>
              <w:top w:val="nil"/>
              <w:bottom w:val="nil"/>
            </w:tcBorders>
          </w:tcPr>
          <w:p w14:paraId="672FAD8C" w14:textId="77777777" w:rsidR="00B744CF" w:rsidRPr="005F7947" w:rsidRDefault="00B744CF" w:rsidP="00BB2007">
            <w:pPr>
              <w:pStyle w:val="tabelNummers"/>
              <w:rPr>
                <w:rFonts w:eastAsia="Calibri"/>
              </w:rPr>
            </w:pPr>
            <w:r w:rsidRPr="005F7947">
              <w:rPr>
                <w:rFonts w:eastAsia="Calibri"/>
              </w:rPr>
              <w:t>69</w:t>
            </w:r>
          </w:p>
        </w:tc>
        <w:tc>
          <w:tcPr>
            <w:tcW w:w="914" w:type="dxa"/>
            <w:tcBorders>
              <w:top w:val="nil"/>
              <w:bottom w:val="nil"/>
            </w:tcBorders>
          </w:tcPr>
          <w:p w14:paraId="2B21D124" w14:textId="77777777" w:rsidR="00B744CF" w:rsidRPr="005F7947" w:rsidRDefault="00B744CF" w:rsidP="00BB2007">
            <w:pPr>
              <w:pStyle w:val="tabelNummers"/>
              <w:rPr>
                <w:rFonts w:eastAsia="Calibri"/>
              </w:rPr>
            </w:pPr>
            <w:r w:rsidRPr="005F7947">
              <w:rPr>
                <w:rFonts w:eastAsia="Calibri"/>
              </w:rPr>
              <w:t>112</w:t>
            </w:r>
          </w:p>
        </w:tc>
      </w:tr>
      <w:tr w:rsidR="005F7947" w:rsidRPr="005F7947" w14:paraId="111F9D7A" w14:textId="77777777" w:rsidTr="000D2FB8">
        <w:trPr>
          <w:trHeight w:hRule="exact" w:val="284"/>
        </w:trPr>
        <w:tc>
          <w:tcPr>
            <w:tcW w:w="980" w:type="dxa"/>
            <w:tcBorders>
              <w:top w:val="nil"/>
              <w:bottom w:val="nil"/>
            </w:tcBorders>
          </w:tcPr>
          <w:p w14:paraId="6829BBB3"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1980</w:t>
            </w:r>
          </w:p>
        </w:tc>
        <w:tc>
          <w:tcPr>
            <w:tcW w:w="1093" w:type="dxa"/>
            <w:tcBorders>
              <w:top w:val="nil"/>
              <w:bottom w:val="nil"/>
            </w:tcBorders>
          </w:tcPr>
          <w:p w14:paraId="2412A802" w14:textId="77777777" w:rsidR="00B744CF" w:rsidRPr="005F7947" w:rsidRDefault="00B744CF" w:rsidP="00BB2007">
            <w:pPr>
              <w:pStyle w:val="tabelNummers"/>
              <w:rPr>
                <w:rFonts w:eastAsia="Calibri"/>
              </w:rPr>
            </w:pPr>
            <w:r w:rsidRPr="005F7947">
              <w:rPr>
                <w:rFonts w:eastAsia="Calibri"/>
              </w:rPr>
              <w:t>49</w:t>
            </w:r>
          </w:p>
        </w:tc>
        <w:tc>
          <w:tcPr>
            <w:tcW w:w="1094" w:type="dxa"/>
            <w:tcBorders>
              <w:top w:val="nil"/>
              <w:bottom w:val="nil"/>
            </w:tcBorders>
          </w:tcPr>
          <w:p w14:paraId="7AC4105E" w14:textId="77777777" w:rsidR="00B744CF" w:rsidRPr="005F7947" w:rsidRDefault="00B744CF" w:rsidP="00BB2007">
            <w:pPr>
              <w:pStyle w:val="tabelNummers"/>
              <w:rPr>
                <w:rFonts w:eastAsia="Calibri"/>
              </w:rPr>
            </w:pPr>
            <w:r w:rsidRPr="005F7947">
              <w:rPr>
                <w:rFonts w:eastAsia="Calibri"/>
              </w:rPr>
              <w:t>103</w:t>
            </w:r>
          </w:p>
        </w:tc>
        <w:tc>
          <w:tcPr>
            <w:tcW w:w="1057" w:type="dxa"/>
            <w:tcBorders>
              <w:top w:val="nil"/>
              <w:bottom w:val="nil"/>
            </w:tcBorders>
          </w:tcPr>
          <w:p w14:paraId="4EB4D677" w14:textId="77777777" w:rsidR="00B744CF" w:rsidRPr="005F7947" w:rsidRDefault="00B744CF" w:rsidP="00BB2007">
            <w:pPr>
              <w:pStyle w:val="tabelNummers"/>
              <w:rPr>
                <w:rFonts w:eastAsia="Calibri"/>
              </w:rPr>
            </w:pPr>
            <w:r w:rsidRPr="005F7947">
              <w:rPr>
                <w:rFonts w:eastAsia="Calibri"/>
              </w:rPr>
              <w:t>28</w:t>
            </w:r>
          </w:p>
        </w:tc>
        <w:tc>
          <w:tcPr>
            <w:tcW w:w="914" w:type="dxa"/>
            <w:tcBorders>
              <w:top w:val="nil"/>
              <w:bottom w:val="nil"/>
            </w:tcBorders>
          </w:tcPr>
          <w:p w14:paraId="0A9477DD" w14:textId="77777777" w:rsidR="00B744CF" w:rsidRPr="005F7947" w:rsidRDefault="00B744CF" w:rsidP="00BB2007">
            <w:pPr>
              <w:pStyle w:val="tabelNummers"/>
              <w:rPr>
                <w:rFonts w:eastAsia="Calibri"/>
              </w:rPr>
            </w:pPr>
            <w:r w:rsidRPr="005F7947">
              <w:rPr>
                <w:rFonts w:eastAsia="Calibri"/>
              </w:rPr>
              <w:t>181</w:t>
            </w:r>
          </w:p>
        </w:tc>
        <w:tc>
          <w:tcPr>
            <w:tcW w:w="1483" w:type="dxa"/>
            <w:tcBorders>
              <w:top w:val="nil"/>
              <w:bottom w:val="nil"/>
            </w:tcBorders>
          </w:tcPr>
          <w:p w14:paraId="7CC70A96" w14:textId="77777777" w:rsidR="00B744CF" w:rsidRPr="005F7947" w:rsidRDefault="00B744CF" w:rsidP="00BB2007">
            <w:pPr>
              <w:pStyle w:val="tabelNummers"/>
              <w:rPr>
                <w:rFonts w:eastAsia="Calibri"/>
              </w:rPr>
            </w:pPr>
            <w:r w:rsidRPr="005F7947">
              <w:rPr>
                <w:rFonts w:eastAsia="Calibri"/>
              </w:rPr>
              <w:t>45</w:t>
            </w:r>
          </w:p>
        </w:tc>
        <w:tc>
          <w:tcPr>
            <w:tcW w:w="1527" w:type="dxa"/>
            <w:tcBorders>
              <w:top w:val="nil"/>
              <w:bottom w:val="nil"/>
            </w:tcBorders>
          </w:tcPr>
          <w:p w14:paraId="7AEE0A42" w14:textId="77777777" w:rsidR="00B744CF" w:rsidRPr="005F7947" w:rsidRDefault="00B744CF" w:rsidP="00BB2007">
            <w:pPr>
              <w:pStyle w:val="tabelNummers"/>
              <w:rPr>
                <w:rFonts w:eastAsia="Calibri"/>
              </w:rPr>
            </w:pPr>
            <w:r w:rsidRPr="005F7947">
              <w:rPr>
                <w:rFonts w:eastAsia="Calibri"/>
              </w:rPr>
              <w:t>84</w:t>
            </w:r>
          </w:p>
        </w:tc>
        <w:tc>
          <w:tcPr>
            <w:tcW w:w="914" w:type="dxa"/>
            <w:tcBorders>
              <w:top w:val="nil"/>
              <w:bottom w:val="nil"/>
            </w:tcBorders>
          </w:tcPr>
          <w:p w14:paraId="190C8A3A" w14:textId="77777777" w:rsidR="00B744CF" w:rsidRPr="005F7947" w:rsidRDefault="00B744CF" w:rsidP="00BB2007">
            <w:pPr>
              <w:pStyle w:val="tabelNummers"/>
              <w:rPr>
                <w:rFonts w:eastAsia="Calibri"/>
              </w:rPr>
            </w:pPr>
            <w:r w:rsidRPr="005F7947">
              <w:rPr>
                <w:rFonts w:eastAsia="Calibri"/>
              </w:rPr>
              <w:t>129</w:t>
            </w:r>
          </w:p>
        </w:tc>
      </w:tr>
      <w:tr w:rsidR="005F7947" w:rsidRPr="005F7947" w14:paraId="1389B6CF" w14:textId="77777777" w:rsidTr="000D2FB8">
        <w:trPr>
          <w:trHeight w:hRule="exact" w:val="284"/>
        </w:trPr>
        <w:tc>
          <w:tcPr>
            <w:tcW w:w="980" w:type="dxa"/>
            <w:tcBorders>
              <w:top w:val="nil"/>
              <w:bottom w:val="nil"/>
            </w:tcBorders>
          </w:tcPr>
          <w:p w14:paraId="04E912F6"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1990</w:t>
            </w:r>
          </w:p>
        </w:tc>
        <w:tc>
          <w:tcPr>
            <w:tcW w:w="1093" w:type="dxa"/>
            <w:tcBorders>
              <w:top w:val="nil"/>
              <w:bottom w:val="nil"/>
            </w:tcBorders>
          </w:tcPr>
          <w:p w14:paraId="7C891F56" w14:textId="77777777" w:rsidR="00B744CF" w:rsidRPr="005F7947" w:rsidRDefault="00B744CF" w:rsidP="00BB2007">
            <w:pPr>
              <w:pStyle w:val="tabelNummers"/>
              <w:rPr>
                <w:rFonts w:eastAsia="Calibri"/>
              </w:rPr>
            </w:pPr>
            <w:r w:rsidRPr="005F7947">
              <w:rPr>
                <w:rFonts w:eastAsia="Calibri"/>
              </w:rPr>
              <w:t>53</w:t>
            </w:r>
          </w:p>
        </w:tc>
        <w:tc>
          <w:tcPr>
            <w:tcW w:w="1094" w:type="dxa"/>
            <w:tcBorders>
              <w:top w:val="nil"/>
              <w:bottom w:val="nil"/>
            </w:tcBorders>
          </w:tcPr>
          <w:p w14:paraId="33841A62" w14:textId="77777777" w:rsidR="00B744CF" w:rsidRPr="005F7947" w:rsidRDefault="00B744CF" w:rsidP="00BB2007">
            <w:pPr>
              <w:pStyle w:val="tabelNummers"/>
              <w:rPr>
                <w:rFonts w:eastAsia="Calibri"/>
              </w:rPr>
            </w:pPr>
            <w:r w:rsidRPr="005F7947">
              <w:rPr>
                <w:rFonts w:eastAsia="Calibri"/>
              </w:rPr>
              <w:t>117</w:t>
            </w:r>
          </w:p>
        </w:tc>
        <w:tc>
          <w:tcPr>
            <w:tcW w:w="1057" w:type="dxa"/>
            <w:tcBorders>
              <w:top w:val="nil"/>
              <w:bottom w:val="nil"/>
            </w:tcBorders>
          </w:tcPr>
          <w:p w14:paraId="6DF4EA0E" w14:textId="77777777" w:rsidR="00B744CF" w:rsidRPr="005F7947" w:rsidRDefault="00B744CF" w:rsidP="00BB2007">
            <w:pPr>
              <w:pStyle w:val="tabelNummers"/>
              <w:rPr>
                <w:rFonts w:eastAsia="Calibri"/>
              </w:rPr>
            </w:pPr>
            <w:r w:rsidRPr="005F7947">
              <w:rPr>
                <w:rFonts w:eastAsia="Calibri"/>
              </w:rPr>
              <w:t>32</w:t>
            </w:r>
          </w:p>
        </w:tc>
        <w:tc>
          <w:tcPr>
            <w:tcW w:w="914" w:type="dxa"/>
            <w:tcBorders>
              <w:top w:val="nil"/>
              <w:bottom w:val="nil"/>
            </w:tcBorders>
          </w:tcPr>
          <w:p w14:paraId="67C40DB9" w14:textId="77777777" w:rsidR="00B744CF" w:rsidRPr="005F7947" w:rsidRDefault="00B744CF" w:rsidP="00BB2007">
            <w:pPr>
              <w:pStyle w:val="tabelNummers"/>
              <w:rPr>
                <w:rFonts w:eastAsia="Calibri"/>
              </w:rPr>
            </w:pPr>
            <w:r w:rsidRPr="005F7947">
              <w:rPr>
                <w:rFonts w:eastAsia="Calibri"/>
              </w:rPr>
              <w:t>202</w:t>
            </w:r>
          </w:p>
        </w:tc>
        <w:tc>
          <w:tcPr>
            <w:tcW w:w="1483" w:type="dxa"/>
            <w:tcBorders>
              <w:top w:val="nil"/>
              <w:bottom w:val="nil"/>
            </w:tcBorders>
          </w:tcPr>
          <w:p w14:paraId="674F6F1C" w14:textId="77777777" w:rsidR="00B744CF" w:rsidRPr="005F7947" w:rsidRDefault="00B744CF" w:rsidP="00BB2007">
            <w:pPr>
              <w:pStyle w:val="tabelNummers"/>
              <w:rPr>
                <w:rFonts w:eastAsia="Calibri"/>
              </w:rPr>
            </w:pPr>
            <w:r w:rsidRPr="005F7947">
              <w:rPr>
                <w:rFonts w:eastAsia="Calibri"/>
              </w:rPr>
              <w:t>51</w:t>
            </w:r>
          </w:p>
        </w:tc>
        <w:tc>
          <w:tcPr>
            <w:tcW w:w="1527" w:type="dxa"/>
            <w:tcBorders>
              <w:top w:val="nil"/>
              <w:bottom w:val="nil"/>
            </w:tcBorders>
          </w:tcPr>
          <w:p w14:paraId="6D667D81" w14:textId="77777777" w:rsidR="00B744CF" w:rsidRPr="005F7947" w:rsidRDefault="00B744CF" w:rsidP="00BB2007">
            <w:pPr>
              <w:pStyle w:val="tabelNummers"/>
              <w:rPr>
                <w:rFonts w:eastAsia="Calibri"/>
              </w:rPr>
            </w:pPr>
            <w:r w:rsidRPr="005F7947">
              <w:rPr>
                <w:rFonts w:eastAsia="Calibri"/>
              </w:rPr>
              <w:t>92</w:t>
            </w:r>
          </w:p>
        </w:tc>
        <w:tc>
          <w:tcPr>
            <w:tcW w:w="914" w:type="dxa"/>
            <w:tcBorders>
              <w:top w:val="nil"/>
              <w:bottom w:val="nil"/>
            </w:tcBorders>
          </w:tcPr>
          <w:p w14:paraId="0FE9B321" w14:textId="77777777" w:rsidR="00B744CF" w:rsidRPr="005F7947" w:rsidRDefault="00B744CF" w:rsidP="00BB2007">
            <w:pPr>
              <w:pStyle w:val="tabelNummers"/>
              <w:rPr>
                <w:rFonts w:eastAsia="Calibri"/>
              </w:rPr>
            </w:pPr>
            <w:r w:rsidRPr="005F7947">
              <w:rPr>
                <w:rFonts w:eastAsia="Calibri"/>
              </w:rPr>
              <w:t>143</w:t>
            </w:r>
          </w:p>
        </w:tc>
      </w:tr>
      <w:tr w:rsidR="005F7947" w:rsidRPr="005F7947" w14:paraId="0C976C64" w14:textId="77777777" w:rsidTr="000D2FB8">
        <w:trPr>
          <w:trHeight w:hRule="exact" w:val="284"/>
        </w:trPr>
        <w:tc>
          <w:tcPr>
            <w:tcW w:w="980" w:type="dxa"/>
            <w:tcBorders>
              <w:top w:val="nil"/>
              <w:bottom w:val="nil"/>
            </w:tcBorders>
          </w:tcPr>
          <w:p w14:paraId="2536D10F"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2000</w:t>
            </w:r>
          </w:p>
        </w:tc>
        <w:tc>
          <w:tcPr>
            <w:tcW w:w="1093" w:type="dxa"/>
            <w:tcBorders>
              <w:top w:val="nil"/>
              <w:bottom w:val="nil"/>
            </w:tcBorders>
          </w:tcPr>
          <w:p w14:paraId="42FEE638" w14:textId="77777777" w:rsidR="00B744CF" w:rsidRPr="005F7947" w:rsidRDefault="00B744CF" w:rsidP="00BB2007">
            <w:pPr>
              <w:pStyle w:val="tabelNummers"/>
              <w:rPr>
                <w:rFonts w:eastAsia="Calibri"/>
              </w:rPr>
            </w:pPr>
            <w:r w:rsidRPr="005F7947">
              <w:rPr>
                <w:rFonts w:eastAsia="Calibri"/>
              </w:rPr>
              <w:t>50</w:t>
            </w:r>
          </w:p>
        </w:tc>
        <w:tc>
          <w:tcPr>
            <w:tcW w:w="1094" w:type="dxa"/>
            <w:tcBorders>
              <w:top w:val="nil"/>
              <w:bottom w:val="nil"/>
            </w:tcBorders>
          </w:tcPr>
          <w:p w14:paraId="47D2CDE8" w14:textId="77777777" w:rsidR="00B744CF" w:rsidRPr="005F7947" w:rsidRDefault="00B744CF" w:rsidP="00BB2007">
            <w:pPr>
              <w:pStyle w:val="tabelNummers"/>
              <w:rPr>
                <w:rFonts w:eastAsia="Calibri"/>
              </w:rPr>
            </w:pPr>
            <w:r w:rsidRPr="005F7947">
              <w:rPr>
                <w:rFonts w:eastAsia="Calibri"/>
              </w:rPr>
              <w:t>123</w:t>
            </w:r>
          </w:p>
        </w:tc>
        <w:tc>
          <w:tcPr>
            <w:tcW w:w="1057" w:type="dxa"/>
            <w:tcBorders>
              <w:top w:val="nil"/>
              <w:bottom w:val="nil"/>
            </w:tcBorders>
          </w:tcPr>
          <w:p w14:paraId="7D3215C5" w14:textId="77777777" w:rsidR="00B744CF" w:rsidRPr="005F7947" w:rsidRDefault="00B744CF" w:rsidP="00BB2007">
            <w:pPr>
              <w:pStyle w:val="tabelNummers"/>
              <w:rPr>
                <w:rFonts w:eastAsia="Calibri"/>
              </w:rPr>
            </w:pPr>
            <w:r w:rsidRPr="005F7947">
              <w:rPr>
                <w:rFonts w:eastAsia="Calibri"/>
              </w:rPr>
              <w:t>42</w:t>
            </w:r>
          </w:p>
        </w:tc>
        <w:tc>
          <w:tcPr>
            <w:tcW w:w="914" w:type="dxa"/>
            <w:tcBorders>
              <w:top w:val="nil"/>
              <w:bottom w:val="nil"/>
            </w:tcBorders>
          </w:tcPr>
          <w:p w14:paraId="057A1444" w14:textId="77777777" w:rsidR="00B744CF" w:rsidRPr="005F7947" w:rsidRDefault="00B744CF" w:rsidP="00BB2007">
            <w:pPr>
              <w:pStyle w:val="tabelNummers"/>
              <w:rPr>
                <w:rFonts w:eastAsia="Calibri"/>
              </w:rPr>
            </w:pPr>
            <w:r w:rsidRPr="005F7947">
              <w:rPr>
                <w:rFonts w:eastAsia="Calibri"/>
              </w:rPr>
              <w:t>215</w:t>
            </w:r>
          </w:p>
        </w:tc>
        <w:tc>
          <w:tcPr>
            <w:tcW w:w="1483" w:type="dxa"/>
            <w:tcBorders>
              <w:top w:val="nil"/>
              <w:bottom w:val="nil"/>
            </w:tcBorders>
          </w:tcPr>
          <w:p w14:paraId="3768252F" w14:textId="77777777" w:rsidR="00B744CF" w:rsidRPr="005F7947" w:rsidRDefault="00B744CF" w:rsidP="00BB2007">
            <w:pPr>
              <w:pStyle w:val="tabelNummers"/>
              <w:rPr>
                <w:rFonts w:eastAsia="Calibri"/>
              </w:rPr>
            </w:pPr>
            <w:r w:rsidRPr="005F7947">
              <w:rPr>
                <w:rFonts w:eastAsia="Calibri"/>
              </w:rPr>
              <w:t>48</w:t>
            </w:r>
          </w:p>
        </w:tc>
        <w:tc>
          <w:tcPr>
            <w:tcW w:w="1527" w:type="dxa"/>
            <w:tcBorders>
              <w:top w:val="nil"/>
              <w:bottom w:val="nil"/>
            </w:tcBorders>
          </w:tcPr>
          <w:p w14:paraId="3167438F" w14:textId="77777777" w:rsidR="00B744CF" w:rsidRPr="005F7947" w:rsidRDefault="00B744CF" w:rsidP="00BB2007">
            <w:pPr>
              <w:pStyle w:val="tabelNummers"/>
              <w:rPr>
                <w:rFonts w:eastAsia="Calibri"/>
              </w:rPr>
            </w:pPr>
            <w:r w:rsidRPr="005F7947">
              <w:rPr>
                <w:rFonts w:eastAsia="Calibri"/>
              </w:rPr>
              <w:t>105</w:t>
            </w:r>
          </w:p>
        </w:tc>
        <w:tc>
          <w:tcPr>
            <w:tcW w:w="914" w:type="dxa"/>
            <w:tcBorders>
              <w:top w:val="nil"/>
              <w:bottom w:val="nil"/>
            </w:tcBorders>
          </w:tcPr>
          <w:p w14:paraId="6197835D" w14:textId="77777777" w:rsidR="00B744CF" w:rsidRPr="005F7947" w:rsidRDefault="00B744CF" w:rsidP="00BB2007">
            <w:pPr>
              <w:pStyle w:val="tabelNummers"/>
              <w:rPr>
                <w:rFonts w:eastAsia="Calibri"/>
              </w:rPr>
            </w:pPr>
            <w:r w:rsidRPr="005F7947">
              <w:rPr>
                <w:rFonts w:eastAsia="Calibri"/>
              </w:rPr>
              <w:t>153</w:t>
            </w:r>
          </w:p>
        </w:tc>
      </w:tr>
      <w:tr w:rsidR="005F7947" w:rsidRPr="005F7947" w14:paraId="669817B0" w14:textId="77777777" w:rsidTr="000D2FB8">
        <w:trPr>
          <w:trHeight w:hRule="exact" w:val="284"/>
        </w:trPr>
        <w:tc>
          <w:tcPr>
            <w:tcW w:w="980" w:type="dxa"/>
            <w:tcBorders>
              <w:top w:val="nil"/>
              <w:bottom w:val="nil"/>
            </w:tcBorders>
          </w:tcPr>
          <w:p w14:paraId="2825F77F"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t>2010</w:t>
            </w:r>
          </w:p>
        </w:tc>
        <w:tc>
          <w:tcPr>
            <w:tcW w:w="1093" w:type="dxa"/>
            <w:tcBorders>
              <w:top w:val="nil"/>
              <w:bottom w:val="nil"/>
            </w:tcBorders>
          </w:tcPr>
          <w:p w14:paraId="53947B55" w14:textId="77777777" w:rsidR="00B744CF" w:rsidRPr="005F7947" w:rsidRDefault="00B744CF" w:rsidP="00BB2007">
            <w:pPr>
              <w:pStyle w:val="tabelNummers"/>
              <w:rPr>
                <w:rFonts w:eastAsia="Calibri"/>
              </w:rPr>
            </w:pPr>
            <w:r w:rsidRPr="005F7947">
              <w:rPr>
                <w:rFonts w:eastAsia="Calibri"/>
              </w:rPr>
              <w:t>66</w:t>
            </w:r>
          </w:p>
        </w:tc>
        <w:tc>
          <w:tcPr>
            <w:tcW w:w="1094" w:type="dxa"/>
            <w:tcBorders>
              <w:top w:val="nil"/>
              <w:bottom w:val="nil"/>
            </w:tcBorders>
          </w:tcPr>
          <w:p w14:paraId="024C4E90" w14:textId="77777777" w:rsidR="00B744CF" w:rsidRPr="005F7947" w:rsidRDefault="00B744CF" w:rsidP="00BB2007">
            <w:pPr>
              <w:pStyle w:val="tabelNummers"/>
              <w:rPr>
                <w:rFonts w:eastAsia="Calibri"/>
              </w:rPr>
            </w:pPr>
            <w:r w:rsidRPr="005F7947">
              <w:rPr>
                <w:rFonts w:eastAsia="Calibri"/>
              </w:rPr>
              <w:t>133</w:t>
            </w:r>
          </w:p>
        </w:tc>
        <w:tc>
          <w:tcPr>
            <w:tcW w:w="1057" w:type="dxa"/>
            <w:tcBorders>
              <w:top w:val="nil"/>
              <w:bottom w:val="nil"/>
            </w:tcBorders>
          </w:tcPr>
          <w:p w14:paraId="446EA641" w14:textId="77777777" w:rsidR="00B744CF" w:rsidRPr="005F7947" w:rsidRDefault="00B744CF" w:rsidP="00BB2007">
            <w:pPr>
              <w:pStyle w:val="tabelNummers"/>
              <w:rPr>
                <w:rFonts w:eastAsia="Calibri"/>
              </w:rPr>
            </w:pPr>
            <w:r w:rsidRPr="005F7947">
              <w:rPr>
                <w:rFonts w:eastAsia="Calibri"/>
              </w:rPr>
              <w:t>45</w:t>
            </w:r>
          </w:p>
        </w:tc>
        <w:tc>
          <w:tcPr>
            <w:tcW w:w="914" w:type="dxa"/>
            <w:tcBorders>
              <w:top w:val="nil"/>
              <w:bottom w:val="nil"/>
            </w:tcBorders>
          </w:tcPr>
          <w:p w14:paraId="63ECF171" w14:textId="77777777" w:rsidR="00B744CF" w:rsidRPr="005F7947" w:rsidRDefault="00B744CF" w:rsidP="00BB2007">
            <w:pPr>
              <w:pStyle w:val="tabelNummers"/>
              <w:rPr>
                <w:rFonts w:eastAsia="Calibri"/>
              </w:rPr>
            </w:pPr>
            <w:r w:rsidRPr="005F7947">
              <w:rPr>
                <w:rFonts w:eastAsia="Calibri"/>
              </w:rPr>
              <w:t>244</w:t>
            </w:r>
          </w:p>
        </w:tc>
        <w:tc>
          <w:tcPr>
            <w:tcW w:w="1483" w:type="dxa"/>
            <w:tcBorders>
              <w:top w:val="nil"/>
              <w:bottom w:val="nil"/>
            </w:tcBorders>
          </w:tcPr>
          <w:p w14:paraId="13F76720" w14:textId="01E6C0A1" w:rsidR="00B744CF" w:rsidRPr="005F7947" w:rsidRDefault="00B744CF" w:rsidP="00BB2007">
            <w:pPr>
              <w:pStyle w:val="tabelNummers"/>
              <w:rPr>
                <w:rFonts w:eastAsia="Calibri"/>
              </w:rPr>
            </w:pPr>
            <w:r w:rsidRPr="005F7947">
              <w:rPr>
                <w:rFonts w:eastAsia="Calibri"/>
              </w:rPr>
              <w:t>n.g.</w:t>
            </w:r>
            <w:r w:rsidR="00C02433" w:rsidRPr="005F7947">
              <w:rPr>
                <w:rFonts w:eastAsia="Calibri"/>
              </w:rPr>
              <w:t>*</w:t>
            </w:r>
          </w:p>
        </w:tc>
        <w:tc>
          <w:tcPr>
            <w:tcW w:w="1527" w:type="dxa"/>
            <w:tcBorders>
              <w:top w:val="nil"/>
              <w:bottom w:val="nil"/>
            </w:tcBorders>
          </w:tcPr>
          <w:p w14:paraId="153BFFC2" w14:textId="34717C9D" w:rsidR="00B744CF" w:rsidRPr="005F7947" w:rsidRDefault="00B744CF" w:rsidP="00BB2007">
            <w:pPr>
              <w:pStyle w:val="tabelNummers"/>
              <w:rPr>
                <w:rFonts w:eastAsia="Calibri"/>
              </w:rPr>
            </w:pPr>
            <w:r w:rsidRPr="005F7947">
              <w:rPr>
                <w:rFonts w:eastAsia="Calibri"/>
              </w:rPr>
              <w:t>n.g.</w:t>
            </w:r>
            <w:r w:rsidR="00C02433" w:rsidRPr="005F7947">
              <w:rPr>
                <w:rFonts w:eastAsia="Calibri"/>
              </w:rPr>
              <w:t>*</w:t>
            </w:r>
          </w:p>
        </w:tc>
        <w:tc>
          <w:tcPr>
            <w:tcW w:w="914" w:type="dxa"/>
            <w:tcBorders>
              <w:top w:val="nil"/>
              <w:bottom w:val="nil"/>
            </w:tcBorders>
          </w:tcPr>
          <w:p w14:paraId="39CF73BE" w14:textId="77BA0BDD" w:rsidR="00B744CF" w:rsidRPr="005F7947" w:rsidRDefault="00B744CF" w:rsidP="00BB2007">
            <w:pPr>
              <w:pStyle w:val="tabelNummers"/>
              <w:rPr>
                <w:rFonts w:eastAsia="Calibri"/>
              </w:rPr>
            </w:pPr>
            <w:r w:rsidRPr="005F7947">
              <w:rPr>
                <w:rFonts w:eastAsia="Calibri"/>
              </w:rPr>
              <w:t>n.g.</w:t>
            </w:r>
            <w:r w:rsidR="00C02433" w:rsidRPr="005F7947">
              <w:rPr>
                <w:rFonts w:eastAsia="Calibri"/>
              </w:rPr>
              <w:t>*</w:t>
            </w:r>
          </w:p>
        </w:tc>
      </w:tr>
      <w:tr w:rsidR="007C6BBD" w:rsidRPr="005F7947" w14:paraId="4A58B289" w14:textId="77777777" w:rsidTr="000D2FB8">
        <w:trPr>
          <w:trHeight w:hRule="exact" w:val="284"/>
        </w:trPr>
        <w:tc>
          <w:tcPr>
            <w:tcW w:w="980" w:type="dxa"/>
            <w:tcBorders>
              <w:top w:val="nil"/>
              <w:bottom w:val="single" w:sz="4" w:space="0" w:color="auto"/>
            </w:tcBorders>
          </w:tcPr>
          <w:p w14:paraId="73D1A8B4" w14:textId="77777777" w:rsidR="00B744CF" w:rsidRPr="005F7947" w:rsidRDefault="00B744CF" w:rsidP="00B744CF">
            <w:pPr>
              <w:contextualSpacing/>
              <w:jc w:val="center"/>
              <w:rPr>
                <w:rFonts w:eastAsia="Calibri" w:cs="Times New Roman"/>
                <w:color w:val="auto"/>
                <w:sz w:val="20"/>
                <w:szCs w:val="20"/>
              </w:rPr>
            </w:pPr>
            <w:r w:rsidRPr="005F7947">
              <w:rPr>
                <w:rFonts w:eastAsia="Calibri" w:cs="Times New Roman"/>
                <w:color w:val="auto"/>
                <w:sz w:val="20"/>
                <w:szCs w:val="20"/>
              </w:rPr>
              <w:lastRenderedPageBreak/>
              <w:t>2022</w:t>
            </w:r>
          </w:p>
        </w:tc>
        <w:tc>
          <w:tcPr>
            <w:tcW w:w="1093" w:type="dxa"/>
            <w:tcBorders>
              <w:top w:val="nil"/>
              <w:bottom w:val="single" w:sz="4" w:space="0" w:color="auto"/>
            </w:tcBorders>
          </w:tcPr>
          <w:p w14:paraId="4D420590" w14:textId="77777777" w:rsidR="00B744CF" w:rsidRPr="005F7947" w:rsidRDefault="00B744CF" w:rsidP="00BB2007">
            <w:pPr>
              <w:pStyle w:val="tabelNummers"/>
              <w:rPr>
                <w:rFonts w:eastAsia="Calibri"/>
              </w:rPr>
            </w:pPr>
            <w:r w:rsidRPr="005F7947">
              <w:rPr>
                <w:rFonts w:eastAsia="Calibri"/>
              </w:rPr>
              <w:t>61</w:t>
            </w:r>
          </w:p>
        </w:tc>
        <w:tc>
          <w:tcPr>
            <w:tcW w:w="1094" w:type="dxa"/>
            <w:tcBorders>
              <w:top w:val="nil"/>
              <w:bottom w:val="single" w:sz="4" w:space="0" w:color="auto"/>
            </w:tcBorders>
          </w:tcPr>
          <w:p w14:paraId="78DC4F08" w14:textId="77777777" w:rsidR="00B744CF" w:rsidRPr="005F7947" w:rsidRDefault="00B744CF" w:rsidP="00BB2007">
            <w:pPr>
              <w:pStyle w:val="tabelNummers"/>
              <w:rPr>
                <w:rFonts w:eastAsia="Calibri"/>
              </w:rPr>
            </w:pPr>
            <w:r w:rsidRPr="005F7947">
              <w:rPr>
                <w:rFonts w:eastAsia="Calibri"/>
              </w:rPr>
              <w:t>125</w:t>
            </w:r>
          </w:p>
        </w:tc>
        <w:tc>
          <w:tcPr>
            <w:tcW w:w="1057" w:type="dxa"/>
            <w:tcBorders>
              <w:top w:val="nil"/>
              <w:bottom w:val="single" w:sz="4" w:space="0" w:color="auto"/>
            </w:tcBorders>
          </w:tcPr>
          <w:p w14:paraId="36D0F16C" w14:textId="77777777" w:rsidR="00B744CF" w:rsidRPr="005F7947" w:rsidRDefault="00B744CF" w:rsidP="00BB2007">
            <w:pPr>
              <w:pStyle w:val="tabelNummers"/>
              <w:rPr>
                <w:rFonts w:eastAsia="Calibri"/>
              </w:rPr>
            </w:pPr>
            <w:r w:rsidRPr="005F7947">
              <w:rPr>
                <w:rFonts w:eastAsia="Calibri"/>
              </w:rPr>
              <w:t>44</w:t>
            </w:r>
          </w:p>
        </w:tc>
        <w:tc>
          <w:tcPr>
            <w:tcW w:w="914" w:type="dxa"/>
            <w:tcBorders>
              <w:top w:val="nil"/>
              <w:bottom w:val="single" w:sz="4" w:space="0" w:color="auto"/>
            </w:tcBorders>
          </w:tcPr>
          <w:p w14:paraId="08CA9E78" w14:textId="77777777" w:rsidR="00B744CF" w:rsidRPr="005F7947" w:rsidRDefault="00B744CF" w:rsidP="00BB2007">
            <w:pPr>
              <w:pStyle w:val="tabelNummers"/>
              <w:rPr>
                <w:rFonts w:eastAsia="Calibri"/>
              </w:rPr>
            </w:pPr>
            <w:r w:rsidRPr="005F7947">
              <w:rPr>
                <w:rFonts w:eastAsia="Calibri"/>
              </w:rPr>
              <w:t>230</w:t>
            </w:r>
          </w:p>
        </w:tc>
        <w:tc>
          <w:tcPr>
            <w:tcW w:w="1483" w:type="dxa"/>
            <w:tcBorders>
              <w:top w:val="nil"/>
              <w:bottom w:val="single" w:sz="4" w:space="0" w:color="auto"/>
            </w:tcBorders>
          </w:tcPr>
          <w:p w14:paraId="602E1A17" w14:textId="0D0CDF4C" w:rsidR="00B744CF" w:rsidRPr="005F7947" w:rsidRDefault="00B744CF" w:rsidP="00BB2007">
            <w:pPr>
              <w:pStyle w:val="tabelNummers"/>
              <w:rPr>
                <w:rFonts w:eastAsia="Calibri"/>
              </w:rPr>
            </w:pPr>
            <w:r w:rsidRPr="005F7947">
              <w:rPr>
                <w:rFonts w:eastAsia="Calibri"/>
              </w:rPr>
              <w:t>n.g.</w:t>
            </w:r>
            <w:r w:rsidR="00C02433" w:rsidRPr="005F7947">
              <w:rPr>
                <w:rFonts w:eastAsia="Calibri"/>
              </w:rPr>
              <w:t>*</w:t>
            </w:r>
          </w:p>
        </w:tc>
        <w:tc>
          <w:tcPr>
            <w:tcW w:w="1527" w:type="dxa"/>
            <w:tcBorders>
              <w:top w:val="nil"/>
              <w:bottom w:val="single" w:sz="4" w:space="0" w:color="auto"/>
            </w:tcBorders>
          </w:tcPr>
          <w:p w14:paraId="63ABBC8B" w14:textId="19D3C9FD" w:rsidR="00B744CF" w:rsidRPr="005F7947" w:rsidRDefault="00B744CF" w:rsidP="00BB2007">
            <w:pPr>
              <w:pStyle w:val="tabelNummers"/>
              <w:rPr>
                <w:rFonts w:eastAsia="Calibri"/>
              </w:rPr>
            </w:pPr>
            <w:r w:rsidRPr="005F7947">
              <w:rPr>
                <w:rFonts w:eastAsia="Calibri"/>
              </w:rPr>
              <w:t>n.g.</w:t>
            </w:r>
            <w:r w:rsidR="00C02433" w:rsidRPr="005F7947">
              <w:rPr>
                <w:rFonts w:eastAsia="Calibri"/>
              </w:rPr>
              <w:t>*</w:t>
            </w:r>
          </w:p>
        </w:tc>
        <w:tc>
          <w:tcPr>
            <w:tcW w:w="914" w:type="dxa"/>
            <w:tcBorders>
              <w:top w:val="nil"/>
              <w:bottom w:val="single" w:sz="4" w:space="0" w:color="auto"/>
            </w:tcBorders>
          </w:tcPr>
          <w:p w14:paraId="4E6D18AE" w14:textId="676FBB43" w:rsidR="00B744CF" w:rsidRPr="005F7947" w:rsidRDefault="00B744CF" w:rsidP="00BB2007">
            <w:pPr>
              <w:pStyle w:val="tabelNummers"/>
              <w:rPr>
                <w:rFonts w:eastAsia="Calibri"/>
              </w:rPr>
            </w:pPr>
            <w:r w:rsidRPr="005F7947">
              <w:rPr>
                <w:rFonts w:eastAsia="Calibri"/>
              </w:rPr>
              <w:t>n.g.</w:t>
            </w:r>
            <w:r w:rsidR="00C02433" w:rsidRPr="005F7947">
              <w:rPr>
                <w:rFonts w:eastAsia="Calibri"/>
              </w:rPr>
              <w:t>*</w:t>
            </w:r>
          </w:p>
        </w:tc>
      </w:tr>
    </w:tbl>
    <w:p w14:paraId="47C61E1E" w14:textId="77777777" w:rsidR="00B744CF" w:rsidRPr="005F7947" w:rsidRDefault="00B744CF" w:rsidP="00B744CF">
      <w:pPr>
        <w:contextualSpacing/>
        <w:rPr>
          <w:rFonts w:eastAsia="Calibri" w:cs="Times New Roman"/>
          <w:color w:val="auto"/>
          <w:szCs w:val="24"/>
        </w:rPr>
      </w:pPr>
    </w:p>
    <w:p w14:paraId="34A8E607" w14:textId="115F6C76" w:rsidR="00A77BF9" w:rsidRPr="00F15C28" w:rsidRDefault="00A93A4C" w:rsidP="00A77BF9">
      <w:pPr>
        <w:jc w:val="left"/>
        <w:rPr>
          <w:color w:val="auto"/>
        </w:rPr>
      </w:pPr>
      <w:r w:rsidRPr="005F7947">
        <w:rPr>
          <w:i/>
          <w:iCs/>
          <w:color w:val="auto"/>
        </w:rPr>
        <w:t xml:space="preserve">Tabel 1: </w:t>
      </w:r>
      <w:r w:rsidR="00B744CF" w:rsidRPr="005F7947">
        <w:rPr>
          <w:i/>
          <w:iCs/>
          <w:color w:val="auto"/>
        </w:rPr>
        <w:t>I</w:t>
      </w:r>
      <w:r w:rsidR="00B744CF" w:rsidRPr="005F7947">
        <w:rPr>
          <w:rFonts w:eastAsia="Calibri" w:cs="Times New Roman"/>
          <w:i/>
          <w:color w:val="auto"/>
          <w:szCs w:val="24"/>
        </w:rPr>
        <w:t>nternationaal binnenvaartvervoer over de Nederlandse vaarwegen (1880-2022)</w:t>
      </w:r>
      <w:r w:rsidR="00B744CF" w:rsidRPr="005F7947">
        <w:rPr>
          <w:rFonts w:eastAsia="Calibri" w:cs="Times New Roman"/>
          <w:iCs/>
          <w:color w:val="auto"/>
          <w:szCs w:val="24"/>
        </w:rPr>
        <w:t>.</w:t>
      </w:r>
      <w:r w:rsidR="00B744CF" w:rsidRPr="005F7947">
        <w:rPr>
          <w:rFonts w:eastAsia="Calibri" w:cs="Times New Roman"/>
          <w:iCs/>
          <w:color w:val="auto"/>
          <w:szCs w:val="24"/>
          <w:vertAlign w:val="superscript"/>
        </w:rPr>
        <w:endnoteReference w:id="9"/>
      </w:r>
      <w:r w:rsidR="003473C6">
        <w:rPr>
          <w:color w:val="auto"/>
        </w:rPr>
        <w:br/>
      </w:r>
      <w:r w:rsidR="00A77BF9" w:rsidRPr="005F7947">
        <w:rPr>
          <w:color w:val="auto"/>
          <w:sz w:val="20"/>
          <w:szCs w:val="20"/>
        </w:rPr>
        <w:t xml:space="preserve">* </w:t>
      </w:r>
      <w:proofErr w:type="spellStart"/>
      <w:r w:rsidR="00A77BF9" w:rsidRPr="005F7947">
        <w:rPr>
          <w:color w:val="auto"/>
          <w:sz w:val="20"/>
          <w:szCs w:val="20"/>
        </w:rPr>
        <w:t>n.g</w:t>
      </w:r>
      <w:proofErr w:type="spellEnd"/>
      <w:r w:rsidR="00A77BF9" w:rsidRPr="005F7947">
        <w:rPr>
          <w:color w:val="auto"/>
          <w:sz w:val="20"/>
          <w:szCs w:val="20"/>
        </w:rPr>
        <w:t>. = niet geregistreerd.</w:t>
      </w:r>
    </w:p>
    <w:p w14:paraId="1C402AB4" w14:textId="77777777" w:rsidR="00A77BF9" w:rsidRDefault="00A77BF9" w:rsidP="00DE08B1">
      <w:pPr>
        <w:jc w:val="left"/>
      </w:pPr>
    </w:p>
    <w:p w14:paraId="418BAED2" w14:textId="43BE6F6B" w:rsidR="00393FE6" w:rsidRDefault="001A5A73" w:rsidP="006D6D06">
      <w:pPr>
        <w:jc w:val="left"/>
        <w:rPr>
          <w:rFonts w:ascii="Calibri" w:eastAsia="Times New Roman" w:hAnsi="Calibri" w:cs="Calibri"/>
          <w:color w:val="FF0000"/>
          <w:szCs w:val="24"/>
          <w:shd w:val="clear" w:color="auto" w:fill="FFFFFF"/>
          <w:lang w:eastAsia="nl-NL"/>
        </w:rPr>
      </w:pPr>
      <w:r>
        <w:t xml:space="preserve">Uit verkeerstellingen blijkt </w:t>
      </w:r>
      <w:bookmarkEnd w:id="6"/>
      <w:r w:rsidR="008A5BB3">
        <w:t xml:space="preserve">dat het binnenlandse scheepvaartvervoer tussen 1880 en 1910 ruwweg verdrievoudigde. Het </w:t>
      </w:r>
      <w:r w:rsidR="00617421">
        <w:t xml:space="preserve">binnenlandse </w:t>
      </w:r>
      <w:r w:rsidR="00634A4C">
        <w:t>scheepvaart</w:t>
      </w:r>
      <w:r w:rsidR="008A5BB3">
        <w:t xml:space="preserve">vervoer bestond </w:t>
      </w:r>
      <w:r w:rsidR="009C1D83">
        <w:t xml:space="preserve">in die tijd </w:t>
      </w:r>
      <w:r w:rsidR="008A5BB3">
        <w:t>grotendeels uit massa</w:t>
      </w:r>
      <w:r w:rsidR="00C7276D">
        <w:t>goederen</w:t>
      </w:r>
      <w:r w:rsidR="008A5BB3">
        <w:t>, zoals landbouwproducten, bouwmaterialen, turf en Britse steenkolen</w:t>
      </w:r>
      <w:r w:rsidR="00CC3596">
        <w:t xml:space="preserve">, die </w:t>
      </w:r>
      <w:r w:rsidR="0043591F">
        <w:t>v</w:t>
      </w:r>
      <w:r w:rsidR="008A5BB3">
        <w:t xml:space="preserve">anuit </w:t>
      </w:r>
      <w:r w:rsidR="0092328A">
        <w:t xml:space="preserve">de </w:t>
      </w:r>
      <w:r w:rsidR="008A5BB3">
        <w:t>Rotterdam</w:t>
      </w:r>
      <w:r w:rsidR="0092328A">
        <w:t>se haven</w:t>
      </w:r>
      <w:r w:rsidR="008A5BB3">
        <w:t xml:space="preserve"> over het hele land </w:t>
      </w:r>
      <w:r w:rsidR="00CC3596">
        <w:t xml:space="preserve">werden </w:t>
      </w:r>
      <w:r w:rsidR="008A5BB3">
        <w:t>gedistribueerd</w:t>
      </w:r>
      <w:r w:rsidR="00617421">
        <w:t>.</w:t>
      </w:r>
      <w:r w:rsidR="00C70B2C">
        <w:t xml:space="preserve"> </w:t>
      </w:r>
      <w:r w:rsidR="00634A4C">
        <w:t xml:space="preserve">Door vaarwegverbeteringen, schaalvergroting, de invoering van sleepdiensten en een goede organisatie bleef de binnenvaart de spoorwegen in hun onderlinge concurrentiestrijd voortdurend een stap voor. </w:t>
      </w:r>
      <w:r w:rsidR="00671192">
        <w:t xml:space="preserve">Naar schatting </w:t>
      </w:r>
      <w:r w:rsidR="008D3BB0">
        <w:t xml:space="preserve">verzorgde </w:t>
      </w:r>
      <w:r w:rsidR="008A5BB3">
        <w:t xml:space="preserve">de binnenvaart </w:t>
      </w:r>
      <w:r w:rsidR="00671192">
        <w:t xml:space="preserve">rondom de eeuwwisseling </w:t>
      </w:r>
      <w:r w:rsidR="008A5BB3">
        <w:t>70 à 80 procent van het binnenlandse goederenvervoer</w:t>
      </w:r>
      <w:r w:rsidR="008D3BB0">
        <w:t>.</w:t>
      </w:r>
      <w:r w:rsidR="00617421">
        <w:t xml:space="preserve"> </w:t>
      </w:r>
      <w:r w:rsidR="00DD5AB3">
        <w:t xml:space="preserve">Omstreeks 1890 </w:t>
      </w:r>
      <w:r w:rsidR="00B67189">
        <w:t xml:space="preserve">overvleugelde de internationale vaart het binnenlandse scheepvaartvervoer. </w:t>
      </w:r>
      <w:r w:rsidR="00851EE4">
        <w:t xml:space="preserve">Omdat </w:t>
      </w:r>
      <w:r w:rsidR="00DD5AB3">
        <w:t xml:space="preserve">de </w:t>
      </w:r>
      <w:r w:rsidR="00851EE4">
        <w:t>binnenlandse vaartuigen veel kleiner waren</w:t>
      </w:r>
      <w:r w:rsidR="00313EC3">
        <w:t xml:space="preserve"> dan Rijnschepen</w:t>
      </w:r>
      <w:r w:rsidR="00851EE4">
        <w:t xml:space="preserve">, </w:t>
      </w:r>
      <w:r w:rsidR="00B67189">
        <w:t xml:space="preserve">bleef een grote meerderheid van de schippers </w:t>
      </w:r>
      <w:r w:rsidR="00000A00">
        <w:t>werkzaam in het binnenlands vervoer.</w:t>
      </w:r>
      <w:r w:rsidR="008A5BB3">
        <w:rPr>
          <w:rStyle w:val="EndnoteReference"/>
        </w:rPr>
        <w:endnoteReference w:id="10"/>
      </w:r>
    </w:p>
    <w:p w14:paraId="0DC92769" w14:textId="5592737E" w:rsidR="00393FE6" w:rsidRPr="00656B90" w:rsidRDefault="00393FE6" w:rsidP="006D6D06">
      <w:pPr>
        <w:jc w:val="left"/>
        <w:rPr>
          <w:color w:val="ED0000"/>
        </w:rPr>
      </w:pPr>
      <w:r w:rsidRPr="00C77244">
        <w:rPr>
          <w:rFonts w:ascii="Calibri" w:eastAsia="Times New Roman" w:hAnsi="Calibri" w:cs="Calibri"/>
          <w:color w:val="FF0000"/>
          <w:szCs w:val="24"/>
          <w:shd w:val="clear" w:color="auto" w:fill="FFFFFF"/>
          <w:lang w:eastAsia="nl-NL"/>
        </w:rPr>
        <w:t>@i@</w:t>
      </w:r>
      <w:r w:rsidRPr="00C77244">
        <w:rPr>
          <w:rFonts w:eastAsia="Times New Roman" w:cs="Times New Roman"/>
          <w:color w:val="FF0000"/>
          <w:szCs w:val="24"/>
          <w:lang w:eastAsia="nl-NL"/>
        </w:rPr>
        <w:t>[[[</w:t>
      </w:r>
      <w:r w:rsidR="00D63166">
        <w:rPr>
          <w:rFonts w:eastAsia="Times New Roman" w:cs="Times New Roman"/>
          <w:color w:val="FF0000"/>
          <w:szCs w:val="24"/>
          <w:lang w:eastAsia="nl-NL"/>
        </w:rPr>
        <w:t>5</w:t>
      </w:r>
      <w:r w:rsidRPr="00940794">
        <w:rPr>
          <w:color w:val="ED0000"/>
        </w:rPr>
        <w:t>-48_Nieuwevaart.jpg</w:t>
      </w:r>
      <w:r w:rsidRPr="00C77244">
        <w:rPr>
          <w:rFonts w:cstheme="minorHAnsi"/>
          <w:color w:val="FF0000"/>
        </w:rPr>
        <w:t>]]]</w:t>
      </w:r>
      <w:r w:rsidRPr="00C77244">
        <w:rPr>
          <w:rFonts w:ascii="Calibri" w:eastAsia="Times New Roman" w:hAnsi="Calibri" w:cs="Calibri"/>
          <w:color w:val="FF0000"/>
          <w:szCs w:val="24"/>
          <w:shd w:val="clear" w:color="auto" w:fill="FFFFFF"/>
          <w:lang w:eastAsia="nl-NL"/>
        </w:rPr>
        <w:t xml:space="preserve">@/i@​  </w:t>
      </w:r>
    </w:p>
    <w:p w14:paraId="18A03978" w14:textId="4867662A" w:rsidR="00F41735" w:rsidRPr="00B75C8D" w:rsidRDefault="00F41735" w:rsidP="00F41735">
      <w:pPr>
        <w:jc w:val="left"/>
        <w:rPr>
          <w:rFonts w:ascii="Calibri" w:eastAsia="Times New Roman" w:hAnsi="Calibri" w:cs="Calibri"/>
          <w:color w:val="ED0000"/>
          <w:shd w:val="clear" w:color="auto" w:fill="FFFFFF"/>
          <w:lang w:eastAsia="nl-NL"/>
        </w:rPr>
      </w:pPr>
      <w:r w:rsidRPr="00C77244">
        <w:rPr>
          <w:rFonts w:ascii="Calibri" w:eastAsia="Times New Roman" w:hAnsi="Calibri" w:cs="Calibri"/>
          <w:color w:val="FF0000"/>
          <w:szCs w:val="24"/>
          <w:shd w:val="clear" w:color="auto" w:fill="FFFFFF"/>
          <w:lang w:eastAsia="nl-NL"/>
        </w:rPr>
        <w:t>@i@</w:t>
      </w:r>
      <w:r w:rsidRPr="00C77244">
        <w:rPr>
          <w:rFonts w:eastAsia="Times New Roman" w:cs="Times New Roman"/>
          <w:color w:val="FF0000"/>
          <w:szCs w:val="24"/>
          <w:lang w:eastAsia="nl-NL"/>
        </w:rPr>
        <w:t>[[[</w:t>
      </w:r>
      <w:r w:rsidR="00D63166">
        <w:rPr>
          <w:rFonts w:ascii="Calibri" w:eastAsia="Times New Roman" w:hAnsi="Calibri" w:cs="Calibri"/>
          <w:color w:val="ED0000"/>
          <w:shd w:val="clear" w:color="auto" w:fill="FFFFFF"/>
          <w:lang w:eastAsia="nl-NL"/>
        </w:rPr>
        <w:t>6</w:t>
      </w:r>
      <w:r w:rsidRPr="000660C3">
        <w:rPr>
          <w:rFonts w:ascii="Calibri" w:eastAsia="Times New Roman" w:hAnsi="Calibri" w:cs="Calibri"/>
          <w:color w:val="ED0000"/>
          <w:shd w:val="clear" w:color="auto" w:fill="FFFFFF"/>
          <w:lang w:eastAsia="nl-NL"/>
        </w:rPr>
        <w:t>-21_Kruip.jpg</w:t>
      </w:r>
      <w:r w:rsidRPr="00C77244">
        <w:rPr>
          <w:rFonts w:cstheme="minorHAnsi"/>
          <w:color w:val="FF0000"/>
        </w:rPr>
        <w:t>]]]</w:t>
      </w:r>
      <w:r w:rsidRPr="00C77244">
        <w:rPr>
          <w:rFonts w:ascii="Calibri" w:eastAsia="Times New Roman" w:hAnsi="Calibri" w:cs="Calibri"/>
          <w:color w:val="FF0000"/>
          <w:szCs w:val="24"/>
          <w:shd w:val="clear" w:color="auto" w:fill="FFFFFF"/>
          <w:lang w:eastAsia="nl-NL"/>
        </w:rPr>
        <w:t xml:space="preserve">@/i@​  </w:t>
      </w:r>
    </w:p>
    <w:p w14:paraId="26885523" w14:textId="5FF75A9B" w:rsidR="00617421" w:rsidRPr="00CA70E0" w:rsidRDefault="006D6D06" w:rsidP="006D6D06">
      <w:pPr>
        <w:jc w:val="left"/>
        <w:rPr>
          <w:rFonts w:cstheme="minorHAnsi"/>
        </w:rPr>
      </w:pPr>
      <w:r>
        <w:rPr>
          <w:rFonts w:cstheme="minorHAnsi"/>
        </w:rPr>
        <w:br/>
      </w:r>
    </w:p>
    <w:p w14:paraId="72728C5F" w14:textId="4E545327" w:rsidR="00617421" w:rsidRPr="002F312B" w:rsidRDefault="00617421" w:rsidP="006D6D06">
      <w:pPr>
        <w:pStyle w:val="Heading2"/>
        <w:jc w:val="left"/>
      </w:pPr>
      <w:bookmarkStart w:id="7" w:name="_Hlk85268186"/>
      <w:r w:rsidRPr="002F312B">
        <w:t>Het euvel van de overcapaciteit</w:t>
      </w:r>
      <w:r w:rsidR="006D6D06">
        <w:br/>
      </w:r>
    </w:p>
    <w:bookmarkEnd w:id="7"/>
    <w:p w14:paraId="68A3D4DE" w14:textId="72239DD5" w:rsidR="00B95768" w:rsidRDefault="00B95768" w:rsidP="006D6D06">
      <w:pPr>
        <w:jc w:val="left"/>
      </w:pPr>
      <w:r>
        <w:t xml:space="preserve">Kort voor de eeuwwisseling maakte de schipperswereld voor het eerst kennis met het verschijnsel van ‘overcapaciteit’ (overschot aan scheepsruimte), een euvel dat zich later bij iedere conjunctuuromslag herhaalde. In perioden </w:t>
      </w:r>
      <w:r w:rsidR="00F11292">
        <w:t xml:space="preserve">met groeiend vervoer </w:t>
      </w:r>
      <w:r>
        <w:t>waren reders en schippers optimistisch en kochten nieuwe</w:t>
      </w:r>
      <w:r w:rsidR="001C62A8">
        <w:t>, grotere</w:t>
      </w:r>
      <w:r>
        <w:t xml:space="preserve"> schepen</w:t>
      </w:r>
      <w:r w:rsidR="001C62A8">
        <w:t xml:space="preserve">. </w:t>
      </w:r>
      <w:r w:rsidR="00F11292">
        <w:t xml:space="preserve">Zodra de conjunctuur omsloeg, </w:t>
      </w:r>
      <w:r w:rsidR="001C62A8">
        <w:t xml:space="preserve">veranderde </w:t>
      </w:r>
      <w:r w:rsidR="00F11292">
        <w:t xml:space="preserve">deze toestand </w:t>
      </w:r>
      <w:r w:rsidR="001C62A8">
        <w:t xml:space="preserve">abrupt. Het vervoer </w:t>
      </w:r>
      <w:r w:rsidR="00F11292">
        <w:t>daalde</w:t>
      </w:r>
      <w:r w:rsidR="001C62A8">
        <w:t xml:space="preserve">, het scheepsaanbod bleek te groot, de vrachtprijzen kelderden en veel schippers kwamen </w:t>
      </w:r>
      <w:r w:rsidR="001B60EF">
        <w:t xml:space="preserve">onverwacht </w:t>
      </w:r>
      <w:r w:rsidR="00DD5AB3">
        <w:t xml:space="preserve">in grote moeilijkheden. </w:t>
      </w:r>
      <w:r w:rsidR="001C62A8">
        <w:t xml:space="preserve">Dit gold vooral voor schippers met veel schulden en schippers met oude, kleine, ondeugdelijke </w:t>
      </w:r>
      <w:r w:rsidR="00F11292">
        <w:t>schepen</w:t>
      </w:r>
      <w:r w:rsidR="001C62A8">
        <w:t xml:space="preserve">, waarmee geen droog brood te verdienen was. </w:t>
      </w:r>
      <w:r w:rsidR="00B72AEA">
        <w:t>Wanneer schippers hun schulden niet konden betalen</w:t>
      </w:r>
      <w:r w:rsidR="002F312B">
        <w:t>,</w:t>
      </w:r>
      <w:r w:rsidR="00B72AEA">
        <w:t xml:space="preserve"> legden de banken beslag op hun vaartuig en verkochten </w:t>
      </w:r>
      <w:r w:rsidR="00DD5AB3">
        <w:t xml:space="preserve">het </w:t>
      </w:r>
      <w:r w:rsidR="00B72AEA">
        <w:t xml:space="preserve">aan derden. </w:t>
      </w:r>
      <w:r w:rsidR="001C62A8">
        <w:t xml:space="preserve">Sommige schippers zagen zich </w:t>
      </w:r>
      <w:r w:rsidR="00B72AEA">
        <w:t xml:space="preserve">dan </w:t>
      </w:r>
      <w:r w:rsidR="001C62A8">
        <w:t>gedwongen om een ander beroep te kiezen.</w:t>
      </w:r>
      <w:r w:rsidR="001C62A8">
        <w:rPr>
          <w:rStyle w:val="EndnoteReference"/>
        </w:rPr>
        <w:endnoteReference w:id="11"/>
      </w:r>
      <w:r w:rsidR="001C62A8">
        <w:t xml:space="preserve"> </w:t>
      </w:r>
      <w:r>
        <w:t xml:space="preserve"> </w:t>
      </w:r>
    </w:p>
    <w:p w14:paraId="0BD766A5" w14:textId="706188C5" w:rsidR="001310AB" w:rsidRDefault="00A61A4C" w:rsidP="00056545">
      <w:pPr>
        <w:jc w:val="left"/>
      </w:pPr>
      <w:r w:rsidRPr="00C77244">
        <w:rPr>
          <w:rFonts w:ascii="Calibri" w:eastAsia="Times New Roman" w:hAnsi="Calibri" w:cs="Calibri"/>
          <w:color w:val="FF0000"/>
          <w:szCs w:val="24"/>
          <w:shd w:val="clear" w:color="auto" w:fill="FFFFFF"/>
          <w:lang w:eastAsia="nl-NL"/>
        </w:rPr>
        <w:t>@i@</w:t>
      </w:r>
      <w:r w:rsidRPr="00C77244">
        <w:rPr>
          <w:rFonts w:eastAsia="Times New Roman" w:cs="Times New Roman"/>
          <w:color w:val="FF0000"/>
          <w:szCs w:val="24"/>
          <w:lang w:eastAsia="nl-NL"/>
        </w:rPr>
        <w:t>[[[</w:t>
      </w:r>
      <w:bookmarkStart w:id="8" w:name="_Hlk167106689"/>
      <w:r w:rsidR="00D278E2">
        <w:rPr>
          <w:rFonts w:ascii="Calibri" w:eastAsia="Times New Roman" w:hAnsi="Calibri" w:cs="Calibri"/>
          <w:color w:val="FF0000"/>
          <w:shd w:val="clear" w:color="auto" w:fill="FFFFFF"/>
          <w:lang w:eastAsia="nl-NL"/>
        </w:rPr>
        <w:t>7</w:t>
      </w:r>
      <w:r>
        <w:rPr>
          <w:rFonts w:ascii="Calibri" w:eastAsia="Times New Roman" w:hAnsi="Calibri" w:cs="Calibri"/>
          <w:color w:val="FF0000"/>
          <w:shd w:val="clear" w:color="auto" w:fill="FFFFFF"/>
          <w:lang w:eastAsia="nl-NL"/>
        </w:rPr>
        <w:t>-</w:t>
      </w:r>
      <w:r w:rsidRPr="0066348A">
        <w:rPr>
          <w:color w:val="FF0000"/>
        </w:rPr>
        <w:t>45</w:t>
      </w:r>
      <w:r>
        <w:rPr>
          <w:color w:val="FF0000"/>
        </w:rPr>
        <w:t>a_Blekersvaart.jpg</w:t>
      </w:r>
      <w:bookmarkEnd w:id="8"/>
      <w:r w:rsidRPr="00C77244">
        <w:rPr>
          <w:rFonts w:cstheme="minorHAnsi"/>
          <w:color w:val="FF0000"/>
        </w:rPr>
        <w:t>]]]</w:t>
      </w:r>
      <w:r w:rsidRPr="00C77244">
        <w:rPr>
          <w:rFonts w:ascii="Calibri" w:eastAsia="Times New Roman" w:hAnsi="Calibri" w:cs="Calibri"/>
          <w:color w:val="FF0000"/>
          <w:szCs w:val="24"/>
          <w:shd w:val="clear" w:color="auto" w:fill="FFFFFF"/>
          <w:lang w:eastAsia="nl-NL"/>
        </w:rPr>
        <w:t xml:space="preserve">@/i@​  </w:t>
      </w:r>
      <w:r w:rsidRPr="00427976">
        <w:br/>
      </w:r>
    </w:p>
    <w:p w14:paraId="1A863880" w14:textId="77777777" w:rsidR="001310AB" w:rsidRPr="00427976" w:rsidRDefault="001310AB" w:rsidP="00056545">
      <w:pPr>
        <w:jc w:val="left"/>
      </w:pPr>
    </w:p>
    <w:p w14:paraId="52B98B08" w14:textId="5E1444B9" w:rsidR="00FD070E" w:rsidRDefault="00467CD5" w:rsidP="00056545">
      <w:pPr>
        <w:pStyle w:val="Heading2"/>
        <w:jc w:val="left"/>
      </w:pPr>
      <w:bookmarkStart w:id="9" w:name="_Hlk85268304"/>
      <w:r>
        <w:t>De Eerste Wereldoorlog</w:t>
      </w:r>
      <w:bookmarkEnd w:id="9"/>
      <w:r w:rsidR="00056545">
        <w:br/>
      </w:r>
    </w:p>
    <w:p w14:paraId="52779C44" w14:textId="7EF1E00F" w:rsidR="00851EE4" w:rsidRDefault="00851EE4" w:rsidP="00056545">
      <w:pPr>
        <w:jc w:val="left"/>
      </w:pPr>
      <w:r>
        <w:t xml:space="preserve">De Eerste Wereldoorlog </w:t>
      </w:r>
      <w:r w:rsidR="00DD5AB3">
        <w:t xml:space="preserve">beëindigde de economische groei abrupt. </w:t>
      </w:r>
      <w:r>
        <w:t xml:space="preserve">Tussen 1913 en 1918 daalde het Rijnvaartvervoer bij Lobith van 38 naar 5 miljoen ton. Nederlandse Rijnschepen, die op de Rijn geen emplooi vonden, weken uit naar de binnenlandse markt. </w:t>
      </w:r>
      <w:r w:rsidR="00785493">
        <w:t xml:space="preserve">Weliswaar hield die zich beter dan de Rijnvaart, maar ook hier was het scheepvaartvervoer </w:t>
      </w:r>
      <w:r>
        <w:t>aan het eind van de oorlog met een kwart teruggelopen.</w:t>
      </w:r>
      <w:r w:rsidR="002B6B66">
        <w:t xml:space="preserve"> </w:t>
      </w:r>
      <w:r w:rsidR="00B72AEA">
        <w:t>Het aantal reizen daalde sterk</w:t>
      </w:r>
      <w:r w:rsidR="00785493">
        <w:t xml:space="preserve">, </w:t>
      </w:r>
      <w:r w:rsidR="00B72AEA">
        <w:t>de vrachtprijzen kelderden</w:t>
      </w:r>
      <w:r w:rsidR="00785493">
        <w:t>, e</w:t>
      </w:r>
      <w:r w:rsidR="003149C1">
        <w:t xml:space="preserve">ind 1914 </w:t>
      </w:r>
      <w:r w:rsidR="00785493">
        <w:t>zat driekwart van de schippers zonder werk</w:t>
      </w:r>
      <w:bookmarkStart w:id="10" w:name="_Hlk85268479"/>
      <w:r w:rsidR="00E03962">
        <w:t xml:space="preserve">, met de rug tegen de muur. </w:t>
      </w:r>
      <w:r w:rsidR="006B6FB1">
        <w:t xml:space="preserve">In de beide </w:t>
      </w:r>
      <w:r w:rsidR="006B6FB1">
        <w:lastRenderedPageBreak/>
        <w:t>volgende jaren dwongen actievoerend</w:t>
      </w:r>
      <w:r w:rsidR="00497292">
        <w:t>e</w:t>
      </w:r>
      <w:r w:rsidR="006B6FB1">
        <w:t xml:space="preserve"> schippers, gedreven door bittere armoede, </w:t>
      </w:r>
      <w:r w:rsidR="003149C1">
        <w:t>met overreding, relletjes,</w:t>
      </w:r>
      <w:r w:rsidR="002B6B66">
        <w:t xml:space="preserve"> stakingen, vernielingen en</w:t>
      </w:r>
      <w:r w:rsidR="003149C1">
        <w:t xml:space="preserve"> fysiek geweld af dat op verschillende plaatsen in het land schippersbeurzen werden gevormd.</w:t>
      </w:r>
      <w:bookmarkEnd w:id="10"/>
      <w:r w:rsidR="003149C1">
        <w:t xml:space="preserve"> Hier werden de vrachten </w:t>
      </w:r>
      <w:bookmarkStart w:id="11" w:name="_Hlk83456097"/>
      <w:r w:rsidR="003149C1">
        <w:t>tegen tevoren vastgestelde vrachtprijzen om de beurt onder de schippers verdeeld.</w:t>
      </w:r>
      <w:bookmarkEnd w:id="11"/>
      <w:r w:rsidR="00613E81">
        <w:t xml:space="preserve"> Vanaf 1917 verplichtte de regering het bedrijfsleven </w:t>
      </w:r>
      <w:r w:rsidR="006B6FB1">
        <w:t>b</w:t>
      </w:r>
      <w:r w:rsidR="00613E81">
        <w:t xml:space="preserve">ijna alle binnenlandse bevrachtingen via de schippersbeurzen te regelen. </w:t>
      </w:r>
      <w:r w:rsidR="003149C1">
        <w:t>Later zou dit bevrachtingssysteem de naam ‘Evenredige Vrachtverdeling’ krijgen.</w:t>
      </w:r>
      <w:r w:rsidR="00DD22FC">
        <w:rPr>
          <w:rStyle w:val="EndnoteReference"/>
        </w:rPr>
        <w:endnoteReference w:id="12"/>
      </w:r>
    </w:p>
    <w:p w14:paraId="50A062AC" w14:textId="3D3891B2" w:rsidR="006B6FB1" w:rsidRDefault="006B6FB1" w:rsidP="00294737">
      <w:pPr>
        <w:ind w:firstLine="708"/>
        <w:jc w:val="left"/>
      </w:pPr>
      <w:r>
        <w:t xml:space="preserve">Aan het eind van de oorlog ontstond een chaotische situatie. Allereerst zorgde voedselgebrek in de grote steden voor grote sociale onrust. In 1917 brak in Amsterdam een hongeroproer uit, waarbij </w:t>
      </w:r>
      <w:r w:rsidR="00B907C1">
        <w:t xml:space="preserve">tien </w:t>
      </w:r>
      <w:r>
        <w:t xml:space="preserve">doden en 108 gewonden vielen. Tegelijk viel de steenkolenaanvoer vanuit Duitsland weg. </w:t>
      </w:r>
      <w:r w:rsidR="0099406E">
        <w:t xml:space="preserve">Steenkolen vormden de belangrijkste energiebron en Nederland was voor zijn kolenvoorziening grotendeels op Duitsland aangewezen. Door kolengebrek dreigde de Nederlandse industrie </w:t>
      </w:r>
      <w:r w:rsidR="00AD7894">
        <w:t>stil te vallen, terwijl de regering het spoorweggoederenvervoer noodgedwongen grotendeels moest verbieden. De problemen escaleerden, toen in omliggende landen revoluties uitbraken. De onzekere situatie leidde ook in de binnenvaart tot grote onrust. Verladers, reders en schippers ontdoken de beursbepalingen. Schippersrelletjes en schippersstakingen dreigden het vervoer te ontwrichten.</w:t>
      </w:r>
      <w:r w:rsidR="0099406E">
        <w:t xml:space="preserve"> </w:t>
      </w:r>
      <w:r w:rsidR="00AD7894">
        <w:t>De landelijke voedselvoorziening kwam in gevaar. De regering stond bijna machteloos. Na de oorlog wist de regering de toestand pas na een schippersstaking van twee maanden te normaliseren.</w:t>
      </w:r>
    </w:p>
    <w:p w14:paraId="667D4332" w14:textId="36D34BAC" w:rsidR="00AE3947" w:rsidRDefault="00754094" w:rsidP="00294737">
      <w:pPr>
        <w:jc w:val="left"/>
      </w:pPr>
      <w:r>
        <w:br/>
      </w:r>
    </w:p>
    <w:p w14:paraId="383BFB67" w14:textId="4B9B1EDD" w:rsidR="00467CD5" w:rsidRDefault="00467CD5" w:rsidP="00294737">
      <w:pPr>
        <w:pStyle w:val="Heading2"/>
        <w:jc w:val="left"/>
      </w:pPr>
      <w:bookmarkStart w:id="12" w:name="_Hlk85268764"/>
      <w:r>
        <w:t>Tussen de beide wereldoorlogen</w:t>
      </w:r>
      <w:r w:rsidR="00294737">
        <w:br/>
      </w:r>
    </w:p>
    <w:bookmarkEnd w:id="12"/>
    <w:p w14:paraId="4291FCE6" w14:textId="340D8D71" w:rsidR="00C419A0" w:rsidRDefault="00E540DE" w:rsidP="00294737">
      <w:pPr>
        <w:jc w:val="left"/>
      </w:pPr>
      <w:r>
        <w:t xml:space="preserve">In het binnenlandse scheepvaartvervoer keerde vanaf 1922 een vrije markt terug. </w:t>
      </w:r>
      <w:r w:rsidR="00FA35A4">
        <w:t>Na de oorlogservaringen gaf de regering de opvoering van de Limburgse steenkolenproductie een hoge prioriteit.</w:t>
      </w:r>
      <w:r w:rsidR="00FA35A4" w:rsidRPr="00FA35A4">
        <w:t xml:space="preserve"> </w:t>
      </w:r>
      <w:r w:rsidR="00FA35A4">
        <w:t xml:space="preserve">Aanvankelijk verzorgden de spoorwegen het steenkolenvervoer. </w:t>
      </w:r>
      <w:r w:rsidR="00E05951">
        <w:t xml:space="preserve">Na verbetering van de vaarwegen, vanaf 1929, </w:t>
      </w:r>
      <w:r w:rsidR="00FA35A4">
        <w:t xml:space="preserve"> </w:t>
      </w:r>
      <w:r w:rsidR="00E05951">
        <w:t>kon de binnenvaart bij het kolenvervoer worden ingeschakeld. In de jaren dertig vormden Limburgse steenkolen voor het binnenlandse scheepvaartvervoer de belangrijkste transportstroom.</w:t>
      </w:r>
      <w:r w:rsidR="00E05951">
        <w:rPr>
          <w:rStyle w:val="EndnoteReference"/>
        </w:rPr>
        <w:endnoteReference w:id="13"/>
      </w:r>
    </w:p>
    <w:p w14:paraId="1007770B" w14:textId="4E74652B" w:rsidR="00E05951" w:rsidRDefault="00E05951" w:rsidP="00294737">
      <w:pPr>
        <w:ind w:firstLine="708"/>
        <w:jc w:val="left"/>
      </w:pPr>
      <w:r>
        <w:t>In Duitsland duurde het tot 1924 voordat het internationale vervoer zich herstelde.</w:t>
      </w:r>
      <w:r w:rsidRPr="00E05951">
        <w:t xml:space="preserve"> </w:t>
      </w:r>
      <w:r>
        <w:t xml:space="preserve">Daarna volgde een kortstondige gouden periode. Tussen 1924 en 1929 groeide de Rijnvaart van 32 naar 55 miljoen ton, </w:t>
      </w:r>
      <w:r w:rsidR="005A5DE8">
        <w:t xml:space="preserve">terwijl het binnenlandse scheepvaartvervoer tussen 1914 en 1929 met ongeveer </w:t>
      </w:r>
      <w:r w:rsidR="009239D8">
        <w:t xml:space="preserve">zeventig </w:t>
      </w:r>
      <w:r w:rsidR="005A5DE8">
        <w:t xml:space="preserve">procent toenam. </w:t>
      </w:r>
      <w:r w:rsidR="007A36C4" w:rsidRPr="00DC5037">
        <w:t xml:space="preserve">Reders en schippers zagen de toekomst vol vertrouwen tegemoet, de vloot werd </w:t>
      </w:r>
      <w:r w:rsidR="007A36C4">
        <w:t xml:space="preserve">op onverantwoorde wijze </w:t>
      </w:r>
      <w:r w:rsidR="007A36C4" w:rsidRPr="00DC5037">
        <w:t>uitgebreid.</w:t>
      </w:r>
      <w:r w:rsidR="007A36C4">
        <w:t xml:space="preserve"> Na de conjunctuuromslag in 1929 volgde een ongekende economische crisis. Tussen 1929 en 1933 daalde het internationaal binnenvaartvervoer, inclusief doorvoer, van 63 naar 40 miljoen ton, terwijl de vrachtprijzen bijna halveerden. Reders moesten personeel ontslaan en een deel van hun schepen opleggen. Particuliere schippers zaten langdurig zonder emplooi. Hun gezinnen leden honger en kou en moesten leven van de bedeling. Veel schippers gingen failliet.</w:t>
      </w:r>
      <w:r w:rsidR="007A36C4">
        <w:rPr>
          <w:rStyle w:val="EndnoteReference"/>
        </w:rPr>
        <w:endnoteReference w:id="14"/>
      </w:r>
    </w:p>
    <w:p w14:paraId="232623E7" w14:textId="7EBEFC83" w:rsidR="0050342D" w:rsidRPr="00EE779C" w:rsidRDefault="007A36C4" w:rsidP="009B319C">
      <w:pPr>
        <w:ind w:firstLine="708"/>
      </w:pPr>
      <w:r>
        <w:t xml:space="preserve">In het binnenlands vervoer dwong de noodtoestand onder de schippers de regering in 1933 tot ingrijpen. Bevreesd voor nieuwe ongeregeldheden voerde ze – geïnspireerd door de ervaringen tijdens de Eerste Wereldoorlog – als noodmaatregel opnieuw de Evenredige Vrachtverdeling in, die de vrije concurrentie in het binnenlandse scheepvaartvervoer </w:t>
      </w:r>
      <w:r>
        <w:lastRenderedPageBreak/>
        <w:t>beëindigde. Deze regeling bleef tot 1998 bestaan. Pas in 1937 zorgden de Duitse herbewapening en de devaluatie van de Nederlandse gulden voor een economisch herstel.</w:t>
      </w:r>
      <w:r>
        <w:rPr>
          <w:rStyle w:val="EndnoteReference"/>
        </w:rPr>
        <w:endnoteReference w:id="15"/>
      </w:r>
    </w:p>
    <w:p w14:paraId="348D889A" w14:textId="32632527" w:rsidR="00E055CD" w:rsidRPr="00E055CD" w:rsidRDefault="00E055CD" w:rsidP="00E055CD">
      <w:pPr>
        <w:rPr>
          <w:bCs/>
          <w:color w:val="FF0000"/>
        </w:rPr>
      </w:pPr>
      <w:r w:rsidRPr="00C77244">
        <w:rPr>
          <w:rFonts w:ascii="Calibri" w:eastAsia="Times New Roman" w:hAnsi="Calibri" w:cs="Calibri"/>
          <w:color w:val="FF0000"/>
          <w:szCs w:val="24"/>
          <w:shd w:val="clear" w:color="auto" w:fill="FFFFFF"/>
          <w:lang w:eastAsia="nl-NL"/>
        </w:rPr>
        <w:t>@i@</w:t>
      </w:r>
      <w:r w:rsidRPr="00C77244">
        <w:rPr>
          <w:rFonts w:eastAsia="Times New Roman" w:cs="Times New Roman"/>
          <w:color w:val="FF0000"/>
          <w:szCs w:val="24"/>
          <w:lang w:eastAsia="nl-NL"/>
        </w:rPr>
        <w:t>[[[</w:t>
      </w:r>
      <w:r w:rsidR="004A1352">
        <w:rPr>
          <w:bCs/>
          <w:color w:val="FF0000"/>
        </w:rPr>
        <w:t>8</w:t>
      </w:r>
      <w:r>
        <w:rPr>
          <w:bCs/>
          <w:color w:val="FF0000"/>
        </w:rPr>
        <w:t>-</w:t>
      </w:r>
      <w:r w:rsidRPr="00372D88">
        <w:rPr>
          <w:bCs/>
          <w:color w:val="FF0000"/>
        </w:rPr>
        <w:t>17_Graanoverslag.jpg</w:t>
      </w:r>
      <w:r w:rsidRPr="00C77244">
        <w:rPr>
          <w:rFonts w:cstheme="minorHAnsi"/>
          <w:color w:val="FF0000"/>
        </w:rPr>
        <w:t>]]]</w:t>
      </w:r>
      <w:r w:rsidRPr="00C77244">
        <w:rPr>
          <w:rFonts w:ascii="Calibri" w:eastAsia="Times New Roman" w:hAnsi="Calibri" w:cs="Calibri"/>
          <w:color w:val="FF0000"/>
          <w:szCs w:val="24"/>
          <w:shd w:val="clear" w:color="auto" w:fill="FFFFFF"/>
          <w:lang w:eastAsia="nl-NL"/>
        </w:rPr>
        <w:t xml:space="preserve">@/i@​  </w:t>
      </w:r>
    </w:p>
    <w:p w14:paraId="79330702" w14:textId="135BC1B0" w:rsidR="007A36C4" w:rsidRPr="002A1D17" w:rsidRDefault="002A1D17" w:rsidP="00B90A3D">
      <w:pPr>
        <w:jc w:val="left"/>
        <w:rPr>
          <w:bCs/>
          <w:color w:val="FF0000"/>
        </w:rPr>
      </w:pPr>
      <w:r w:rsidRPr="00C77244">
        <w:rPr>
          <w:rFonts w:ascii="Calibri" w:eastAsia="Times New Roman" w:hAnsi="Calibri" w:cs="Calibri"/>
          <w:color w:val="FF0000"/>
          <w:szCs w:val="24"/>
          <w:shd w:val="clear" w:color="auto" w:fill="FFFFFF"/>
          <w:lang w:eastAsia="nl-NL"/>
        </w:rPr>
        <w:t>@i@</w:t>
      </w:r>
      <w:r w:rsidRPr="00C77244">
        <w:rPr>
          <w:rFonts w:eastAsia="Times New Roman" w:cs="Times New Roman"/>
          <w:color w:val="FF0000"/>
          <w:szCs w:val="24"/>
          <w:lang w:eastAsia="nl-NL"/>
        </w:rPr>
        <w:t>[[[</w:t>
      </w:r>
      <w:r w:rsidR="004A1352">
        <w:rPr>
          <w:bCs/>
          <w:color w:val="FF0000"/>
        </w:rPr>
        <w:t>9</w:t>
      </w:r>
      <w:r>
        <w:rPr>
          <w:bCs/>
          <w:color w:val="FF0000"/>
        </w:rPr>
        <w:t>-</w:t>
      </w:r>
      <w:r w:rsidRPr="009A2B56">
        <w:rPr>
          <w:bCs/>
          <w:color w:val="FF0000"/>
        </w:rPr>
        <w:t>38_Tjalk.jpg</w:t>
      </w:r>
      <w:r w:rsidRPr="00C77244">
        <w:rPr>
          <w:rFonts w:cstheme="minorHAnsi"/>
          <w:color w:val="FF0000"/>
        </w:rPr>
        <w:t>]]]</w:t>
      </w:r>
      <w:r w:rsidRPr="00C77244">
        <w:rPr>
          <w:rFonts w:ascii="Calibri" w:eastAsia="Times New Roman" w:hAnsi="Calibri" w:cs="Calibri"/>
          <w:color w:val="FF0000"/>
          <w:szCs w:val="24"/>
          <w:shd w:val="clear" w:color="auto" w:fill="FFFFFF"/>
          <w:lang w:eastAsia="nl-NL"/>
        </w:rPr>
        <w:t xml:space="preserve">@/i@​  </w:t>
      </w:r>
    </w:p>
    <w:p w14:paraId="534A4E04" w14:textId="77777777" w:rsidR="00FA4358" w:rsidRDefault="00FA4358" w:rsidP="00B90A3D">
      <w:pPr>
        <w:jc w:val="left"/>
        <w:rPr>
          <w:rFonts w:cstheme="minorHAnsi"/>
          <w:color w:val="ED7D31" w:themeColor="accent2"/>
        </w:rPr>
      </w:pPr>
    </w:p>
    <w:p w14:paraId="58137DA9" w14:textId="77777777" w:rsidR="00EE779C" w:rsidRPr="00CA0D9E" w:rsidRDefault="00EE779C" w:rsidP="00B90A3D">
      <w:pPr>
        <w:jc w:val="left"/>
        <w:rPr>
          <w:rFonts w:cstheme="minorHAnsi"/>
        </w:rPr>
      </w:pPr>
    </w:p>
    <w:p w14:paraId="48BD26B2" w14:textId="27805424" w:rsidR="004A28F3" w:rsidRDefault="00471F73" w:rsidP="00B90A3D">
      <w:pPr>
        <w:pStyle w:val="Heading2"/>
        <w:jc w:val="left"/>
      </w:pPr>
      <w:bookmarkStart w:id="13" w:name="_Hlk85269033"/>
      <w:r>
        <w:t xml:space="preserve">De </w:t>
      </w:r>
      <w:r w:rsidR="00961720">
        <w:t xml:space="preserve">organisatie van de </w:t>
      </w:r>
      <w:r>
        <w:t>Rijnvaart</w:t>
      </w:r>
      <w:bookmarkEnd w:id="13"/>
      <w:r w:rsidR="00B90A3D">
        <w:br/>
      </w:r>
    </w:p>
    <w:p w14:paraId="388949C7" w14:textId="68F4DA53" w:rsidR="002E141D" w:rsidRDefault="007A36C4" w:rsidP="007F7A42">
      <w:pPr>
        <w:jc w:val="left"/>
        <w:rPr>
          <w:rFonts w:eastAsia="Calibri" w:cs="Times New Roman"/>
          <w:color w:val="auto"/>
          <w:szCs w:val="24"/>
        </w:rPr>
      </w:pPr>
      <w:r w:rsidRPr="005B7FAC">
        <w:rPr>
          <w:rFonts w:eastAsia="Calibri" w:cs="Times New Roman"/>
          <w:color w:val="auto"/>
          <w:szCs w:val="24"/>
        </w:rPr>
        <w:t>De Nederlandse en Duitse Rijnvaart waren sterk met elkaar ver</w:t>
      </w:r>
      <w:r w:rsidR="00B4412B">
        <w:rPr>
          <w:rFonts w:eastAsia="Calibri" w:cs="Times New Roman"/>
          <w:color w:val="auto"/>
          <w:szCs w:val="24"/>
        </w:rPr>
        <w:t>weven</w:t>
      </w:r>
      <w:r w:rsidR="005A4BA2">
        <w:rPr>
          <w:rFonts w:eastAsia="Calibri" w:cs="Times New Roman"/>
          <w:color w:val="auto"/>
          <w:szCs w:val="24"/>
        </w:rPr>
        <w:t xml:space="preserve">. </w:t>
      </w:r>
      <w:r w:rsidR="00B4412B" w:rsidRPr="005B7FAC">
        <w:rPr>
          <w:rFonts w:eastAsia="Calibri" w:cs="Times New Roman"/>
          <w:color w:val="auto"/>
          <w:szCs w:val="24"/>
        </w:rPr>
        <w:t xml:space="preserve">In de laatste decennia voor de </w:t>
      </w:r>
      <w:r w:rsidR="00B4412B">
        <w:rPr>
          <w:rFonts w:eastAsia="Calibri" w:cs="Times New Roman"/>
          <w:color w:val="auto"/>
          <w:szCs w:val="24"/>
        </w:rPr>
        <w:t>E</w:t>
      </w:r>
      <w:r w:rsidR="00B4412B" w:rsidRPr="005B7FAC">
        <w:rPr>
          <w:rFonts w:eastAsia="Calibri" w:cs="Times New Roman"/>
          <w:color w:val="auto"/>
          <w:szCs w:val="24"/>
        </w:rPr>
        <w:t xml:space="preserve">erste </w:t>
      </w:r>
      <w:r w:rsidR="00B4412B">
        <w:rPr>
          <w:rFonts w:eastAsia="Calibri" w:cs="Times New Roman"/>
          <w:color w:val="auto"/>
          <w:szCs w:val="24"/>
        </w:rPr>
        <w:t>W</w:t>
      </w:r>
      <w:r w:rsidR="00B4412B" w:rsidRPr="005B7FAC">
        <w:rPr>
          <w:rFonts w:eastAsia="Calibri" w:cs="Times New Roman"/>
          <w:color w:val="auto"/>
          <w:szCs w:val="24"/>
        </w:rPr>
        <w:t xml:space="preserve">ereldoorlog </w:t>
      </w:r>
      <w:r w:rsidR="00B4412B">
        <w:rPr>
          <w:rFonts w:eastAsia="Calibri" w:cs="Times New Roman"/>
          <w:color w:val="auto"/>
          <w:szCs w:val="24"/>
        </w:rPr>
        <w:t xml:space="preserve">ontstond </w:t>
      </w:r>
      <w:r w:rsidR="00B4412B" w:rsidRPr="005B7FAC">
        <w:rPr>
          <w:rFonts w:eastAsia="Calibri" w:cs="Times New Roman"/>
          <w:color w:val="auto"/>
          <w:szCs w:val="24"/>
        </w:rPr>
        <w:t>een aantal grote rederijen</w:t>
      </w:r>
      <w:r w:rsidR="00B4412B">
        <w:rPr>
          <w:rFonts w:eastAsia="Calibri" w:cs="Times New Roman"/>
          <w:color w:val="auto"/>
          <w:szCs w:val="24"/>
        </w:rPr>
        <w:t xml:space="preserve">: bijna allemaal eigendom van grote walondernemingen, </w:t>
      </w:r>
      <w:r w:rsidR="00B4412B" w:rsidRPr="005B7FAC">
        <w:rPr>
          <w:rFonts w:eastAsia="Calibri" w:cs="Times New Roman"/>
          <w:color w:val="auto"/>
          <w:szCs w:val="24"/>
        </w:rPr>
        <w:t>zoals Duitse mijnbouwbedrijven, de Duitse staalindustrie, steenkolenkartels, graansilobedrijven en zeevaart</w:t>
      </w:r>
      <w:r w:rsidR="00B4412B">
        <w:rPr>
          <w:rFonts w:eastAsia="Calibri" w:cs="Times New Roman"/>
          <w:color w:val="auto"/>
          <w:szCs w:val="24"/>
        </w:rPr>
        <w:t>ondernemingen</w:t>
      </w:r>
      <w:r w:rsidR="00B4412B" w:rsidRPr="005B7FAC">
        <w:rPr>
          <w:rFonts w:eastAsia="Calibri" w:cs="Times New Roman"/>
          <w:color w:val="auto"/>
          <w:szCs w:val="24"/>
        </w:rPr>
        <w:t>.</w:t>
      </w:r>
      <w:r w:rsidR="00B4412B">
        <w:rPr>
          <w:rFonts w:eastAsia="Calibri" w:cs="Times New Roman"/>
          <w:color w:val="auto"/>
          <w:szCs w:val="24"/>
        </w:rPr>
        <w:t xml:space="preserve"> Meestal waren ze </w:t>
      </w:r>
      <w:r w:rsidR="00B4412B" w:rsidRPr="005B7FAC">
        <w:rPr>
          <w:rFonts w:eastAsia="Calibri" w:cs="Times New Roman"/>
          <w:color w:val="auto"/>
          <w:szCs w:val="24"/>
        </w:rPr>
        <w:t>in Duitsland gevestigd, soms in Nederland.</w:t>
      </w:r>
      <w:r w:rsidR="00B4412B">
        <w:rPr>
          <w:rFonts w:eastAsia="Calibri" w:cs="Times New Roman"/>
          <w:color w:val="auto"/>
          <w:szCs w:val="24"/>
        </w:rPr>
        <w:t xml:space="preserve"> Om optimaal te profiteren van wetgevingsverschillen in beide landen hadden sommige walondernemingen </w:t>
      </w:r>
      <w:r w:rsidR="00B4412B" w:rsidRPr="005B7FAC">
        <w:rPr>
          <w:rFonts w:eastAsia="Calibri" w:cs="Times New Roman"/>
          <w:color w:val="auto"/>
          <w:szCs w:val="24"/>
        </w:rPr>
        <w:t xml:space="preserve">zowel een Duitse als </w:t>
      </w:r>
      <w:r w:rsidR="00B4412B">
        <w:rPr>
          <w:rFonts w:eastAsia="Calibri" w:cs="Times New Roman"/>
          <w:color w:val="auto"/>
          <w:szCs w:val="24"/>
        </w:rPr>
        <w:t>N</w:t>
      </w:r>
      <w:r w:rsidR="00B4412B" w:rsidRPr="005B7FAC">
        <w:rPr>
          <w:rFonts w:eastAsia="Calibri" w:cs="Times New Roman"/>
          <w:color w:val="auto"/>
          <w:szCs w:val="24"/>
        </w:rPr>
        <w:t>ederlandse dochterrederij</w:t>
      </w:r>
      <w:r w:rsidR="00B4412B">
        <w:rPr>
          <w:rFonts w:eastAsia="Calibri" w:cs="Times New Roman"/>
          <w:color w:val="auto"/>
          <w:szCs w:val="24"/>
        </w:rPr>
        <w:t xml:space="preserve">. </w:t>
      </w:r>
      <w:r w:rsidR="00B4412B" w:rsidRPr="005B7FAC">
        <w:rPr>
          <w:rFonts w:eastAsia="Calibri" w:cs="Times New Roman"/>
          <w:color w:val="auto"/>
          <w:szCs w:val="24"/>
        </w:rPr>
        <w:t>Aan- en verkopen, onderlinge samenwerkingsovereenkomsten, fusies en bedrijfsovernames zorgden</w:t>
      </w:r>
      <w:r w:rsidR="00B4412B">
        <w:rPr>
          <w:rFonts w:eastAsia="Calibri" w:cs="Times New Roman"/>
          <w:color w:val="auto"/>
          <w:szCs w:val="24"/>
        </w:rPr>
        <w:t xml:space="preserve"> </w:t>
      </w:r>
      <w:r w:rsidR="00B5470C">
        <w:rPr>
          <w:rFonts w:eastAsia="Calibri" w:cs="Times New Roman"/>
          <w:color w:val="auto"/>
          <w:szCs w:val="24"/>
        </w:rPr>
        <w:t>dat deze w</w:t>
      </w:r>
      <w:r w:rsidR="00B4412B" w:rsidRPr="005B7FAC">
        <w:rPr>
          <w:rFonts w:eastAsia="Calibri" w:cs="Times New Roman"/>
          <w:color w:val="auto"/>
          <w:szCs w:val="24"/>
        </w:rPr>
        <w:t>ereld voortdurend</w:t>
      </w:r>
      <w:r w:rsidR="00B5470C">
        <w:rPr>
          <w:rFonts w:eastAsia="Calibri" w:cs="Times New Roman"/>
          <w:color w:val="auto"/>
          <w:szCs w:val="24"/>
        </w:rPr>
        <w:t xml:space="preserve"> in </w:t>
      </w:r>
      <w:r w:rsidR="00B4412B" w:rsidRPr="005B7FAC">
        <w:rPr>
          <w:rFonts w:eastAsia="Calibri" w:cs="Times New Roman"/>
          <w:color w:val="auto"/>
          <w:szCs w:val="24"/>
        </w:rPr>
        <w:t>beweging</w:t>
      </w:r>
      <w:r w:rsidR="00B5470C">
        <w:rPr>
          <w:rFonts w:eastAsia="Calibri" w:cs="Times New Roman"/>
          <w:color w:val="auto"/>
          <w:szCs w:val="24"/>
        </w:rPr>
        <w:t xml:space="preserve"> was</w:t>
      </w:r>
      <w:r w:rsidR="00B4412B" w:rsidRPr="005B7FAC">
        <w:rPr>
          <w:rFonts w:eastAsia="Calibri" w:cs="Times New Roman"/>
          <w:color w:val="auto"/>
          <w:szCs w:val="24"/>
        </w:rPr>
        <w:t>.</w:t>
      </w:r>
      <w:r w:rsidR="005A4BA2" w:rsidRPr="00471F73">
        <w:rPr>
          <w:rFonts w:cs="Times New Roman"/>
          <w:bCs/>
          <w:vertAlign w:val="superscript"/>
        </w:rPr>
        <w:endnoteReference w:id="16"/>
      </w:r>
    </w:p>
    <w:p w14:paraId="4BCF61F2" w14:textId="56BBC546" w:rsidR="005B387E" w:rsidRPr="000A2DC6" w:rsidRDefault="005B387E" w:rsidP="005B387E">
      <w:pPr>
        <w:rPr>
          <w:color w:val="FF0000"/>
        </w:rPr>
      </w:pPr>
      <w:r w:rsidRPr="001B2C5D">
        <w:rPr>
          <w:rFonts w:ascii="Calibri" w:eastAsia="Times New Roman" w:hAnsi="Calibri" w:cs="Calibri"/>
          <w:color w:val="FF0000"/>
          <w:szCs w:val="24"/>
          <w:shd w:val="clear" w:color="auto" w:fill="FFFFFF"/>
          <w:lang w:eastAsia="nl-NL"/>
        </w:rPr>
        <w:t>@i@</w:t>
      </w:r>
      <w:r w:rsidRPr="001B2C5D">
        <w:rPr>
          <w:rFonts w:eastAsia="Times New Roman" w:cs="Times New Roman"/>
          <w:color w:val="FF0000"/>
          <w:szCs w:val="24"/>
          <w:lang w:eastAsia="nl-NL"/>
        </w:rPr>
        <w:t>[[[</w:t>
      </w:r>
      <w:r w:rsidR="004A1352">
        <w:rPr>
          <w:rFonts w:eastAsia="Times New Roman" w:cs="Times New Roman"/>
          <w:color w:val="FF0000"/>
          <w:szCs w:val="24"/>
          <w:lang w:eastAsia="nl-NL"/>
        </w:rPr>
        <w:t>10</w:t>
      </w:r>
      <w:r w:rsidRPr="0019625A">
        <w:rPr>
          <w:color w:val="FF0000"/>
        </w:rPr>
        <w:t>-15_Turfladen.jpg</w:t>
      </w:r>
      <w:r w:rsidRPr="001B2C5D">
        <w:rPr>
          <w:rFonts w:cstheme="minorHAnsi"/>
          <w:color w:val="FF0000"/>
        </w:rPr>
        <w:t>]]]</w:t>
      </w:r>
      <w:r w:rsidRPr="001B2C5D">
        <w:rPr>
          <w:rFonts w:ascii="Calibri" w:eastAsia="Times New Roman" w:hAnsi="Calibri" w:cs="Calibri"/>
          <w:color w:val="FF0000"/>
          <w:szCs w:val="24"/>
          <w:shd w:val="clear" w:color="auto" w:fill="FFFFFF"/>
          <w:lang w:eastAsia="nl-NL"/>
        </w:rPr>
        <w:t xml:space="preserve">@/i@​  </w:t>
      </w:r>
    </w:p>
    <w:p w14:paraId="00E37208" w14:textId="26372A6D" w:rsidR="00665DE6" w:rsidRPr="00665DE6" w:rsidRDefault="00B4412B" w:rsidP="00665DE6">
      <w:pPr>
        <w:ind w:firstLine="708"/>
        <w:jc w:val="left"/>
        <w:rPr>
          <w:rFonts w:eastAsia="Calibri" w:cs="Times New Roman"/>
          <w:color w:val="auto"/>
          <w:szCs w:val="24"/>
        </w:rPr>
      </w:pPr>
      <w:r w:rsidRPr="005B7FAC">
        <w:rPr>
          <w:rFonts w:eastAsia="Calibri" w:cs="Times New Roman"/>
          <w:color w:val="auto"/>
          <w:szCs w:val="24"/>
        </w:rPr>
        <w:t xml:space="preserve">De walondernemingen verzekerden zich met hun rederij van vervoerszekerheid en </w:t>
      </w:r>
      <w:r>
        <w:rPr>
          <w:rFonts w:eastAsia="Calibri" w:cs="Times New Roman"/>
          <w:color w:val="auto"/>
          <w:szCs w:val="24"/>
        </w:rPr>
        <w:t xml:space="preserve">van </w:t>
      </w:r>
      <w:r w:rsidRPr="005B7FAC">
        <w:rPr>
          <w:rFonts w:eastAsia="Calibri" w:cs="Times New Roman"/>
          <w:color w:val="auto"/>
          <w:szCs w:val="24"/>
        </w:rPr>
        <w:t>lage, vaste transportkosten.</w:t>
      </w:r>
      <w:r>
        <w:rPr>
          <w:rFonts w:eastAsia="Calibri" w:cs="Times New Roman"/>
          <w:color w:val="auto"/>
          <w:szCs w:val="24"/>
        </w:rPr>
        <w:t xml:space="preserve"> </w:t>
      </w:r>
      <w:r w:rsidR="00835949">
        <w:rPr>
          <w:rFonts w:eastAsia="Calibri" w:cs="Times New Roman"/>
          <w:color w:val="auto"/>
          <w:szCs w:val="24"/>
        </w:rPr>
        <w:t>L</w:t>
      </w:r>
      <w:r w:rsidR="00835949" w:rsidRPr="005B7FAC">
        <w:rPr>
          <w:rFonts w:eastAsia="Calibri" w:cs="Times New Roman"/>
          <w:color w:val="auto"/>
          <w:szCs w:val="24"/>
        </w:rPr>
        <w:t xml:space="preserve">age </w:t>
      </w:r>
      <w:r w:rsidR="00835949">
        <w:rPr>
          <w:rFonts w:eastAsia="Calibri" w:cs="Times New Roman"/>
          <w:color w:val="auto"/>
          <w:szCs w:val="24"/>
        </w:rPr>
        <w:t xml:space="preserve">transportkosten </w:t>
      </w:r>
      <w:r w:rsidR="00835949" w:rsidRPr="005B7FAC">
        <w:rPr>
          <w:rFonts w:eastAsia="Calibri" w:cs="Times New Roman"/>
          <w:color w:val="auto"/>
          <w:szCs w:val="24"/>
        </w:rPr>
        <w:t xml:space="preserve">bereikten ze door de inzet van grote schepen, door een goede logistieke organisatie, doordat </w:t>
      </w:r>
      <w:r w:rsidR="00835949">
        <w:rPr>
          <w:rFonts w:eastAsia="Calibri" w:cs="Times New Roman"/>
          <w:color w:val="auto"/>
          <w:szCs w:val="24"/>
        </w:rPr>
        <w:t xml:space="preserve">ze </w:t>
      </w:r>
      <w:r w:rsidR="00835949" w:rsidRPr="005B7FAC">
        <w:rPr>
          <w:rFonts w:eastAsia="Calibri" w:cs="Times New Roman"/>
          <w:color w:val="auto"/>
          <w:szCs w:val="24"/>
        </w:rPr>
        <w:t xml:space="preserve">hun eigen vloot op een beperkte vervoersomvang </w:t>
      </w:r>
      <w:r w:rsidR="00BC5625">
        <w:rPr>
          <w:rFonts w:eastAsia="Calibri" w:cs="Times New Roman"/>
          <w:color w:val="auto"/>
          <w:szCs w:val="24"/>
        </w:rPr>
        <w:t xml:space="preserve">afstemmen </w:t>
      </w:r>
      <w:r w:rsidR="00835949" w:rsidRPr="005B7FAC">
        <w:rPr>
          <w:rFonts w:eastAsia="Calibri" w:cs="Times New Roman"/>
          <w:color w:val="auto"/>
          <w:szCs w:val="24"/>
        </w:rPr>
        <w:t xml:space="preserve">en doordat ze geen provisie betaalden aan </w:t>
      </w:r>
      <w:r w:rsidR="00835949">
        <w:rPr>
          <w:rFonts w:eastAsia="Calibri" w:cs="Times New Roman"/>
          <w:color w:val="auto"/>
          <w:szCs w:val="24"/>
        </w:rPr>
        <w:t>bevrachters</w:t>
      </w:r>
      <w:r w:rsidR="00835949" w:rsidRPr="005B7FAC">
        <w:rPr>
          <w:rFonts w:eastAsia="Calibri" w:cs="Times New Roman"/>
          <w:color w:val="auto"/>
          <w:szCs w:val="24"/>
        </w:rPr>
        <w:t xml:space="preserve">. Daardoor </w:t>
      </w:r>
      <w:r w:rsidR="00835949">
        <w:rPr>
          <w:rFonts w:eastAsia="Calibri" w:cs="Times New Roman"/>
          <w:color w:val="auto"/>
          <w:szCs w:val="24"/>
        </w:rPr>
        <w:t xml:space="preserve">konden </w:t>
      </w:r>
      <w:r w:rsidR="00835949" w:rsidRPr="005B7FAC">
        <w:rPr>
          <w:rFonts w:eastAsia="Calibri" w:cs="Times New Roman"/>
          <w:color w:val="auto"/>
          <w:szCs w:val="24"/>
        </w:rPr>
        <w:t xml:space="preserve">hun </w:t>
      </w:r>
      <w:r w:rsidR="00835949">
        <w:rPr>
          <w:rFonts w:eastAsia="Calibri" w:cs="Times New Roman"/>
          <w:color w:val="auto"/>
          <w:szCs w:val="24"/>
        </w:rPr>
        <w:t xml:space="preserve">schepen </w:t>
      </w:r>
      <w:r w:rsidR="00835949" w:rsidRPr="005B7FAC">
        <w:rPr>
          <w:rFonts w:eastAsia="Calibri" w:cs="Times New Roman"/>
          <w:color w:val="auto"/>
          <w:szCs w:val="24"/>
        </w:rPr>
        <w:t xml:space="preserve">voortdurend </w:t>
      </w:r>
      <w:proofErr w:type="spellStart"/>
      <w:r w:rsidR="00835949" w:rsidRPr="005B7FAC">
        <w:rPr>
          <w:rFonts w:eastAsia="Calibri" w:cs="Times New Roman"/>
          <w:color w:val="auto"/>
          <w:szCs w:val="24"/>
        </w:rPr>
        <w:t>volbeladen</w:t>
      </w:r>
      <w:proofErr w:type="spellEnd"/>
      <w:r w:rsidR="00835949" w:rsidRPr="005B7FAC">
        <w:rPr>
          <w:rFonts w:eastAsia="Calibri" w:cs="Times New Roman"/>
          <w:color w:val="auto"/>
          <w:szCs w:val="24"/>
        </w:rPr>
        <w:t xml:space="preserve"> en zonder wachttijden varen. Voor het overige vervoer huurden ze particuliere schippers in.</w:t>
      </w:r>
      <w:r w:rsidR="00835949" w:rsidRPr="00835949">
        <w:rPr>
          <w:rFonts w:eastAsia="Calibri" w:cs="Times New Roman"/>
          <w:color w:val="auto"/>
          <w:szCs w:val="24"/>
        </w:rPr>
        <w:t xml:space="preserve"> </w:t>
      </w:r>
      <w:r w:rsidR="00835949">
        <w:rPr>
          <w:rFonts w:eastAsia="Calibri" w:cs="Times New Roman"/>
          <w:color w:val="auto"/>
          <w:szCs w:val="24"/>
        </w:rPr>
        <w:t xml:space="preserve">Bij </w:t>
      </w:r>
      <w:r w:rsidR="00835949" w:rsidRPr="005B7FAC">
        <w:rPr>
          <w:rFonts w:eastAsia="Calibri" w:cs="Times New Roman"/>
          <w:color w:val="auto"/>
          <w:szCs w:val="24"/>
        </w:rPr>
        <w:t xml:space="preserve">een langdurig </w:t>
      </w:r>
      <w:r w:rsidR="00835949">
        <w:rPr>
          <w:rFonts w:eastAsia="Calibri" w:cs="Times New Roman"/>
          <w:color w:val="auto"/>
          <w:szCs w:val="24"/>
        </w:rPr>
        <w:t xml:space="preserve">ladingoverschot </w:t>
      </w:r>
      <w:r w:rsidR="00835949" w:rsidRPr="005B7FAC">
        <w:rPr>
          <w:rFonts w:eastAsia="Calibri" w:cs="Times New Roman"/>
          <w:color w:val="auto"/>
          <w:szCs w:val="24"/>
        </w:rPr>
        <w:t xml:space="preserve">geschiedde dit </w:t>
      </w:r>
      <w:r w:rsidR="00835949">
        <w:rPr>
          <w:rFonts w:eastAsia="Calibri" w:cs="Times New Roman"/>
          <w:color w:val="auto"/>
          <w:szCs w:val="24"/>
        </w:rPr>
        <w:t xml:space="preserve">meestal </w:t>
      </w:r>
      <w:r w:rsidR="00835949" w:rsidRPr="005B7FAC">
        <w:rPr>
          <w:rFonts w:eastAsia="Calibri" w:cs="Times New Roman"/>
          <w:color w:val="auto"/>
          <w:szCs w:val="24"/>
        </w:rPr>
        <w:t>met langlopende contracten tegen matige prijzen. Bij onverwachte vervoers</w:t>
      </w:r>
      <w:r w:rsidR="00835949" w:rsidRPr="005B7FAC">
        <w:rPr>
          <w:rFonts w:eastAsia="Calibri" w:cs="Times New Roman"/>
          <w:color w:val="auto"/>
          <w:szCs w:val="24"/>
        </w:rPr>
        <w:softHyphen/>
        <w:t>pieken, zoals bij laag water, gold de overeenkomst voor één of enkele reizen</w:t>
      </w:r>
      <w:r w:rsidR="00835949">
        <w:rPr>
          <w:rFonts w:eastAsia="Calibri" w:cs="Times New Roman"/>
          <w:color w:val="auto"/>
          <w:szCs w:val="24"/>
        </w:rPr>
        <w:t xml:space="preserve">, meestal </w:t>
      </w:r>
      <w:r w:rsidR="00835949" w:rsidRPr="005B7FAC">
        <w:rPr>
          <w:rFonts w:eastAsia="Calibri" w:cs="Times New Roman"/>
          <w:color w:val="auto"/>
          <w:szCs w:val="24"/>
        </w:rPr>
        <w:t xml:space="preserve">tegen </w:t>
      </w:r>
      <w:r w:rsidR="00835949">
        <w:rPr>
          <w:rFonts w:eastAsia="Calibri" w:cs="Times New Roman"/>
          <w:color w:val="auto"/>
          <w:szCs w:val="24"/>
        </w:rPr>
        <w:t xml:space="preserve">een </w:t>
      </w:r>
      <w:r w:rsidR="00835949" w:rsidRPr="005B7FAC">
        <w:rPr>
          <w:rFonts w:eastAsia="Calibri" w:cs="Times New Roman"/>
          <w:color w:val="auto"/>
          <w:szCs w:val="24"/>
        </w:rPr>
        <w:t xml:space="preserve">hoge marktprijs. Deze </w:t>
      </w:r>
      <w:r w:rsidR="00835949">
        <w:rPr>
          <w:rFonts w:eastAsia="Calibri" w:cs="Times New Roman"/>
          <w:color w:val="auto"/>
          <w:szCs w:val="24"/>
        </w:rPr>
        <w:t xml:space="preserve">organisatievorm </w:t>
      </w:r>
      <w:r w:rsidR="00835949" w:rsidRPr="005B7FAC">
        <w:rPr>
          <w:rFonts w:eastAsia="Calibri" w:cs="Times New Roman"/>
          <w:color w:val="auto"/>
          <w:szCs w:val="24"/>
        </w:rPr>
        <w:t>gaf de particuliere schipper de keuze tussen twee mogelijkheden.</w:t>
      </w:r>
      <w:r w:rsidR="00835949" w:rsidRPr="00835949">
        <w:rPr>
          <w:rFonts w:eastAsia="Calibri" w:cs="Times New Roman"/>
          <w:color w:val="auto"/>
          <w:szCs w:val="24"/>
        </w:rPr>
        <w:t xml:space="preserve"> </w:t>
      </w:r>
      <w:r w:rsidR="00835949">
        <w:rPr>
          <w:rFonts w:eastAsia="Calibri" w:cs="Times New Roman"/>
          <w:color w:val="auto"/>
          <w:szCs w:val="24"/>
        </w:rPr>
        <w:t xml:space="preserve">Hij </w:t>
      </w:r>
      <w:r w:rsidR="00835949" w:rsidRPr="005B7FAC">
        <w:rPr>
          <w:rFonts w:eastAsia="Calibri" w:cs="Times New Roman"/>
          <w:color w:val="auto"/>
          <w:szCs w:val="24"/>
        </w:rPr>
        <w:t>kon kiezen voor langetermijncontracten met bestaanszekerhei</w:t>
      </w:r>
      <w:r w:rsidR="00835949">
        <w:rPr>
          <w:rFonts w:eastAsia="Calibri" w:cs="Times New Roman"/>
          <w:color w:val="auto"/>
          <w:szCs w:val="24"/>
        </w:rPr>
        <w:t xml:space="preserve">d en </w:t>
      </w:r>
      <w:r w:rsidR="00835949" w:rsidRPr="005B7FAC">
        <w:rPr>
          <w:rFonts w:eastAsia="Calibri" w:cs="Times New Roman"/>
          <w:color w:val="auto"/>
          <w:szCs w:val="24"/>
        </w:rPr>
        <w:t>gematigde opbrengsten, of voor vrijheid met grote winstmogelijkheden maar ook veel risi</w:t>
      </w:r>
      <w:r w:rsidR="00835949">
        <w:rPr>
          <w:rFonts w:eastAsia="Calibri" w:cs="Times New Roman"/>
          <w:color w:val="auto"/>
          <w:szCs w:val="24"/>
        </w:rPr>
        <w:softHyphen/>
      </w:r>
      <w:r w:rsidR="00835949" w:rsidRPr="005B7FAC">
        <w:rPr>
          <w:rFonts w:eastAsia="Calibri" w:cs="Times New Roman"/>
          <w:color w:val="auto"/>
          <w:szCs w:val="24"/>
        </w:rPr>
        <w:t>co’s. De</w:t>
      </w:r>
      <w:r w:rsidR="00835949">
        <w:rPr>
          <w:rFonts w:eastAsia="Calibri" w:cs="Times New Roman"/>
          <w:color w:val="auto"/>
          <w:szCs w:val="24"/>
        </w:rPr>
        <w:t xml:space="preserve"> inhuur </w:t>
      </w:r>
      <w:r w:rsidR="00835949" w:rsidRPr="005B7FAC">
        <w:rPr>
          <w:rFonts w:eastAsia="Calibri" w:cs="Times New Roman"/>
          <w:color w:val="auto"/>
          <w:szCs w:val="24"/>
        </w:rPr>
        <w:t>maakte particulieren kwetsbaar bij een langdurige crisis, zoals in de jaren dertig.</w:t>
      </w:r>
      <w:r w:rsidR="00835949">
        <w:rPr>
          <w:rFonts w:eastAsia="Calibri" w:cs="Times New Roman"/>
          <w:color w:val="auto"/>
          <w:szCs w:val="24"/>
        </w:rPr>
        <w:t xml:space="preserve"> </w:t>
      </w:r>
      <w:r w:rsidR="00835949" w:rsidRPr="005B7FAC">
        <w:rPr>
          <w:rFonts w:eastAsia="Calibri" w:cs="Times New Roman"/>
          <w:color w:val="auto"/>
          <w:szCs w:val="24"/>
        </w:rPr>
        <w:t xml:space="preserve">Immers, de rederijen konden dan doorvaren met hun eigen schepen, terwijl ze </w:t>
      </w:r>
      <w:r w:rsidR="00835949">
        <w:rPr>
          <w:rFonts w:eastAsia="Calibri" w:cs="Times New Roman"/>
          <w:color w:val="auto"/>
          <w:szCs w:val="24"/>
        </w:rPr>
        <w:t xml:space="preserve">hun </w:t>
      </w:r>
      <w:r w:rsidR="00835949" w:rsidRPr="005B7FAC">
        <w:rPr>
          <w:rFonts w:eastAsia="Calibri" w:cs="Times New Roman"/>
          <w:color w:val="auto"/>
          <w:szCs w:val="24"/>
        </w:rPr>
        <w:t>contracten met particulieren niet verlengden.</w:t>
      </w:r>
      <w:r w:rsidR="00835949" w:rsidRPr="00835949">
        <w:rPr>
          <w:rFonts w:eastAsia="Calibri" w:cs="Times New Roman"/>
          <w:color w:val="auto"/>
          <w:szCs w:val="24"/>
        </w:rPr>
        <w:t xml:space="preserve"> </w:t>
      </w:r>
      <w:r w:rsidR="00835949" w:rsidRPr="005B7FAC">
        <w:rPr>
          <w:rFonts w:eastAsia="Calibri" w:cs="Times New Roman"/>
          <w:color w:val="auto"/>
          <w:szCs w:val="24"/>
        </w:rPr>
        <w:t>Die waren dan aangewezen op de vrije markt, met lange wachttijden</w:t>
      </w:r>
      <w:r w:rsidR="00835949">
        <w:rPr>
          <w:rFonts w:eastAsia="Calibri" w:cs="Times New Roman"/>
          <w:color w:val="auto"/>
          <w:szCs w:val="24"/>
        </w:rPr>
        <w:t xml:space="preserve"> en lage vrachtprijzen</w:t>
      </w:r>
      <w:r w:rsidR="00835949" w:rsidRPr="005B7FAC">
        <w:rPr>
          <w:rFonts w:eastAsia="Calibri" w:cs="Times New Roman"/>
          <w:color w:val="auto"/>
          <w:szCs w:val="24"/>
        </w:rPr>
        <w:t>.</w:t>
      </w:r>
    </w:p>
    <w:p w14:paraId="426F8F6A" w14:textId="41438D00" w:rsidR="00D53908" w:rsidRPr="00E90F09" w:rsidRDefault="00665DE6" w:rsidP="00E90F09">
      <w:pPr>
        <w:jc w:val="left"/>
        <w:rPr>
          <w:rFonts w:eastAsia="Calibri" w:cs="Times New Roman"/>
          <w:color w:val="auto"/>
        </w:rPr>
      </w:pPr>
      <w:r w:rsidRPr="00C77244">
        <w:rPr>
          <w:rFonts w:ascii="Calibri" w:eastAsia="Times New Roman" w:hAnsi="Calibri" w:cs="Calibri"/>
          <w:color w:val="FF0000"/>
          <w:szCs w:val="24"/>
          <w:shd w:val="clear" w:color="auto" w:fill="FFFFFF"/>
          <w:lang w:eastAsia="nl-NL"/>
        </w:rPr>
        <w:t>@i@</w:t>
      </w:r>
      <w:r w:rsidRPr="00C77244">
        <w:rPr>
          <w:rFonts w:eastAsia="Times New Roman" w:cs="Times New Roman"/>
          <w:color w:val="FF0000"/>
          <w:szCs w:val="24"/>
          <w:lang w:eastAsia="nl-NL"/>
        </w:rPr>
        <w:t>[[[</w:t>
      </w:r>
      <w:r w:rsidR="00300193">
        <w:rPr>
          <w:rFonts w:eastAsia="Times New Roman" w:cs="Times New Roman"/>
          <w:color w:val="FF0000"/>
          <w:szCs w:val="24"/>
          <w:lang w:eastAsia="nl-NL"/>
        </w:rPr>
        <w:t>11</w:t>
      </w:r>
      <w:r>
        <w:rPr>
          <w:color w:val="FF0000"/>
        </w:rPr>
        <w:t>-</w:t>
      </w:r>
      <w:r w:rsidRPr="00935B03">
        <w:rPr>
          <w:color w:val="FF0000"/>
        </w:rPr>
        <w:t>01_Rijn_Stroomafwaarts.jpg</w:t>
      </w:r>
      <w:r w:rsidRPr="00C77244">
        <w:rPr>
          <w:rFonts w:cstheme="minorHAnsi"/>
          <w:color w:val="FF0000"/>
        </w:rPr>
        <w:t>]]]</w:t>
      </w:r>
      <w:r w:rsidRPr="00C77244">
        <w:rPr>
          <w:rFonts w:ascii="Calibri" w:eastAsia="Times New Roman" w:hAnsi="Calibri" w:cs="Calibri"/>
          <w:color w:val="FF0000"/>
          <w:szCs w:val="24"/>
          <w:shd w:val="clear" w:color="auto" w:fill="FFFFFF"/>
          <w:lang w:eastAsia="nl-NL"/>
        </w:rPr>
        <w:t xml:space="preserve">@/i@​  </w:t>
      </w:r>
    </w:p>
    <w:p w14:paraId="121E3959" w14:textId="3D9736B7" w:rsidR="00F300F9" w:rsidRPr="005B7FAC" w:rsidRDefault="00F300F9" w:rsidP="00DE08B1">
      <w:pPr>
        <w:ind w:firstLine="708"/>
        <w:jc w:val="left"/>
        <w:rPr>
          <w:rFonts w:eastAsia="Calibri" w:cs="Times New Roman"/>
          <w:color w:val="auto"/>
          <w:szCs w:val="24"/>
        </w:rPr>
      </w:pPr>
      <w:r w:rsidRPr="005B7FAC">
        <w:rPr>
          <w:rFonts w:eastAsia="Calibri" w:cs="Times New Roman"/>
          <w:color w:val="auto"/>
          <w:szCs w:val="24"/>
        </w:rPr>
        <w:t xml:space="preserve">Daartegenover hadden de particuliere schippers in </w:t>
      </w:r>
      <w:r>
        <w:rPr>
          <w:rFonts w:eastAsia="Calibri" w:cs="Times New Roman"/>
          <w:color w:val="auto"/>
          <w:szCs w:val="24"/>
        </w:rPr>
        <w:t xml:space="preserve">verhouding tot </w:t>
      </w:r>
      <w:r w:rsidRPr="005B7FAC">
        <w:rPr>
          <w:rFonts w:eastAsia="Calibri" w:cs="Times New Roman"/>
          <w:color w:val="auto"/>
          <w:szCs w:val="24"/>
        </w:rPr>
        <w:t xml:space="preserve">de rederijen één belangrijk voordeel. </w:t>
      </w:r>
      <w:r>
        <w:rPr>
          <w:rFonts w:eastAsia="Calibri" w:cs="Times New Roman"/>
          <w:color w:val="auto"/>
          <w:szCs w:val="24"/>
        </w:rPr>
        <w:t xml:space="preserve">Schippers </w:t>
      </w:r>
      <w:r w:rsidRPr="005B7FAC">
        <w:rPr>
          <w:rFonts w:eastAsia="Calibri" w:cs="Times New Roman"/>
          <w:color w:val="auto"/>
          <w:szCs w:val="24"/>
        </w:rPr>
        <w:t>kon</w:t>
      </w:r>
      <w:r>
        <w:rPr>
          <w:rFonts w:eastAsia="Calibri" w:cs="Times New Roman"/>
          <w:color w:val="auto"/>
          <w:szCs w:val="24"/>
        </w:rPr>
        <w:t>den</w:t>
      </w:r>
      <w:r w:rsidRPr="005B7FAC">
        <w:rPr>
          <w:rFonts w:eastAsia="Calibri" w:cs="Times New Roman"/>
          <w:color w:val="auto"/>
          <w:szCs w:val="24"/>
        </w:rPr>
        <w:t xml:space="preserve"> in slechte tijden langdurig met een laag inkomen volstaan, terwijl de rederijen hun bemanningen </w:t>
      </w:r>
      <w:r>
        <w:rPr>
          <w:rFonts w:eastAsia="Calibri" w:cs="Times New Roman"/>
          <w:color w:val="auto"/>
          <w:szCs w:val="24"/>
        </w:rPr>
        <w:t xml:space="preserve">nog enige tijd </w:t>
      </w:r>
      <w:r w:rsidRPr="005B7FAC">
        <w:rPr>
          <w:rFonts w:eastAsia="Calibri" w:cs="Times New Roman"/>
          <w:color w:val="auto"/>
          <w:szCs w:val="24"/>
        </w:rPr>
        <w:t>de tevoren vastgestelde lonen moesten betalen. Veel Nederlandse particuliere schippers werkten voor een Duitse rederij. Ze voeren tussen de Duitse Rijnhavens en kwamen zelden in Nederland.</w:t>
      </w:r>
    </w:p>
    <w:p w14:paraId="25889425" w14:textId="77777777" w:rsidR="00D963C6" w:rsidRDefault="00D963C6" w:rsidP="00DE08B1">
      <w:pPr>
        <w:ind w:firstLine="708"/>
        <w:jc w:val="left"/>
        <w:rPr>
          <w:rFonts w:eastAsia="Calibri" w:cs="Times New Roman"/>
          <w:color w:val="auto"/>
          <w:szCs w:val="24"/>
        </w:rPr>
      </w:pPr>
      <w:r w:rsidRPr="005B7FAC">
        <w:rPr>
          <w:rFonts w:eastAsia="Calibri" w:cs="Times New Roman"/>
          <w:color w:val="auto"/>
          <w:szCs w:val="24"/>
        </w:rPr>
        <w:t>Ook grote rederijen die geen dochteronderneming van een walonderneming waren, richtten zich bij hun bedrijfsvoering vooral op de grote verladers. Daarbij streefden ze naar langlopende vervoercontracten, waarbij ze grote hoeveelheden lading tegen vaste, lage prijzen vervoerden.</w:t>
      </w:r>
      <w:r>
        <w:rPr>
          <w:rFonts w:eastAsia="Calibri" w:cs="Times New Roman"/>
          <w:color w:val="auto"/>
          <w:szCs w:val="24"/>
        </w:rPr>
        <w:t xml:space="preserve"> </w:t>
      </w:r>
    </w:p>
    <w:p w14:paraId="607E1CE5" w14:textId="2E363C3D" w:rsidR="00D963C6" w:rsidRPr="005B7FAC" w:rsidRDefault="00D963C6" w:rsidP="00DE08B1">
      <w:pPr>
        <w:ind w:firstLine="708"/>
        <w:jc w:val="left"/>
        <w:rPr>
          <w:rFonts w:eastAsia="Calibri" w:cs="Times New Roman"/>
          <w:b/>
          <w:color w:val="auto"/>
          <w:szCs w:val="24"/>
        </w:rPr>
      </w:pPr>
      <w:r w:rsidRPr="005B7FAC">
        <w:rPr>
          <w:rFonts w:eastAsia="Calibri" w:cs="Times New Roman"/>
          <w:color w:val="auto"/>
          <w:szCs w:val="24"/>
        </w:rPr>
        <w:lastRenderedPageBreak/>
        <w:t xml:space="preserve">De vervlechting tussen de </w:t>
      </w:r>
      <w:r>
        <w:rPr>
          <w:rFonts w:eastAsia="Calibri" w:cs="Times New Roman"/>
          <w:color w:val="auto"/>
          <w:szCs w:val="24"/>
        </w:rPr>
        <w:t xml:space="preserve">Nederlandse en Duitse vloot </w:t>
      </w:r>
      <w:r w:rsidRPr="005B7FAC">
        <w:rPr>
          <w:rFonts w:eastAsia="Calibri" w:cs="Times New Roman"/>
          <w:color w:val="auto"/>
          <w:szCs w:val="24"/>
        </w:rPr>
        <w:t xml:space="preserve">werd nog versterkt door de wijze van financiering. In Nederland was het hypotheekstelsel voor de bouw van nieuwe vaartuigen </w:t>
      </w:r>
      <w:r w:rsidRPr="00753359">
        <w:rPr>
          <w:rFonts w:eastAsia="Calibri" w:cs="Times New Roman"/>
          <w:color w:val="auto"/>
          <w:szCs w:val="24"/>
        </w:rPr>
        <w:t>veel verder</w:t>
      </w:r>
      <w:r w:rsidRPr="005B7FAC">
        <w:rPr>
          <w:rFonts w:eastAsia="Calibri" w:cs="Times New Roman"/>
          <w:color w:val="auto"/>
          <w:szCs w:val="24"/>
        </w:rPr>
        <w:t xml:space="preserve"> ontwikkeld dan in Duitsland. Vandaar dat </w:t>
      </w:r>
      <w:r w:rsidR="002C4A07">
        <w:rPr>
          <w:rFonts w:eastAsia="Calibri" w:cs="Times New Roman"/>
          <w:color w:val="auto"/>
          <w:szCs w:val="24"/>
        </w:rPr>
        <w:t>talrijke</w:t>
      </w:r>
      <w:r w:rsidR="00273F1F">
        <w:rPr>
          <w:rFonts w:eastAsia="Calibri" w:cs="Times New Roman"/>
          <w:color w:val="auto"/>
          <w:szCs w:val="24"/>
        </w:rPr>
        <w:t xml:space="preserve"> </w:t>
      </w:r>
      <w:r w:rsidRPr="005B7FAC">
        <w:rPr>
          <w:rFonts w:eastAsia="Calibri" w:cs="Times New Roman"/>
          <w:color w:val="auto"/>
          <w:szCs w:val="24"/>
        </w:rPr>
        <w:t xml:space="preserve">Duitse particuliere schippers </w:t>
      </w:r>
      <w:r>
        <w:rPr>
          <w:rFonts w:eastAsia="Calibri" w:cs="Times New Roman"/>
          <w:color w:val="auto"/>
          <w:szCs w:val="24"/>
        </w:rPr>
        <w:t xml:space="preserve">nieuwe schepen </w:t>
      </w:r>
      <w:r w:rsidRPr="005B7FAC">
        <w:rPr>
          <w:rFonts w:eastAsia="Calibri" w:cs="Times New Roman"/>
          <w:color w:val="auto"/>
          <w:szCs w:val="24"/>
        </w:rPr>
        <w:t xml:space="preserve">in Nederland lieten bouwen en inschrijven, opdat ze in Nederland </w:t>
      </w:r>
      <w:r w:rsidR="00D137A5">
        <w:rPr>
          <w:rFonts w:eastAsia="Calibri" w:cs="Times New Roman"/>
          <w:color w:val="auto"/>
          <w:szCs w:val="24"/>
        </w:rPr>
        <w:t xml:space="preserve">een </w:t>
      </w:r>
      <w:r w:rsidRPr="005B7FAC">
        <w:rPr>
          <w:rFonts w:eastAsia="Calibri" w:cs="Times New Roman"/>
          <w:color w:val="auto"/>
          <w:szCs w:val="24"/>
        </w:rPr>
        <w:t>hypotheek konden krijgen. Een deel van de particuliere schepen onder Nederlandse vlag was dus Duits eigendom. Vanwege het verschil in belastingregimes tussen beide landen kwam het ook voor dat Duitse rederijen een deel van hun schepen in Nederland registreerden.</w:t>
      </w:r>
    </w:p>
    <w:p w14:paraId="61275DC6" w14:textId="51ABB80C" w:rsidR="00D963C6" w:rsidRDefault="00D963C6" w:rsidP="00DE08B1">
      <w:pPr>
        <w:ind w:firstLine="708"/>
        <w:jc w:val="left"/>
      </w:pPr>
      <w:r>
        <w:t xml:space="preserve">Grote problemen ontstonden in de crisisjaren, toen Duitsland in 1933 onder het </w:t>
      </w:r>
      <w:r w:rsidR="00D137A5">
        <w:t>nazi</w:t>
      </w:r>
      <w:r>
        <w:t xml:space="preserve">-regiem overal in het Duitse Rijnstroomgebied – in strijd met de Akte van Mannheim – voor particulieren een gedwongen beurtlijstbevrachting invoerde en Duitse schippers stelselmatig sneller van lading voorzag. Drie jaar later zegde Duitsland de Akte van Mannheim op, die pas in 1952 weer volledig in werking </w:t>
      </w:r>
      <w:r w:rsidR="00D24B10">
        <w:t>zou treden</w:t>
      </w:r>
      <w:r>
        <w:t>. Eind 1936 zorgde de Duitse herbewapening ervoor dat de wachttijden verdwenen en de vrachtprijzen zich herstelden.</w:t>
      </w:r>
    </w:p>
    <w:p w14:paraId="3B76B760" w14:textId="54A27BCF" w:rsidR="00300DAD" w:rsidRPr="00A00B5F" w:rsidRDefault="005B387E" w:rsidP="00E13102">
      <w:pPr>
        <w:jc w:val="left"/>
        <w:rPr>
          <w:rFonts w:ascii="Calibri" w:eastAsia="Times New Roman" w:hAnsi="Calibri" w:cs="Calibri"/>
          <w:color w:val="FF0000"/>
          <w:szCs w:val="24"/>
          <w:shd w:val="clear" w:color="auto" w:fill="FFFFFF"/>
          <w:lang w:eastAsia="nl-NL"/>
        </w:rPr>
      </w:pPr>
      <w:r w:rsidRPr="00300193">
        <w:rPr>
          <w:rFonts w:ascii="Calibri" w:eastAsia="Times New Roman" w:hAnsi="Calibri" w:cs="Calibri"/>
          <w:color w:val="FF0000"/>
          <w:szCs w:val="24"/>
          <w:shd w:val="clear" w:color="auto" w:fill="FFFFFF"/>
          <w:lang w:eastAsia="nl-NL"/>
        </w:rPr>
        <w:t>@i@</w:t>
      </w:r>
      <w:r w:rsidRPr="00300193">
        <w:rPr>
          <w:rFonts w:eastAsia="Times New Roman" w:cs="Times New Roman"/>
          <w:color w:val="FF0000"/>
          <w:szCs w:val="24"/>
          <w:lang w:eastAsia="nl-NL"/>
        </w:rPr>
        <w:t>[</w:t>
      </w:r>
      <w:r w:rsidR="00A00B5F" w:rsidRPr="00300193">
        <w:rPr>
          <w:rFonts w:eastAsia="Times New Roman" w:cs="Times New Roman"/>
          <w:color w:val="FF0000"/>
          <w:szCs w:val="24"/>
          <w:lang w:eastAsia="nl-NL"/>
        </w:rPr>
        <w:t>[</w:t>
      </w:r>
      <w:r w:rsidRPr="00300193">
        <w:rPr>
          <w:rFonts w:eastAsia="Times New Roman" w:cs="Times New Roman"/>
          <w:color w:val="FF0000"/>
          <w:szCs w:val="24"/>
          <w:lang w:eastAsia="nl-NL"/>
        </w:rPr>
        <w:t>[</w:t>
      </w:r>
      <w:r w:rsidR="00B77657">
        <w:rPr>
          <w:rFonts w:eastAsia="Times New Roman" w:cs="Times New Roman"/>
          <w:color w:val="FF0000"/>
          <w:szCs w:val="24"/>
          <w:lang w:eastAsia="nl-NL"/>
        </w:rPr>
        <w:t>12</w:t>
      </w:r>
      <w:r w:rsidRPr="00300193">
        <w:rPr>
          <w:rFonts w:eastAsia="Times New Roman" w:cs="Times New Roman"/>
          <w:color w:val="FF0000"/>
          <w:szCs w:val="24"/>
          <w:lang w:eastAsia="nl-NL"/>
        </w:rPr>
        <w:t>-08_</w:t>
      </w:r>
      <w:r w:rsidRPr="00300193">
        <w:rPr>
          <w:rFonts w:cstheme="minorHAnsi"/>
          <w:color w:val="FF0000"/>
        </w:rPr>
        <w:t>Schippersbeurs_Duisburg.jpg]]]</w:t>
      </w:r>
      <w:r w:rsidRPr="00300193">
        <w:rPr>
          <w:rFonts w:ascii="Calibri" w:eastAsia="Times New Roman" w:hAnsi="Calibri" w:cs="Calibri"/>
          <w:color w:val="FF0000"/>
          <w:szCs w:val="24"/>
          <w:shd w:val="clear" w:color="auto" w:fill="FFFFFF"/>
          <w:lang w:eastAsia="nl-NL"/>
        </w:rPr>
        <w:t xml:space="preserve">@/i@​ </w:t>
      </w:r>
    </w:p>
    <w:p w14:paraId="4E462A52" w14:textId="77777777" w:rsidR="00E13102" w:rsidRDefault="00E13102" w:rsidP="00E13102">
      <w:pPr>
        <w:jc w:val="left"/>
      </w:pPr>
    </w:p>
    <w:p w14:paraId="760BCF13" w14:textId="77777777" w:rsidR="00300193" w:rsidRDefault="00300193" w:rsidP="00E13102">
      <w:pPr>
        <w:jc w:val="left"/>
      </w:pPr>
    </w:p>
    <w:p w14:paraId="3892AED4" w14:textId="58E8FA0C" w:rsidR="00300DAD" w:rsidRDefault="00300DAD" w:rsidP="00E13102">
      <w:pPr>
        <w:pStyle w:val="Heading2"/>
        <w:jc w:val="left"/>
      </w:pPr>
      <w:bookmarkStart w:id="14" w:name="_Hlk85269368"/>
      <w:r w:rsidRPr="00914062">
        <w:t>De Evenredige Vrachtverdeling</w:t>
      </w:r>
      <w:r w:rsidR="004C311E" w:rsidRPr="00914062">
        <w:t xml:space="preserve"> (1933-1940)</w:t>
      </w:r>
      <w:bookmarkEnd w:id="14"/>
    </w:p>
    <w:p w14:paraId="1EBB073D" w14:textId="182DF8BE" w:rsidR="009572C9" w:rsidRPr="009572C9" w:rsidRDefault="009572C9" w:rsidP="00E13102">
      <w:pPr>
        <w:jc w:val="left"/>
        <w:rPr>
          <w:color w:val="ED7D31" w:themeColor="accent2"/>
        </w:rPr>
      </w:pPr>
    </w:p>
    <w:p w14:paraId="6B913EB6" w14:textId="00961040" w:rsidR="00987EA3" w:rsidRPr="00995D7D" w:rsidRDefault="00D047F1" w:rsidP="003536A9">
      <w:pPr>
        <w:jc w:val="left"/>
        <w:rPr>
          <w:color w:val="ED7D31" w:themeColor="accent2"/>
        </w:rPr>
      </w:pPr>
      <w:r>
        <w:t xml:space="preserve">Tot 1933 heerste in het binnenlandse scheepvaartvervoer vrije concurrentie. Geleidelijk was daarbij een complexe organisatiestructuur ontstaan, waarbinnen van oudsher twee hoofdvormen bestonden: wilde vaart en beurtvaart. </w:t>
      </w:r>
      <w:r w:rsidRPr="0075787D">
        <w:t>De wilde vaart vervoerde massagoederen naar iedere gewenste bestemming, waarbij telkens opnieuw afspraken over de vervoersvoorwaarden moesten worden gemaakt.</w:t>
      </w:r>
      <w:r w:rsidRPr="00E635FA">
        <w:rPr>
          <w:b/>
          <w:bCs/>
        </w:rPr>
        <w:t xml:space="preserve"> </w:t>
      </w:r>
      <w:bookmarkStart w:id="15" w:name="_Hlk85269484"/>
      <w:r w:rsidR="000E053F">
        <w:t xml:space="preserve">Vaak </w:t>
      </w:r>
      <w:r>
        <w:t>werd daarbij als tussenpersoon een bevrachter ingeschakeld.</w:t>
      </w:r>
      <w:bookmarkEnd w:id="15"/>
      <w:r>
        <w:t xml:space="preserve"> De beurtvaart verzorgde het vervoer op vaste lijndiensten, tegen vaste door de vervoersondernemers bepaalde tarieven. De beurtvaartondernemingen kunnen het beste met onze huidige besteldiensten worden vergeleken. Vaak verzorgden ze deur-tot-deur-vervoer van kleine hoeveelheden hoogwaardige of spoedeisende goederen. </w:t>
      </w:r>
      <w:bookmarkStart w:id="16" w:name="_Hlk76283516"/>
      <w:r w:rsidR="00D119F0">
        <w:t>In waterrijke gebieden was b</w:t>
      </w:r>
      <w:r>
        <w:t xml:space="preserve">ijna ieder dorp door een beurtvaartdienst ontsloten. </w:t>
      </w:r>
      <w:bookmarkEnd w:id="16"/>
      <w:r>
        <w:t>Naast deze beide hoofdvormen waren er walondernemingen, die van hun eigen schepen gebruikmaakten of een langdurige, vaak op vertrouwen gebaseerde, relatie met een rederij of vaste schippers hadden.</w:t>
      </w:r>
      <w:r w:rsidR="00914062" w:rsidRPr="00300DAD">
        <w:rPr>
          <w:rStyle w:val="EndnoteReference"/>
          <w:rFonts w:cs="Times New Roman"/>
          <w:bCs/>
        </w:rPr>
        <w:endnoteReference w:id="17"/>
      </w:r>
      <w:r>
        <w:t xml:space="preserve">  </w:t>
      </w:r>
    </w:p>
    <w:p w14:paraId="32ADD1D3" w14:textId="67053CDD" w:rsidR="00514162" w:rsidRPr="00B26625" w:rsidRDefault="00BA37C6" w:rsidP="00B26625">
      <w:pPr>
        <w:ind w:firstLine="708"/>
        <w:jc w:val="left"/>
        <w:rPr>
          <w:color w:val="auto"/>
        </w:rPr>
      </w:pPr>
      <w:bookmarkStart w:id="17" w:name="_Hlk85269620"/>
      <w:r>
        <w:t xml:space="preserve">Nood onder de schippers leidde ertoe </w:t>
      </w:r>
      <w:r w:rsidR="008502A4">
        <w:t xml:space="preserve">dat de Nederlandse regering in </w:t>
      </w:r>
      <w:r w:rsidR="00C90644">
        <w:t>1933 de Evenredige Vrachtverdeling</w:t>
      </w:r>
      <w:r w:rsidR="00D6777C">
        <w:t xml:space="preserve"> (EV)</w:t>
      </w:r>
      <w:r w:rsidR="00C90644">
        <w:t xml:space="preserve"> in</w:t>
      </w:r>
      <w:r w:rsidR="008502A4">
        <w:t>voerde</w:t>
      </w:r>
      <w:r w:rsidR="00C90644">
        <w:t xml:space="preserve">. </w:t>
      </w:r>
      <w:bookmarkEnd w:id="17"/>
      <w:r w:rsidR="00BE4803">
        <w:t xml:space="preserve">Deze regeling zou de vervoersorganisatie, de sociaaleconomische structuur en het concurrentievermogen van de bedrijfstak jarenlang diepgaand beïnvloeden. </w:t>
      </w:r>
      <w:r w:rsidR="00C21DD5">
        <w:t>Basisregel was dat de overheid iedere verlader verplichtte om zijn lading aan te bieden op een schippersbeurs. Daar werden de aangeboden vrachten verdeeld onder de aanwezige schippers, waarbij de</w:t>
      </w:r>
      <w:r w:rsidR="00114FE8">
        <w:t xml:space="preserve"> schipper </w:t>
      </w:r>
      <w:r w:rsidR="00C21DD5">
        <w:t xml:space="preserve">met de langste wachttijd het recht had om als eerste een keuze te </w:t>
      </w:r>
      <w:r w:rsidR="00C21DD5" w:rsidRPr="00753359">
        <w:rPr>
          <w:color w:val="auto"/>
        </w:rPr>
        <w:t>maken. Het vervoer geschiedde tegen door de overheid vastgestelde vrachtprijzen, waarbij standaard</w:t>
      </w:r>
      <w:r w:rsidR="00CF4837" w:rsidRPr="00753359">
        <w:rPr>
          <w:color w:val="auto"/>
        </w:rPr>
        <w:t xml:space="preserve"> </w:t>
      </w:r>
      <w:r w:rsidR="00C21DD5" w:rsidRPr="00753359">
        <w:rPr>
          <w:color w:val="auto"/>
        </w:rPr>
        <w:t xml:space="preserve">vervoersvoorwaarden werden gehanteerd. Het beursvervoer werd geregeld door bevrachtingscommissies.    </w:t>
      </w:r>
    </w:p>
    <w:p w14:paraId="600C63D9" w14:textId="65990939" w:rsidR="00514162" w:rsidRPr="00B26625" w:rsidRDefault="00514162" w:rsidP="00B26625">
      <w:pPr>
        <w:jc w:val="left"/>
        <w:rPr>
          <w:rFonts w:ascii="Calibri" w:eastAsia="Times New Roman" w:hAnsi="Calibri" w:cs="Calibri"/>
          <w:color w:val="FF0000"/>
          <w:shd w:val="clear" w:color="auto" w:fill="FFFFFF"/>
          <w:lang w:eastAsia="nl-NL"/>
        </w:rPr>
      </w:pPr>
      <w:r w:rsidRPr="00C77244">
        <w:rPr>
          <w:rFonts w:ascii="Calibri" w:eastAsia="Times New Roman" w:hAnsi="Calibri" w:cs="Calibri"/>
          <w:color w:val="FF0000"/>
          <w:szCs w:val="24"/>
          <w:shd w:val="clear" w:color="auto" w:fill="FFFFFF"/>
          <w:lang w:eastAsia="nl-NL"/>
        </w:rPr>
        <w:t>@i@</w:t>
      </w:r>
      <w:r w:rsidRPr="00C77244">
        <w:rPr>
          <w:rFonts w:eastAsia="Times New Roman" w:cs="Times New Roman"/>
          <w:color w:val="FF0000"/>
          <w:szCs w:val="24"/>
          <w:lang w:eastAsia="nl-NL"/>
        </w:rPr>
        <w:t>[[[</w:t>
      </w:r>
      <w:r w:rsidR="007250EC">
        <w:rPr>
          <w:rFonts w:eastAsia="Times New Roman" w:cs="Times New Roman"/>
          <w:color w:val="FF0000"/>
          <w:lang w:eastAsia="nl-NL"/>
        </w:rPr>
        <w:t>13</w:t>
      </w:r>
      <w:r>
        <w:rPr>
          <w:rFonts w:eastAsia="Times New Roman" w:cs="Times New Roman"/>
          <w:color w:val="FF0000"/>
          <w:lang w:eastAsia="nl-NL"/>
        </w:rPr>
        <w:t>-09_</w:t>
      </w:r>
      <w:r>
        <w:rPr>
          <w:rFonts w:cstheme="minorHAnsi"/>
          <w:color w:val="FF0000"/>
        </w:rPr>
        <w:t>SchippersdemonstratieAmsterdam.jpg</w:t>
      </w:r>
      <w:r w:rsidRPr="00C77244">
        <w:rPr>
          <w:rFonts w:cstheme="minorHAnsi"/>
          <w:color w:val="FF0000"/>
        </w:rPr>
        <w:t>]]]</w:t>
      </w:r>
      <w:r w:rsidRPr="00C77244">
        <w:rPr>
          <w:rFonts w:ascii="Calibri" w:eastAsia="Times New Roman" w:hAnsi="Calibri" w:cs="Calibri"/>
          <w:color w:val="FF0000"/>
          <w:szCs w:val="24"/>
          <w:shd w:val="clear" w:color="auto" w:fill="FFFFFF"/>
          <w:lang w:eastAsia="nl-NL"/>
        </w:rPr>
        <w:t xml:space="preserve">@/i@​  </w:t>
      </w:r>
    </w:p>
    <w:p w14:paraId="66808507" w14:textId="0A6D929E" w:rsidR="002B41C8" w:rsidRPr="00E6702E" w:rsidRDefault="00BE4803" w:rsidP="009A762F">
      <w:pPr>
        <w:ind w:firstLine="708"/>
        <w:jc w:val="left"/>
        <w:rPr>
          <w:szCs w:val="24"/>
        </w:rPr>
      </w:pPr>
      <w:r w:rsidRPr="00753359">
        <w:rPr>
          <w:color w:val="auto"/>
        </w:rPr>
        <w:t xml:space="preserve">Zodra </w:t>
      </w:r>
      <w:r w:rsidR="00263A1B" w:rsidRPr="00753359">
        <w:rPr>
          <w:color w:val="auto"/>
        </w:rPr>
        <w:t xml:space="preserve">de regering het voornemen </w:t>
      </w:r>
      <w:r w:rsidR="006B49DE" w:rsidRPr="00753359">
        <w:rPr>
          <w:color w:val="auto"/>
        </w:rPr>
        <w:t xml:space="preserve">bekend maakte </w:t>
      </w:r>
      <w:r w:rsidR="00263A1B" w:rsidRPr="00753359">
        <w:rPr>
          <w:color w:val="auto"/>
        </w:rPr>
        <w:t>om de</w:t>
      </w:r>
      <w:r w:rsidR="00D65BA2" w:rsidRPr="00753359">
        <w:rPr>
          <w:color w:val="auto"/>
        </w:rPr>
        <w:t xml:space="preserve"> EV </w:t>
      </w:r>
      <w:r w:rsidR="00263A1B" w:rsidRPr="00753359">
        <w:rPr>
          <w:color w:val="auto"/>
        </w:rPr>
        <w:t xml:space="preserve">in te voeren, ontketenden reders en verladers een golf van protest. </w:t>
      </w:r>
      <w:r w:rsidR="00162EC0" w:rsidRPr="00753359">
        <w:rPr>
          <w:color w:val="auto"/>
        </w:rPr>
        <w:t xml:space="preserve">De reders waren bang voor vervoerverlies aan het </w:t>
      </w:r>
      <w:r w:rsidR="00162EC0" w:rsidRPr="00753359">
        <w:rPr>
          <w:color w:val="auto"/>
        </w:rPr>
        <w:lastRenderedPageBreak/>
        <w:t xml:space="preserve">wegvervoer en de spoorwegen, de verladers vreesden hogere vervoerskosten. </w:t>
      </w:r>
      <w:r w:rsidR="00FE7C10" w:rsidRPr="00753359">
        <w:rPr>
          <w:color w:val="auto"/>
        </w:rPr>
        <w:t xml:space="preserve">In een brochure </w:t>
      </w:r>
      <w:r w:rsidR="00927BD9" w:rsidRPr="00753359">
        <w:rPr>
          <w:color w:val="auto"/>
        </w:rPr>
        <w:t xml:space="preserve">voerden </w:t>
      </w:r>
      <w:r w:rsidR="00162EC0" w:rsidRPr="00753359">
        <w:rPr>
          <w:color w:val="auto"/>
        </w:rPr>
        <w:t>beiden</w:t>
      </w:r>
      <w:r w:rsidR="00FE7C10" w:rsidRPr="00753359">
        <w:rPr>
          <w:color w:val="auto"/>
        </w:rPr>
        <w:t xml:space="preserve"> </w:t>
      </w:r>
      <w:r w:rsidR="00142A52" w:rsidRPr="00753359">
        <w:rPr>
          <w:color w:val="auto"/>
        </w:rPr>
        <w:t xml:space="preserve">de volgende bezwaren </w:t>
      </w:r>
      <w:r w:rsidR="00142A52">
        <w:t xml:space="preserve">aan. </w:t>
      </w:r>
      <w:r w:rsidR="00BA37C6">
        <w:t>De b</w:t>
      </w:r>
      <w:r w:rsidR="00EF29A9">
        <w:t xml:space="preserve">evrachtingscommissies </w:t>
      </w:r>
      <w:r w:rsidR="0034646C">
        <w:t xml:space="preserve">zouden de vrachtprijzen verhogen. </w:t>
      </w:r>
      <w:r w:rsidR="00F52C29">
        <w:t xml:space="preserve">Daardoor zouden </w:t>
      </w:r>
      <w:r w:rsidR="00FE7C10">
        <w:t xml:space="preserve">meer Rijnschippers naar de binnenlandse markt komen, de </w:t>
      </w:r>
      <w:r w:rsidR="00FE7C10" w:rsidRPr="002B41C8">
        <w:rPr>
          <w:szCs w:val="24"/>
        </w:rPr>
        <w:t xml:space="preserve">wachttijden </w:t>
      </w:r>
      <w:r w:rsidR="00F52C29" w:rsidRPr="002B41C8">
        <w:rPr>
          <w:szCs w:val="24"/>
        </w:rPr>
        <w:t xml:space="preserve">zou </w:t>
      </w:r>
      <w:r w:rsidR="00FE7C10" w:rsidRPr="002B41C8">
        <w:rPr>
          <w:szCs w:val="24"/>
        </w:rPr>
        <w:t xml:space="preserve">toenemen en </w:t>
      </w:r>
      <w:r w:rsidR="00F822C1" w:rsidRPr="002B41C8">
        <w:rPr>
          <w:szCs w:val="24"/>
        </w:rPr>
        <w:t xml:space="preserve">de verhoging </w:t>
      </w:r>
      <w:r w:rsidR="00F52C29" w:rsidRPr="002B41C8">
        <w:rPr>
          <w:szCs w:val="24"/>
        </w:rPr>
        <w:t xml:space="preserve">zou </w:t>
      </w:r>
      <w:r w:rsidR="00FE7C10" w:rsidRPr="002B41C8">
        <w:rPr>
          <w:szCs w:val="24"/>
        </w:rPr>
        <w:t>v</w:t>
      </w:r>
      <w:r w:rsidR="007C7A4D" w:rsidRPr="002B41C8">
        <w:rPr>
          <w:szCs w:val="24"/>
        </w:rPr>
        <w:t xml:space="preserve">oor particuliere schippers slechts een beperkt voordeel opleveren. </w:t>
      </w:r>
      <w:r w:rsidR="00F52C29" w:rsidRPr="009102A6">
        <w:rPr>
          <w:szCs w:val="24"/>
        </w:rPr>
        <w:t>Verder zou de binnenvaart d</w:t>
      </w:r>
      <w:r w:rsidR="00F822C1" w:rsidRPr="009102A6">
        <w:rPr>
          <w:szCs w:val="24"/>
        </w:rPr>
        <w:t xml:space="preserve">oor het starre beurssysteem </w:t>
      </w:r>
      <w:r w:rsidR="0034646C" w:rsidRPr="00E6702E">
        <w:rPr>
          <w:szCs w:val="24"/>
        </w:rPr>
        <w:t>snelheid en flexibiliteit verliezen</w:t>
      </w:r>
      <w:r w:rsidR="00F52C29" w:rsidRPr="00E6702E">
        <w:rPr>
          <w:szCs w:val="24"/>
        </w:rPr>
        <w:t xml:space="preserve"> en d</w:t>
      </w:r>
      <w:r w:rsidR="0034646C" w:rsidRPr="00890E83">
        <w:rPr>
          <w:szCs w:val="24"/>
        </w:rPr>
        <w:t>oordat de directe band tussen verladers en schippers verdween zouden verladers niet meer van een zorgvuldige ladingbehandeling verzekerd zijn.</w:t>
      </w:r>
      <w:r w:rsidR="009A762F">
        <w:rPr>
          <w:szCs w:val="24"/>
        </w:rPr>
        <w:t xml:space="preserve"> </w:t>
      </w:r>
      <w:r w:rsidR="002B41C8" w:rsidRPr="00415124">
        <w:rPr>
          <w:color w:val="000000"/>
          <w:szCs w:val="24"/>
        </w:rPr>
        <w:t>De verladers verwoordden hun bezwaar als volgt:</w:t>
      </w:r>
      <w:r w:rsidR="002B41C8" w:rsidRPr="00415124">
        <w:rPr>
          <w:iCs/>
          <w:color w:val="000000"/>
          <w:szCs w:val="24"/>
        </w:rPr>
        <w:t xml:space="preserve"> </w:t>
      </w:r>
      <w:r w:rsidR="002B41C8">
        <w:rPr>
          <w:iCs/>
          <w:color w:val="000000"/>
          <w:szCs w:val="24"/>
        </w:rPr>
        <w:t>‘</w:t>
      </w:r>
      <w:r w:rsidR="002B41C8" w:rsidRPr="00415124">
        <w:rPr>
          <w:iCs/>
          <w:color w:val="000000"/>
          <w:szCs w:val="24"/>
        </w:rPr>
        <w:t xml:space="preserve">Door de evenredige vrachtverdeling zullen </w:t>
      </w:r>
      <w:proofErr w:type="spellStart"/>
      <w:r w:rsidR="002B41C8" w:rsidRPr="00415124">
        <w:rPr>
          <w:iCs/>
          <w:color w:val="000000"/>
          <w:szCs w:val="24"/>
        </w:rPr>
        <w:t>menschen</w:t>
      </w:r>
      <w:proofErr w:type="spellEnd"/>
      <w:r w:rsidR="002B41C8" w:rsidRPr="00415124">
        <w:rPr>
          <w:iCs/>
          <w:color w:val="000000"/>
          <w:szCs w:val="24"/>
        </w:rPr>
        <w:t>, die beter nooit schipper waren geworden, vrachten krijgen ten koste van hunne actieve,</w:t>
      </w:r>
      <w:r w:rsidR="002B41C8">
        <w:rPr>
          <w:iCs/>
          <w:color w:val="000000"/>
          <w:szCs w:val="24"/>
        </w:rPr>
        <w:t xml:space="preserve"> vlugge en flinke collega’</w:t>
      </w:r>
      <w:r w:rsidR="002B41C8" w:rsidRPr="002B41C8">
        <w:rPr>
          <w:iCs/>
          <w:color w:val="000000"/>
          <w:szCs w:val="24"/>
        </w:rPr>
        <w:t>s</w:t>
      </w:r>
      <w:r w:rsidR="002B41C8">
        <w:rPr>
          <w:iCs/>
          <w:color w:val="000000"/>
          <w:szCs w:val="24"/>
        </w:rPr>
        <w:t>’</w:t>
      </w:r>
      <w:r w:rsidR="002B41C8" w:rsidRPr="00415124">
        <w:rPr>
          <w:iCs/>
          <w:color w:val="000000"/>
          <w:szCs w:val="24"/>
        </w:rPr>
        <w:t>.</w:t>
      </w:r>
      <w:r w:rsidR="002B41C8">
        <w:rPr>
          <w:rStyle w:val="EndnoteReference"/>
          <w:iCs/>
          <w:color w:val="000000"/>
          <w:szCs w:val="24"/>
        </w:rPr>
        <w:endnoteReference w:id="18"/>
      </w:r>
    </w:p>
    <w:p w14:paraId="388CB42C" w14:textId="59F96069" w:rsidR="00EF29A9" w:rsidRDefault="0034646C" w:rsidP="00175948">
      <w:pPr>
        <w:ind w:firstLine="708"/>
        <w:jc w:val="left"/>
      </w:pPr>
      <w:r>
        <w:t xml:space="preserve">Daartegenover waren de schippersbonden en de schippersvereniging </w:t>
      </w:r>
      <w:proofErr w:type="spellStart"/>
      <w:r>
        <w:t>Schutteva</w:t>
      </w:r>
      <w:r w:rsidR="00F822C1">
        <w:t>ê</w:t>
      </w:r>
      <w:r>
        <w:t>r</w:t>
      </w:r>
      <w:proofErr w:type="spellEnd"/>
      <w:r>
        <w:t xml:space="preserve"> </w:t>
      </w:r>
      <w:r w:rsidR="00927BD9">
        <w:t xml:space="preserve">sterk </w:t>
      </w:r>
      <w:r>
        <w:t xml:space="preserve">voor het wetsontwerp. Weliswaar zou de beursbevrachting niet tot meer reizen leiden, maar </w:t>
      </w:r>
      <w:r w:rsidR="00EF29A9">
        <w:t xml:space="preserve">de </w:t>
      </w:r>
      <w:r>
        <w:t>schippers zouden per reis wél verzekerd zijn van een redelijke vrachtprijs.</w:t>
      </w:r>
    </w:p>
    <w:p w14:paraId="439E1A14" w14:textId="083E1B43" w:rsidR="00F16A14" w:rsidRDefault="00B416C2" w:rsidP="0064548B">
      <w:pPr>
        <w:ind w:firstLine="708"/>
        <w:jc w:val="left"/>
        <w:rPr>
          <w:color w:val="ED7D31" w:themeColor="accent2"/>
        </w:rPr>
      </w:pPr>
      <w:r>
        <w:t xml:space="preserve">De </w:t>
      </w:r>
      <w:r w:rsidR="00927BD9">
        <w:t xml:space="preserve">regering hield bij de invoering van de EV </w:t>
      </w:r>
      <w:r w:rsidR="00A004B9">
        <w:t>terdege rekening met de bestaande vervoersorganisatie. Op de</w:t>
      </w:r>
      <w:r w:rsidR="00FF0AE0">
        <w:t xml:space="preserve"> basis</w:t>
      </w:r>
      <w:r w:rsidR="00A004B9">
        <w:t>regel waren zeven uitzonderingen. Buiten de beurs</w:t>
      </w:r>
      <w:r w:rsidR="00927BD9">
        <w:t>bevrachting</w:t>
      </w:r>
      <w:r w:rsidR="00A004B9">
        <w:t xml:space="preserve"> vielen: eigen vervoer, beurtvaart, campagnevaart, tankvaart, </w:t>
      </w:r>
      <w:r w:rsidR="00B149FE">
        <w:t xml:space="preserve">vaste-relatievaart, </w:t>
      </w:r>
      <w:r w:rsidR="00A004B9">
        <w:t>lokaal vervoer en internationaal vervoer. Eigen vervoer was vervoer met eigen vaartuigen</w:t>
      </w:r>
      <w:r w:rsidR="00B149FE">
        <w:t>.</w:t>
      </w:r>
      <w:r w:rsidR="00A004B9">
        <w:t xml:space="preserve"> </w:t>
      </w:r>
      <w:r w:rsidR="00B149FE">
        <w:t xml:space="preserve">Campagnevaart was </w:t>
      </w:r>
      <w:r w:rsidR="00EF29A9">
        <w:t xml:space="preserve">het </w:t>
      </w:r>
      <w:r w:rsidR="00B149FE">
        <w:t xml:space="preserve">vervoer </w:t>
      </w:r>
      <w:r w:rsidR="006F134E">
        <w:t xml:space="preserve">van </w:t>
      </w:r>
      <w:r w:rsidR="00B149FE">
        <w:t>seizoengebonden landbouwproducten als suikerbieten en aardappelen naar fabrieken. Hier</w:t>
      </w:r>
      <w:r w:rsidR="006F134E">
        <w:t xml:space="preserve">toe </w:t>
      </w:r>
      <w:r w:rsidR="0018216A">
        <w:t xml:space="preserve">huurden de fabrikanten </w:t>
      </w:r>
      <w:r w:rsidR="00263A1B">
        <w:t xml:space="preserve">aan het begin van het </w:t>
      </w:r>
      <w:r w:rsidR="00B149FE">
        <w:t xml:space="preserve">seizoen een aantal schippers in, die het vervoer volgens </w:t>
      </w:r>
      <w:r w:rsidR="00EF29A9">
        <w:t xml:space="preserve">een </w:t>
      </w:r>
      <w:r w:rsidR="00B149FE">
        <w:t xml:space="preserve">vaste overeenkomst verrichtten. </w:t>
      </w:r>
      <w:r w:rsidR="00EF29A9">
        <w:t>Vaste r</w:t>
      </w:r>
      <w:r w:rsidR="00B149FE">
        <w:t xml:space="preserve">elatievaart was </w:t>
      </w:r>
      <w:r w:rsidR="00EF29A9">
        <w:t xml:space="preserve">reeds </w:t>
      </w:r>
      <w:r w:rsidR="006F134E">
        <w:t xml:space="preserve">bestaand </w:t>
      </w:r>
      <w:r w:rsidR="00B149FE">
        <w:t>vervoer</w:t>
      </w:r>
      <w:r w:rsidR="006F134E">
        <w:t>,</w:t>
      </w:r>
      <w:r w:rsidR="00B149FE">
        <w:t xml:space="preserve"> waar</w:t>
      </w:r>
      <w:r w:rsidR="006F134E">
        <w:t xml:space="preserve">bij </w:t>
      </w:r>
      <w:r w:rsidR="00B149FE">
        <w:t xml:space="preserve">de verladers steeds dezelfde reders of schippers inschakelden. Lokaal vervoer was </w:t>
      </w:r>
      <w:r w:rsidR="006F134E">
        <w:t xml:space="preserve">transport </w:t>
      </w:r>
      <w:r w:rsidR="00B149FE">
        <w:t xml:space="preserve">over afstanden minder dan </w:t>
      </w:r>
      <w:r w:rsidR="00426CDC">
        <w:t xml:space="preserve">vijf </w:t>
      </w:r>
      <w:r w:rsidR="00B149FE">
        <w:t xml:space="preserve">kilometer. </w:t>
      </w:r>
      <w:r w:rsidR="000B09E8">
        <w:t>Overigens waren eigen vervoer, beurtvaart, campagnevaart en vaste relatievaart niet geheel vrij</w:t>
      </w:r>
      <w:r w:rsidR="006F134E">
        <w:t xml:space="preserve">, maar vielen ze </w:t>
      </w:r>
      <w:r w:rsidR="000B09E8">
        <w:t xml:space="preserve">onder toezicht van de bevrachtingscommissies, die voor dit vervoer </w:t>
      </w:r>
      <w:r w:rsidR="006F134E">
        <w:t xml:space="preserve">tevoren </w:t>
      </w:r>
      <w:r w:rsidR="00961D32">
        <w:t xml:space="preserve">toestemming </w:t>
      </w:r>
      <w:r w:rsidR="000B09E8">
        <w:t xml:space="preserve">moesten verlenen. </w:t>
      </w:r>
      <w:r w:rsidR="00F52C29">
        <w:t>Al het werkelijk</w:t>
      </w:r>
      <w:r w:rsidR="00CF519D">
        <w:t>e</w:t>
      </w:r>
      <w:r w:rsidR="00F52C29">
        <w:t xml:space="preserve"> beurs</w:t>
      </w:r>
      <w:r w:rsidR="00CF519D">
        <w:t>vervoer</w:t>
      </w:r>
      <w:r w:rsidR="00F52C29">
        <w:t xml:space="preserve"> kreeg in de praktijk de naam ‘wilde vaart</w:t>
      </w:r>
      <w:r w:rsidR="00CF519D">
        <w:t>’.</w:t>
      </w:r>
      <w:r w:rsidR="00B149FE">
        <w:t xml:space="preserve">  </w:t>
      </w:r>
      <w:r w:rsidR="00A004B9">
        <w:t xml:space="preserve">  </w:t>
      </w:r>
      <w:r w:rsidR="008529A5">
        <w:t xml:space="preserve"> </w:t>
      </w:r>
    </w:p>
    <w:p w14:paraId="2D52E386" w14:textId="1849FEAA" w:rsidR="00F16A14" w:rsidRPr="00A913C9" w:rsidRDefault="00F16A14" w:rsidP="00F16A14">
      <w:pPr>
        <w:jc w:val="left"/>
        <w:rPr>
          <w:rFonts w:ascii="Calibri" w:eastAsia="Times New Roman" w:hAnsi="Calibri" w:cs="Calibri"/>
          <w:color w:val="FF0000"/>
          <w:shd w:val="clear" w:color="auto" w:fill="FFFFFF"/>
          <w:lang w:eastAsia="nl-NL"/>
        </w:rPr>
      </w:pPr>
      <w:r w:rsidRPr="00C77244">
        <w:rPr>
          <w:rFonts w:ascii="Calibri" w:eastAsia="Times New Roman" w:hAnsi="Calibri" w:cs="Calibri"/>
          <w:color w:val="FF0000"/>
          <w:szCs w:val="24"/>
          <w:shd w:val="clear" w:color="auto" w:fill="FFFFFF"/>
          <w:lang w:eastAsia="nl-NL"/>
        </w:rPr>
        <w:t>@i@</w:t>
      </w:r>
      <w:r w:rsidRPr="00C77244">
        <w:rPr>
          <w:rFonts w:eastAsia="Times New Roman" w:cs="Times New Roman"/>
          <w:color w:val="FF0000"/>
          <w:szCs w:val="24"/>
          <w:lang w:eastAsia="nl-NL"/>
        </w:rPr>
        <w:t>[[[</w:t>
      </w:r>
      <w:r w:rsidR="007250EC">
        <w:rPr>
          <w:bCs/>
          <w:color w:val="FF0000"/>
        </w:rPr>
        <w:t>14</w:t>
      </w:r>
      <w:r>
        <w:rPr>
          <w:bCs/>
          <w:color w:val="FF0000"/>
        </w:rPr>
        <w:t>a-1</w:t>
      </w:r>
      <w:r w:rsidRPr="009F3072">
        <w:rPr>
          <w:bCs/>
          <w:color w:val="FF0000"/>
        </w:rPr>
        <w:t>0_bevrachtingsboekje102</w:t>
      </w:r>
      <w:r>
        <w:rPr>
          <w:bCs/>
          <w:color w:val="FF0000"/>
        </w:rPr>
        <w:t>5</w:t>
      </w:r>
      <w:r w:rsidRPr="009F3072">
        <w:rPr>
          <w:bCs/>
          <w:color w:val="FF0000"/>
        </w:rPr>
        <w:t>.jp</w:t>
      </w:r>
      <w:r w:rsidR="000570D9">
        <w:rPr>
          <w:bCs/>
          <w:color w:val="FF0000"/>
        </w:rPr>
        <w:t>g</w:t>
      </w:r>
      <w:r w:rsidRPr="00C77244">
        <w:rPr>
          <w:rFonts w:cstheme="minorHAnsi"/>
          <w:color w:val="FF0000"/>
        </w:rPr>
        <w:t>]]]</w:t>
      </w:r>
      <w:r>
        <w:rPr>
          <w:rFonts w:cstheme="minorHAnsi"/>
          <w:color w:val="FF0000"/>
        </w:rPr>
        <w:t xml:space="preserve"> [[[</w:t>
      </w:r>
      <w:r w:rsidR="007250EC">
        <w:rPr>
          <w:bCs/>
          <w:color w:val="FF0000"/>
        </w:rPr>
        <w:t>14</w:t>
      </w:r>
      <w:r>
        <w:rPr>
          <w:bCs/>
          <w:color w:val="FF0000"/>
        </w:rPr>
        <w:t>b-1</w:t>
      </w:r>
      <w:r w:rsidRPr="009F3072">
        <w:rPr>
          <w:bCs/>
          <w:color w:val="FF0000"/>
        </w:rPr>
        <w:t>0_bevrachtingsboekje1027.jpg</w:t>
      </w:r>
      <w:r>
        <w:rPr>
          <w:bCs/>
          <w:color w:val="FF0000"/>
        </w:rPr>
        <w:t>]]]</w:t>
      </w:r>
      <w:r w:rsidRPr="00C77244">
        <w:rPr>
          <w:rFonts w:ascii="Calibri" w:eastAsia="Times New Roman" w:hAnsi="Calibri" w:cs="Calibri"/>
          <w:color w:val="FF0000"/>
          <w:szCs w:val="24"/>
          <w:shd w:val="clear" w:color="auto" w:fill="FFFFFF"/>
          <w:lang w:eastAsia="nl-NL"/>
        </w:rPr>
        <w:t xml:space="preserve">@/i@​  </w:t>
      </w:r>
    </w:p>
    <w:p w14:paraId="5847F32E" w14:textId="459D543E" w:rsidR="00E635FA" w:rsidRDefault="00E635FA" w:rsidP="009B3186">
      <w:pPr>
        <w:jc w:val="left"/>
      </w:pPr>
    </w:p>
    <w:p w14:paraId="3376FCBB" w14:textId="7E666F65" w:rsidR="00142A52" w:rsidRDefault="00142A52" w:rsidP="00C8663F">
      <w:pPr>
        <w:jc w:val="left"/>
      </w:pPr>
    </w:p>
    <w:p w14:paraId="48B4571F" w14:textId="23CCB04D" w:rsidR="006166B4" w:rsidRDefault="00961720" w:rsidP="00C8663F">
      <w:pPr>
        <w:pStyle w:val="Heading2"/>
        <w:jc w:val="left"/>
      </w:pPr>
      <w:bookmarkStart w:id="18" w:name="_Hlk85270545"/>
      <w:r>
        <w:t>Het goederenvervoer in 1938</w:t>
      </w:r>
      <w:r w:rsidR="00C8663F">
        <w:br/>
      </w:r>
    </w:p>
    <w:bookmarkEnd w:id="18"/>
    <w:p w14:paraId="667D14C7" w14:textId="3D6669DB" w:rsidR="00531BA1" w:rsidRDefault="0066712F" w:rsidP="00C8663F">
      <w:pPr>
        <w:jc w:val="left"/>
      </w:pPr>
      <w:r>
        <w:t>In 1938 bedroeg het internationale binnenvaartvervoer bijna 65 miljoen ton</w:t>
      </w:r>
      <w:r w:rsidR="002036AF">
        <w:t>, inclusief een doorvoer van 13 miljoen ton.</w:t>
      </w:r>
      <w:r w:rsidR="005917F4">
        <w:t xml:space="preserve"> Meer dan zestig procent van dit </w:t>
      </w:r>
      <w:r w:rsidR="0033470E">
        <w:t xml:space="preserve">vervoer </w:t>
      </w:r>
      <w:r w:rsidR="004942AB">
        <w:t xml:space="preserve">(40 miljoen ton) </w:t>
      </w:r>
      <w:r w:rsidR="005917F4">
        <w:t xml:space="preserve">ging met Nederlandse schepen. </w:t>
      </w:r>
      <w:r w:rsidR="0033470E">
        <w:t xml:space="preserve">Binnen </w:t>
      </w:r>
      <w:r w:rsidR="00440EB9">
        <w:t xml:space="preserve">het </w:t>
      </w:r>
      <w:r w:rsidR="0033470E">
        <w:t xml:space="preserve">internationale vervoer was de Rijnvaart met </w:t>
      </w:r>
      <w:r w:rsidR="006F287B">
        <w:t xml:space="preserve">55,7 </w:t>
      </w:r>
      <w:r w:rsidR="0033470E">
        <w:t xml:space="preserve">miljoen ton dominant. </w:t>
      </w:r>
      <w:r w:rsidR="002036AF">
        <w:t xml:space="preserve">Aan de zeezijde </w:t>
      </w:r>
      <w:r w:rsidR="0033470E">
        <w:t xml:space="preserve">was </w:t>
      </w:r>
      <w:r w:rsidR="002036AF">
        <w:t xml:space="preserve">Rotterdam de belangrijkste Rijnhaven. </w:t>
      </w:r>
      <w:bookmarkStart w:id="19" w:name="_Hlk85270670"/>
      <w:r w:rsidR="006F287B">
        <w:t xml:space="preserve">Van </w:t>
      </w:r>
      <w:r w:rsidR="00531BA1">
        <w:t xml:space="preserve">al </w:t>
      </w:r>
      <w:r w:rsidR="006F287B">
        <w:t>het Rijn</w:t>
      </w:r>
      <w:r w:rsidR="00440EB9">
        <w:t>vaart</w:t>
      </w:r>
      <w:r w:rsidR="006F287B">
        <w:t xml:space="preserve">vervoer ging 33,5 miljoen ton (60 procent) </w:t>
      </w:r>
      <w:r w:rsidR="00754A81">
        <w:t xml:space="preserve">via </w:t>
      </w:r>
      <w:r w:rsidR="006F287B">
        <w:t xml:space="preserve">Rotterdam en </w:t>
      </w:r>
      <w:r w:rsidR="00B5205A">
        <w:t xml:space="preserve">6,9 miljoen ton (12 procent) </w:t>
      </w:r>
      <w:r w:rsidR="00754A81">
        <w:t xml:space="preserve">via </w:t>
      </w:r>
      <w:r w:rsidR="00B5205A">
        <w:t>Antwerpen.</w:t>
      </w:r>
      <w:bookmarkEnd w:id="19"/>
      <w:r w:rsidR="00B5205A">
        <w:t xml:space="preserve"> </w:t>
      </w:r>
      <w:r w:rsidR="00826CC3">
        <w:t xml:space="preserve">De overige 28 procent </w:t>
      </w:r>
      <w:r w:rsidR="00B03DEF">
        <w:t xml:space="preserve">kwamen en gingen van en naar </w:t>
      </w:r>
      <w:r w:rsidR="00826CC3">
        <w:t>bestemmingen in Nederland of België. A</w:t>
      </w:r>
      <w:r w:rsidR="00806604">
        <w:t xml:space="preserve">an Duitse zijde waren Duisburg en </w:t>
      </w:r>
      <w:proofErr w:type="spellStart"/>
      <w:r w:rsidR="00806604">
        <w:t>Ruhrort</w:t>
      </w:r>
      <w:proofErr w:type="spellEnd"/>
      <w:r w:rsidR="00806604">
        <w:t xml:space="preserve"> de belangrijkste </w:t>
      </w:r>
      <w:r w:rsidR="00B5205A">
        <w:t>Rijn</w:t>
      </w:r>
      <w:r w:rsidR="00806604">
        <w:t xml:space="preserve">havens. </w:t>
      </w:r>
      <w:r w:rsidR="00531BA1">
        <w:t xml:space="preserve">Over de Rijn werden vooral massagoederen vervoerd. </w:t>
      </w:r>
      <w:r w:rsidR="003F4235">
        <w:t xml:space="preserve">Stroomopwaarts </w:t>
      </w:r>
      <w:r w:rsidR="00B5205A">
        <w:t xml:space="preserve">bestond </w:t>
      </w:r>
      <w:r w:rsidR="00F511E2">
        <w:t xml:space="preserve">meer dan de helft van de lading </w:t>
      </w:r>
      <w:r w:rsidR="00B5205A">
        <w:t xml:space="preserve">uit </w:t>
      </w:r>
      <w:r w:rsidR="00F511E2">
        <w:t xml:space="preserve">ijzererts, bestemd voor </w:t>
      </w:r>
      <w:r w:rsidR="00806604">
        <w:t xml:space="preserve">de Duitse staalindustrie, </w:t>
      </w:r>
      <w:r w:rsidR="00AA2B74">
        <w:t>terwijl daarnaast granen, steenkolen</w:t>
      </w:r>
      <w:r w:rsidR="002E796D">
        <w:t xml:space="preserve">, </w:t>
      </w:r>
      <w:r w:rsidR="00AA2B74">
        <w:t>en vloeibare brandstoffen werden getransporteerd. Stroomafwaarts bestond bijna twee</w:t>
      </w:r>
      <w:r w:rsidR="00E85839">
        <w:t xml:space="preserve"> </w:t>
      </w:r>
      <w:r w:rsidR="00AA2B74">
        <w:t>derde van het vervoer uit steenkolen</w:t>
      </w:r>
      <w:r w:rsidR="009A2DD4">
        <w:rPr>
          <w:rStyle w:val="EndnoteReference"/>
        </w:rPr>
        <w:endnoteReference w:id="19"/>
      </w:r>
      <w:r w:rsidR="00AA2B74">
        <w:t xml:space="preserve"> en cokes. </w:t>
      </w:r>
      <w:r w:rsidR="002E796D">
        <w:t xml:space="preserve">Verder </w:t>
      </w:r>
      <w:r w:rsidR="00F511E2">
        <w:lastRenderedPageBreak/>
        <w:t xml:space="preserve">werden </w:t>
      </w:r>
      <w:r w:rsidR="007B3122">
        <w:t xml:space="preserve">stroomafwaarts </w:t>
      </w:r>
      <w:r w:rsidR="00F511E2">
        <w:t xml:space="preserve">vooral </w:t>
      </w:r>
      <w:r w:rsidR="00AA2B74">
        <w:t>natuursteen</w:t>
      </w:r>
      <w:r w:rsidR="00F511E2">
        <w:t xml:space="preserve">, </w:t>
      </w:r>
      <w:r w:rsidR="00AA2B74">
        <w:t>grind, kunstmest</w:t>
      </w:r>
      <w:r w:rsidR="00F511E2">
        <w:t xml:space="preserve">, </w:t>
      </w:r>
      <w:r w:rsidR="00AA2B74">
        <w:t>ijzer en ijzerproducten</w:t>
      </w:r>
      <w:r w:rsidR="00F511E2">
        <w:t xml:space="preserve"> getransporteerd</w:t>
      </w:r>
      <w:r w:rsidR="00AA2B74">
        <w:t xml:space="preserve">. </w:t>
      </w:r>
      <w:r w:rsidR="001C7FB2">
        <w:t xml:space="preserve">Opvallend is het eenzijdige karakter van </w:t>
      </w:r>
      <w:r w:rsidR="00E97E19">
        <w:t>het Rijnvaart</w:t>
      </w:r>
      <w:r w:rsidR="001C7FB2">
        <w:t xml:space="preserve">vervoer. Zonder ijzererts, steenkolen en cokes zou 60 procent van het </w:t>
      </w:r>
      <w:r w:rsidR="008D37B3">
        <w:t xml:space="preserve">transport </w:t>
      </w:r>
      <w:r w:rsidR="001C7FB2">
        <w:t>wegvallen.</w:t>
      </w:r>
      <w:r w:rsidR="008D37B3">
        <w:t xml:space="preserve"> </w:t>
      </w:r>
      <w:r w:rsidR="00531BA1">
        <w:t xml:space="preserve">De spoorwegen en het wegvervoer </w:t>
      </w:r>
      <w:r w:rsidR="00E97E19">
        <w:t xml:space="preserve">speelden </w:t>
      </w:r>
      <w:r w:rsidR="00531BA1">
        <w:t xml:space="preserve">in 1938 </w:t>
      </w:r>
      <w:r w:rsidR="008D37B3">
        <w:t xml:space="preserve">in het internationale vervoer slechts een bescheiden rol. Meer dan 90 procent van het </w:t>
      </w:r>
      <w:r w:rsidR="00F511E2">
        <w:t xml:space="preserve">grensoverschrijdend </w:t>
      </w:r>
      <w:r w:rsidR="00531BA1">
        <w:t>goederen</w:t>
      </w:r>
      <w:r w:rsidR="008D37B3">
        <w:t>vervoer ging per binnenschip.</w:t>
      </w:r>
      <w:r w:rsidR="008D37B3">
        <w:rPr>
          <w:rStyle w:val="EndnoteReference"/>
        </w:rPr>
        <w:endnoteReference w:id="20"/>
      </w:r>
      <w:r w:rsidR="001C7FB2">
        <w:t xml:space="preserve">  </w:t>
      </w:r>
      <w:r w:rsidR="00806604">
        <w:t xml:space="preserve"> </w:t>
      </w:r>
      <w:r w:rsidR="002036AF">
        <w:t xml:space="preserve"> </w:t>
      </w:r>
    </w:p>
    <w:p w14:paraId="71007CC5" w14:textId="64E5C010" w:rsidR="00234CAF" w:rsidRDefault="0022766A" w:rsidP="00DE08B1">
      <w:pPr>
        <w:ind w:firstLine="708"/>
        <w:contextualSpacing/>
        <w:jc w:val="left"/>
        <w:rPr>
          <w:rFonts w:eastAsia="Calibri" w:cs="Times New Roman"/>
          <w:color w:val="auto"/>
          <w:szCs w:val="24"/>
        </w:rPr>
      </w:pPr>
      <w:r>
        <w:t xml:space="preserve">In het binnenlands vervoer groeide de vrachtauto tussen 1925 en 1935 uit tot een belangrijke concurrent. Vrachtwagens hadden tegenover de binnenvaart twee belangrijke voordelen. Ten eerste konden ze goederen van deur-tot-deur vervoeren, terwijl </w:t>
      </w:r>
      <w:r w:rsidR="00826CC3">
        <w:t xml:space="preserve">vervoer met binnenschepen </w:t>
      </w:r>
      <w:r>
        <w:t>vaak één of twee extra overladingen en voor- en</w:t>
      </w:r>
      <w:r w:rsidR="00D237C0">
        <w:t>/of</w:t>
      </w:r>
      <w:r>
        <w:t xml:space="preserve"> natransport nodig maakte. De overladingen waren duur. Ten tweede waren vrachtauto’s veel sneller. </w:t>
      </w:r>
      <w:r w:rsidR="00D237C0">
        <w:t>Daar</w:t>
      </w:r>
      <w:r w:rsidR="00826CC3">
        <w:t xml:space="preserve">tegenover </w:t>
      </w:r>
      <w:r w:rsidR="00D237C0">
        <w:t>stond dat de binnenvaart bij het vervoer van massagoederen over grote afstanden</w:t>
      </w:r>
      <w:r w:rsidR="00826CC3">
        <w:t xml:space="preserve"> </w:t>
      </w:r>
      <w:r w:rsidR="00826CC3" w:rsidRPr="00EA76A5">
        <w:t>veel</w:t>
      </w:r>
      <w:r w:rsidR="00826CC3">
        <w:t xml:space="preserve"> goedkoper was</w:t>
      </w:r>
      <w:r w:rsidR="00D237C0">
        <w:t xml:space="preserve">, terwijl </w:t>
      </w:r>
      <w:r w:rsidR="00826CC3">
        <w:t xml:space="preserve">vervoer met binnenschepen </w:t>
      </w:r>
      <w:r w:rsidR="00162402">
        <w:t xml:space="preserve">aanmerkelijk </w:t>
      </w:r>
      <w:r w:rsidR="00826CC3">
        <w:t xml:space="preserve">minder energie vergde. </w:t>
      </w:r>
      <w:r w:rsidR="00477D05">
        <w:t>De voordelen maakten de vrachtauto zeer geschikt voor het vervoer van kleine hoeveelheden, spoedeisende goederen over korte afstanden.</w:t>
      </w:r>
      <w:r>
        <w:t xml:space="preserve"> </w:t>
      </w:r>
      <w:r w:rsidR="00D237C0">
        <w:t>Als eerste ondervonden de beurtvaart en het korte</w:t>
      </w:r>
      <w:r w:rsidR="00105A45">
        <w:t>-</w:t>
      </w:r>
      <w:r w:rsidR="00D237C0">
        <w:t xml:space="preserve">afstandsvervoer van kleine schippers op kleine vaarwegen concurrentie. Later breidde de actieradius van het wegvervoer zich geleidelijk uit. </w:t>
      </w:r>
      <w:r w:rsidR="008B203F">
        <w:rPr>
          <w:rFonts w:eastAsia="Calibri" w:cs="Times New Roman"/>
          <w:color w:val="auto"/>
          <w:szCs w:val="24"/>
        </w:rPr>
        <w:t>In 1938 bedroeg het binnenlandse scheepvaartvervoer 26,6 miljoen ton, terwijl de vervoersprestatie</w:t>
      </w:r>
      <w:r w:rsidR="00065837">
        <w:rPr>
          <w:rStyle w:val="EndnoteReference"/>
          <w:rFonts w:eastAsia="Calibri" w:cs="Times New Roman"/>
          <w:color w:val="auto"/>
          <w:szCs w:val="24"/>
        </w:rPr>
        <w:endnoteReference w:id="21"/>
      </w:r>
      <w:r w:rsidR="008B203F">
        <w:rPr>
          <w:rFonts w:eastAsia="Calibri" w:cs="Times New Roman"/>
          <w:color w:val="auto"/>
          <w:szCs w:val="24"/>
        </w:rPr>
        <w:t xml:space="preserve"> op 2</w:t>
      </w:r>
      <w:r w:rsidR="00E73DFD">
        <w:rPr>
          <w:rFonts w:eastAsia="Calibri" w:cs="Times New Roman"/>
          <w:color w:val="auto"/>
          <w:szCs w:val="24"/>
        </w:rPr>
        <w:t>.</w:t>
      </w:r>
      <w:r w:rsidR="008B203F">
        <w:rPr>
          <w:rFonts w:eastAsia="Calibri" w:cs="Times New Roman"/>
          <w:color w:val="auto"/>
          <w:szCs w:val="24"/>
        </w:rPr>
        <w:t>609 miljoen tonkilometer kwam.</w:t>
      </w:r>
      <w:r w:rsidR="004942AB">
        <w:rPr>
          <w:rFonts w:eastAsia="Calibri" w:cs="Times New Roman"/>
          <w:color w:val="auto"/>
          <w:szCs w:val="24"/>
        </w:rPr>
        <w:t xml:space="preserve"> </w:t>
      </w:r>
      <w:r w:rsidR="00390BEA">
        <w:rPr>
          <w:rFonts w:eastAsia="Calibri" w:cs="Times New Roman"/>
          <w:color w:val="auto"/>
          <w:szCs w:val="24"/>
        </w:rPr>
        <w:t xml:space="preserve">Uit tabel 2 blijkt dat binnenschepen </w:t>
      </w:r>
      <w:r w:rsidR="00153415">
        <w:rPr>
          <w:rFonts w:eastAsia="Calibri" w:cs="Times New Roman"/>
          <w:color w:val="auto"/>
          <w:szCs w:val="24"/>
        </w:rPr>
        <w:t xml:space="preserve">in het binnenlands vervoer </w:t>
      </w:r>
      <w:r w:rsidR="00F71A79">
        <w:rPr>
          <w:rFonts w:eastAsia="Calibri" w:cs="Times New Roman"/>
          <w:color w:val="auto"/>
          <w:szCs w:val="24"/>
        </w:rPr>
        <w:t xml:space="preserve">in dat jaar ruim </w:t>
      </w:r>
      <w:r w:rsidR="009A2DD4">
        <w:rPr>
          <w:rFonts w:eastAsia="Calibri" w:cs="Times New Roman"/>
          <w:color w:val="auto"/>
          <w:szCs w:val="24"/>
        </w:rPr>
        <w:t xml:space="preserve">een kwart </w:t>
      </w:r>
      <w:r w:rsidR="00390BEA">
        <w:rPr>
          <w:rFonts w:eastAsia="Calibri" w:cs="Times New Roman"/>
          <w:color w:val="auto"/>
          <w:szCs w:val="24"/>
        </w:rPr>
        <w:t xml:space="preserve">van </w:t>
      </w:r>
      <w:r w:rsidR="00F71A79">
        <w:rPr>
          <w:rFonts w:eastAsia="Calibri" w:cs="Times New Roman"/>
          <w:color w:val="auto"/>
          <w:szCs w:val="24"/>
        </w:rPr>
        <w:t xml:space="preserve">alle </w:t>
      </w:r>
      <w:r w:rsidR="00390BEA">
        <w:rPr>
          <w:rFonts w:eastAsia="Calibri" w:cs="Times New Roman"/>
          <w:color w:val="auto"/>
          <w:szCs w:val="24"/>
        </w:rPr>
        <w:t xml:space="preserve">goederen vervoerden, </w:t>
      </w:r>
      <w:r w:rsidR="00F71A79">
        <w:rPr>
          <w:rFonts w:eastAsia="Calibri" w:cs="Times New Roman"/>
          <w:color w:val="auto"/>
          <w:szCs w:val="24"/>
        </w:rPr>
        <w:t>maar b</w:t>
      </w:r>
      <w:r w:rsidR="009A2DD4">
        <w:rPr>
          <w:rFonts w:eastAsia="Calibri" w:cs="Times New Roman"/>
          <w:color w:val="auto"/>
          <w:szCs w:val="24"/>
        </w:rPr>
        <w:t xml:space="preserve">ijna de helft </w:t>
      </w:r>
      <w:r w:rsidR="00390BEA">
        <w:rPr>
          <w:rFonts w:eastAsia="Calibri" w:cs="Times New Roman"/>
          <w:color w:val="auto"/>
          <w:szCs w:val="24"/>
        </w:rPr>
        <w:t xml:space="preserve">van de vervoersprestatie </w:t>
      </w:r>
      <w:r w:rsidR="00B5205A">
        <w:rPr>
          <w:rFonts w:eastAsia="Calibri" w:cs="Times New Roman"/>
          <w:color w:val="auto"/>
          <w:szCs w:val="24"/>
        </w:rPr>
        <w:t>voor hun rekening namen</w:t>
      </w:r>
      <w:r w:rsidR="00390BEA">
        <w:rPr>
          <w:rFonts w:eastAsia="Calibri" w:cs="Times New Roman"/>
          <w:color w:val="auto"/>
          <w:szCs w:val="24"/>
        </w:rPr>
        <w:t>.</w:t>
      </w:r>
      <w:r w:rsidR="00CF03A2">
        <w:rPr>
          <w:rStyle w:val="EndnoteReference"/>
          <w:rFonts w:eastAsia="Calibri" w:cs="Times New Roman"/>
          <w:color w:val="auto"/>
          <w:szCs w:val="24"/>
        </w:rPr>
        <w:endnoteReference w:id="22"/>
      </w:r>
      <w:r w:rsidR="00390BEA">
        <w:rPr>
          <w:rFonts w:eastAsia="Calibri" w:cs="Times New Roman"/>
          <w:color w:val="auto"/>
          <w:szCs w:val="24"/>
        </w:rPr>
        <w:t xml:space="preserve">  </w:t>
      </w:r>
    </w:p>
    <w:p w14:paraId="24024EFF" w14:textId="77777777" w:rsidR="002B3370" w:rsidRDefault="002B3370" w:rsidP="00DE08B1">
      <w:pPr>
        <w:jc w:val="left"/>
      </w:pPr>
    </w:p>
    <w:p w14:paraId="29669CBD" w14:textId="77777777" w:rsidR="00CE3894" w:rsidRDefault="00CE3894" w:rsidP="00DE08B1">
      <w:pPr>
        <w:jc w:val="left"/>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2"/>
        <w:gridCol w:w="2012"/>
        <w:gridCol w:w="1345"/>
        <w:gridCol w:w="1138"/>
        <w:gridCol w:w="1310"/>
        <w:gridCol w:w="1135"/>
      </w:tblGrid>
      <w:tr w:rsidR="00F71A79" w:rsidRPr="0066712F" w14:paraId="38FF1CDD" w14:textId="77777777" w:rsidTr="0030721E">
        <w:trPr>
          <w:trHeight w:hRule="exact" w:val="567"/>
        </w:trPr>
        <w:tc>
          <w:tcPr>
            <w:tcW w:w="1171" w:type="pct"/>
            <w:vMerge w:val="restart"/>
          </w:tcPr>
          <w:p w14:paraId="1597CA46" w14:textId="77777777" w:rsidR="00F71A79" w:rsidRPr="002B3370" w:rsidRDefault="00F71A79" w:rsidP="00DE08B1">
            <w:pPr>
              <w:contextualSpacing/>
              <w:jc w:val="left"/>
              <w:rPr>
                <w:rFonts w:eastAsia="Calibri" w:cs="Times New Roman"/>
                <w:b/>
                <w:color w:val="auto"/>
                <w:sz w:val="20"/>
                <w:szCs w:val="20"/>
              </w:rPr>
            </w:pPr>
            <w:r w:rsidRPr="002B3370">
              <w:rPr>
                <w:rFonts w:eastAsia="Calibri" w:cs="Times New Roman"/>
                <w:b/>
                <w:color w:val="auto"/>
                <w:sz w:val="20"/>
                <w:szCs w:val="20"/>
              </w:rPr>
              <w:t>Aard vervoer</w:t>
            </w:r>
          </w:p>
        </w:tc>
        <w:tc>
          <w:tcPr>
            <w:tcW w:w="1110" w:type="pct"/>
            <w:vMerge w:val="restart"/>
          </w:tcPr>
          <w:p w14:paraId="7B379E37" w14:textId="77777777" w:rsidR="00F71A79" w:rsidRPr="002B3370" w:rsidRDefault="00F71A79" w:rsidP="00F740AC">
            <w:pPr>
              <w:pStyle w:val="tabelKop"/>
            </w:pPr>
            <w:r w:rsidRPr="002B3370">
              <w:t>Vervoermiddel</w:t>
            </w:r>
          </w:p>
        </w:tc>
        <w:tc>
          <w:tcPr>
            <w:tcW w:w="1370" w:type="pct"/>
            <w:gridSpan w:val="2"/>
          </w:tcPr>
          <w:p w14:paraId="1FBDAC6D" w14:textId="77777777" w:rsidR="00F71A79" w:rsidRPr="002B3370" w:rsidRDefault="00F71A79" w:rsidP="00F740AC">
            <w:pPr>
              <w:pStyle w:val="tabelKop"/>
            </w:pPr>
            <w:r w:rsidRPr="002B3370">
              <w:t>Vervoer</w:t>
            </w:r>
          </w:p>
          <w:p w14:paraId="4A8CA298" w14:textId="77777777" w:rsidR="00F71A79" w:rsidRPr="002B3370" w:rsidRDefault="00F71A79" w:rsidP="00F740AC">
            <w:pPr>
              <w:pStyle w:val="tabelKop"/>
            </w:pPr>
          </w:p>
        </w:tc>
        <w:tc>
          <w:tcPr>
            <w:tcW w:w="1349" w:type="pct"/>
            <w:gridSpan w:val="2"/>
          </w:tcPr>
          <w:p w14:paraId="1046889F" w14:textId="77777777" w:rsidR="00F71A79" w:rsidRPr="002B3370" w:rsidRDefault="00F71A79" w:rsidP="00F740AC">
            <w:pPr>
              <w:pStyle w:val="tabelKop"/>
            </w:pPr>
            <w:r w:rsidRPr="002B3370">
              <w:t>Vervoersprestatie</w:t>
            </w:r>
          </w:p>
          <w:p w14:paraId="7CF408B6" w14:textId="77777777" w:rsidR="00F71A79" w:rsidRPr="002B3370" w:rsidRDefault="00F71A79" w:rsidP="00F740AC">
            <w:pPr>
              <w:pStyle w:val="tabelKop"/>
            </w:pPr>
            <w:r w:rsidRPr="002B3370">
              <w:t>(in Nederland)</w:t>
            </w:r>
          </w:p>
        </w:tc>
      </w:tr>
      <w:tr w:rsidR="00F71A79" w:rsidRPr="0066712F" w14:paraId="3612454E" w14:textId="77777777" w:rsidTr="0030721E">
        <w:tc>
          <w:tcPr>
            <w:tcW w:w="1171" w:type="pct"/>
            <w:vMerge/>
          </w:tcPr>
          <w:p w14:paraId="2E030FBF" w14:textId="77777777" w:rsidR="00F71A79" w:rsidRPr="0066712F" w:rsidRDefault="00F71A79" w:rsidP="00DE08B1">
            <w:pPr>
              <w:contextualSpacing/>
              <w:jc w:val="left"/>
              <w:rPr>
                <w:rFonts w:eastAsia="Calibri" w:cs="Times New Roman"/>
                <w:color w:val="auto"/>
                <w:sz w:val="20"/>
                <w:szCs w:val="20"/>
              </w:rPr>
            </w:pPr>
          </w:p>
        </w:tc>
        <w:tc>
          <w:tcPr>
            <w:tcW w:w="1110" w:type="pct"/>
            <w:vMerge/>
            <w:tcBorders>
              <w:bottom w:val="single" w:sz="4" w:space="0" w:color="000000"/>
            </w:tcBorders>
          </w:tcPr>
          <w:p w14:paraId="467FD479" w14:textId="77777777" w:rsidR="00F71A79" w:rsidRPr="0066712F" w:rsidRDefault="00F71A79" w:rsidP="00DE08B1">
            <w:pPr>
              <w:contextualSpacing/>
              <w:jc w:val="left"/>
              <w:rPr>
                <w:rFonts w:eastAsia="Calibri" w:cs="Times New Roman"/>
                <w:color w:val="auto"/>
                <w:sz w:val="20"/>
                <w:szCs w:val="20"/>
              </w:rPr>
            </w:pPr>
          </w:p>
        </w:tc>
        <w:tc>
          <w:tcPr>
            <w:tcW w:w="742" w:type="pct"/>
            <w:tcBorders>
              <w:bottom w:val="single" w:sz="4" w:space="0" w:color="000000"/>
            </w:tcBorders>
          </w:tcPr>
          <w:p w14:paraId="310707BD" w14:textId="2D2FD93E" w:rsidR="00F71A79" w:rsidRPr="0066712F" w:rsidRDefault="002B3370" w:rsidP="00DE08B1">
            <w:pPr>
              <w:contextualSpacing/>
              <w:jc w:val="left"/>
              <w:rPr>
                <w:rFonts w:eastAsia="Calibri" w:cs="Times New Roman"/>
                <w:color w:val="auto"/>
                <w:sz w:val="20"/>
                <w:szCs w:val="20"/>
                <w:vertAlign w:val="superscript"/>
              </w:rPr>
            </w:pPr>
            <w:r>
              <w:rPr>
                <w:rFonts w:eastAsia="Calibri" w:cs="Times New Roman"/>
                <w:color w:val="auto"/>
                <w:sz w:val="20"/>
                <w:szCs w:val="20"/>
              </w:rPr>
              <w:t>M</w:t>
            </w:r>
            <w:r w:rsidR="0098115B">
              <w:rPr>
                <w:rFonts w:eastAsia="Calibri" w:cs="Times New Roman"/>
                <w:color w:val="auto"/>
                <w:sz w:val="20"/>
                <w:szCs w:val="20"/>
              </w:rPr>
              <w:t>iljoen ton</w:t>
            </w:r>
            <w:r w:rsidR="0098115B" w:rsidRPr="005C63B7">
              <w:rPr>
                <w:rFonts w:eastAsia="Calibri" w:cs="Times New Roman"/>
                <w:color w:val="auto"/>
                <w:sz w:val="18"/>
                <w:szCs w:val="18"/>
              </w:rPr>
              <w:t xml:space="preserve">                                                     </w:t>
            </w:r>
          </w:p>
        </w:tc>
        <w:tc>
          <w:tcPr>
            <w:tcW w:w="628" w:type="pct"/>
            <w:tcBorders>
              <w:bottom w:val="single" w:sz="4" w:space="0" w:color="000000"/>
            </w:tcBorders>
          </w:tcPr>
          <w:p w14:paraId="75C0B912" w14:textId="77777777" w:rsidR="00F71A79" w:rsidRPr="0066712F" w:rsidRDefault="00F71A79" w:rsidP="00DE08B1">
            <w:pPr>
              <w:contextualSpacing/>
              <w:jc w:val="left"/>
              <w:rPr>
                <w:rFonts w:eastAsia="Calibri" w:cs="Times New Roman"/>
                <w:color w:val="auto"/>
                <w:sz w:val="20"/>
                <w:szCs w:val="20"/>
              </w:rPr>
            </w:pPr>
            <w:r w:rsidRPr="0066712F">
              <w:rPr>
                <w:rFonts w:eastAsia="Calibri" w:cs="Times New Roman"/>
                <w:color w:val="auto"/>
                <w:sz w:val="20"/>
                <w:szCs w:val="20"/>
              </w:rPr>
              <w:t>Percentage</w:t>
            </w:r>
          </w:p>
        </w:tc>
        <w:tc>
          <w:tcPr>
            <w:tcW w:w="723" w:type="pct"/>
            <w:tcBorders>
              <w:bottom w:val="single" w:sz="4" w:space="0" w:color="000000"/>
            </w:tcBorders>
          </w:tcPr>
          <w:p w14:paraId="7D88D874" w14:textId="4B701EA1" w:rsidR="00F71A79" w:rsidRPr="0066712F" w:rsidRDefault="002B3370" w:rsidP="00DE08B1">
            <w:pPr>
              <w:contextualSpacing/>
              <w:jc w:val="left"/>
              <w:rPr>
                <w:rFonts w:eastAsia="Calibri" w:cs="Times New Roman"/>
                <w:color w:val="auto"/>
                <w:sz w:val="20"/>
                <w:szCs w:val="20"/>
                <w:vertAlign w:val="superscript"/>
              </w:rPr>
            </w:pPr>
            <w:r>
              <w:rPr>
                <w:rFonts w:eastAsia="Calibri" w:cs="Times New Roman"/>
                <w:color w:val="auto"/>
                <w:sz w:val="20"/>
                <w:szCs w:val="20"/>
              </w:rPr>
              <w:t>M</w:t>
            </w:r>
            <w:r w:rsidR="00DC2319">
              <w:rPr>
                <w:rFonts w:eastAsia="Calibri" w:cs="Times New Roman"/>
                <w:color w:val="auto"/>
                <w:sz w:val="20"/>
                <w:szCs w:val="20"/>
              </w:rPr>
              <w:t xml:space="preserve">iljoen </w:t>
            </w:r>
            <w:proofErr w:type="spellStart"/>
            <w:r w:rsidR="00DC2319">
              <w:rPr>
                <w:rFonts w:eastAsia="Calibri" w:cs="Times New Roman"/>
                <w:color w:val="auto"/>
                <w:sz w:val="20"/>
                <w:szCs w:val="20"/>
              </w:rPr>
              <w:t>ton</w:t>
            </w:r>
            <w:r w:rsidR="00A10633">
              <w:rPr>
                <w:rFonts w:eastAsia="Calibri" w:cs="Times New Roman"/>
                <w:color w:val="auto"/>
                <w:sz w:val="20"/>
                <w:szCs w:val="20"/>
              </w:rPr>
              <w:t>km</w:t>
            </w:r>
            <w:proofErr w:type="spellEnd"/>
            <w:r w:rsidR="00DC2319" w:rsidRPr="005C63B7">
              <w:rPr>
                <w:rFonts w:eastAsia="Calibri" w:cs="Times New Roman"/>
                <w:color w:val="auto"/>
                <w:sz w:val="18"/>
                <w:szCs w:val="18"/>
              </w:rPr>
              <w:t xml:space="preserve">                                                       </w:t>
            </w:r>
          </w:p>
        </w:tc>
        <w:tc>
          <w:tcPr>
            <w:tcW w:w="626" w:type="pct"/>
            <w:tcBorders>
              <w:bottom w:val="single" w:sz="4" w:space="0" w:color="000000"/>
            </w:tcBorders>
          </w:tcPr>
          <w:p w14:paraId="05E4D028" w14:textId="77777777" w:rsidR="00F71A79" w:rsidRPr="0066712F" w:rsidRDefault="00F71A79" w:rsidP="00DE08B1">
            <w:pPr>
              <w:contextualSpacing/>
              <w:jc w:val="left"/>
              <w:rPr>
                <w:rFonts w:eastAsia="Calibri" w:cs="Times New Roman"/>
                <w:color w:val="auto"/>
                <w:sz w:val="20"/>
                <w:szCs w:val="20"/>
              </w:rPr>
            </w:pPr>
            <w:r w:rsidRPr="0066712F">
              <w:rPr>
                <w:rFonts w:eastAsia="Calibri" w:cs="Times New Roman"/>
                <w:color w:val="auto"/>
                <w:sz w:val="20"/>
                <w:szCs w:val="20"/>
              </w:rPr>
              <w:t>Percentage</w:t>
            </w:r>
          </w:p>
        </w:tc>
      </w:tr>
      <w:tr w:rsidR="00F71A79" w:rsidRPr="0066712F" w14:paraId="6A91C1FD" w14:textId="77777777" w:rsidTr="0030721E">
        <w:tc>
          <w:tcPr>
            <w:tcW w:w="1171" w:type="pct"/>
            <w:vMerge w:val="restart"/>
          </w:tcPr>
          <w:p w14:paraId="75F992B5" w14:textId="77777777" w:rsidR="00F71A79" w:rsidRPr="0066712F" w:rsidRDefault="00F71A79" w:rsidP="00DE08B1">
            <w:pPr>
              <w:contextualSpacing/>
              <w:jc w:val="left"/>
              <w:rPr>
                <w:rFonts w:eastAsia="Calibri" w:cs="Times New Roman"/>
                <w:color w:val="auto"/>
                <w:sz w:val="20"/>
                <w:szCs w:val="20"/>
              </w:rPr>
            </w:pPr>
            <w:r w:rsidRPr="0066712F">
              <w:rPr>
                <w:rFonts w:eastAsia="Calibri" w:cs="Times New Roman"/>
                <w:color w:val="auto"/>
                <w:sz w:val="20"/>
                <w:szCs w:val="20"/>
              </w:rPr>
              <w:t>Binnenlands vervoer</w:t>
            </w:r>
          </w:p>
        </w:tc>
        <w:tc>
          <w:tcPr>
            <w:tcW w:w="1110" w:type="pct"/>
            <w:tcBorders>
              <w:bottom w:val="nil"/>
            </w:tcBorders>
          </w:tcPr>
          <w:p w14:paraId="027E0DA3" w14:textId="77777777" w:rsidR="00F71A79" w:rsidRPr="0066712F" w:rsidRDefault="00F71A79" w:rsidP="00DE08B1">
            <w:pPr>
              <w:contextualSpacing/>
              <w:jc w:val="left"/>
              <w:rPr>
                <w:rFonts w:eastAsia="Calibri" w:cs="Times New Roman"/>
                <w:color w:val="auto"/>
                <w:sz w:val="20"/>
                <w:szCs w:val="20"/>
              </w:rPr>
            </w:pPr>
            <w:r w:rsidRPr="0066712F">
              <w:rPr>
                <w:rFonts w:eastAsia="Calibri" w:cs="Times New Roman"/>
                <w:color w:val="auto"/>
                <w:sz w:val="20"/>
                <w:szCs w:val="20"/>
              </w:rPr>
              <w:t>Binnenvaart</w:t>
            </w:r>
          </w:p>
        </w:tc>
        <w:tc>
          <w:tcPr>
            <w:tcW w:w="742" w:type="pct"/>
            <w:tcBorders>
              <w:bottom w:val="nil"/>
            </w:tcBorders>
          </w:tcPr>
          <w:p w14:paraId="38DDDEA3" w14:textId="77777777" w:rsidR="00F71A79" w:rsidRPr="00CF36F2" w:rsidRDefault="00F71A79" w:rsidP="00CF36F2">
            <w:pPr>
              <w:pStyle w:val="tabelNummers"/>
              <w:rPr>
                <w:rFonts w:eastAsia="Calibri"/>
              </w:rPr>
            </w:pPr>
            <w:r w:rsidRPr="00CF36F2">
              <w:rPr>
                <w:rFonts w:eastAsia="Calibri"/>
              </w:rPr>
              <w:t>26,6</w:t>
            </w:r>
          </w:p>
        </w:tc>
        <w:tc>
          <w:tcPr>
            <w:tcW w:w="628" w:type="pct"/>
            <w:tcBorders>
              <w:bottom w:val="nil"/>
            </w:tcBorders>
          </w:tcPr>
          <w:p w14:paraId="32B2E471" w14:textId="77777777" w:rsidR="00F71A79" w:rsidRPr="00CF36F2" w:rsidRDefault="00F71A79" w:rsidP="00CF36F2">
            <w:pPr>
              <w:pStyle w:val="tabelNummers"/>
              <w:rPr>
                <w:rFonts w:eastAsia="Calibri"/>
              </w:rPr>
            </w:pPr>
            <w:r w:rsidRPr="00CF36F2">
              <w:rPr>
                <w:rFonts w:eastAsia="Calibri"/>
              </w:rPr>
              <w:t>26,4</w:t>
            </w:r>
          </w:p>
        </w:tc>
        <w:tc>
          <w:tcPr>
            <w:tcW w:w="723" w:type="pct"/>
            <w:tcBorders>
              <w:bottom w:val="nil"/>
            </w:tcBorders>
          </w:tcPr>
          <w:p w14:paraId="13F289A3" w14:textId="49895C81" w:rsidR="00F71A79" w:rsidRPr="00CF36F2" w:rsidRDefault="00F71A79" w:rsidP="00CF36F2">
            <w:pPr>
              <w:pStyle w:val="tabelNummers"/>
              <w:rPr>
                <w:rFonts w:eastAsia="Calibri"/>
              </w:rPr>
            </w:pPr>
            <w:r w:rsidRPr="00CF36F2">
              <w:rPr>
                <w:rFonts w:eastAsia="Calibri"/>
              </w:rPr>
              <w:t>2</w:t>
            </w:r>
            <w:r w:rsidR="00F01E79" w:rsidRPr="00CF36F2">
              <w:rPr>
                <w:rFonts w:eastAsia="Calibri"/>
              </w:rPr>
              <w:t>.</w:t>
            </w:r>
            <w:r w:rsidRPr="00CF36F2">
              <w:rPr>
                <w:rFonts w:eastAsia="Calibri"/>
              </w:rPr>
              <w:t>609</w:t>
            </w:r>
          </w:p>
        </w:tc>
        <w:tc>
          <w:tcPr>
            <w:tcW w:w="626" w:type="pct"/>
            <w:tcBorders>
              <w:bottom w:val="nil"/>
            </w:tcBorders>
          </w:tcPr>
          <w:p w14:paraId="5A96E9BC" w14:textId="77777777" w:rsidR="00F71A79" w:rsidRPr="00CF36F2" w:rsidRDefault="00F71A79" w:rsidP="00CF36F2">
            <w:pPr>
              <w:pStyle w:val="tabelNummers"/>
              <w:rPr>
                <w:rFonts w:eastAsia="Calibri"/>
              </w:rPr>
            </w:pPr>
            <w:r w:rsidRPr="00CF36F2">
              <w:rPr>
                <w:rFonts w:eastAsia="Calibri"/>
              </w:rPr>
              <w:t>47,7</w:t>
            </w:r>
          </w:p>
        </w:tc>
      </w:tr>
      <w:tr w:rsidR="00F71A79" w:rsidRPr="0066712F" w14:paraId="3321B890" w14:textId="77777777" w:rsidTr="0030721E">
        <w:tc>
          <w:tcPr>
            <w:tcW w:w="1171" w:type="pct"/>
            <w:vMerge/>
          </w:tcPr>
          <w:p w14:paraId="74CBE7F0" w14:textId="77777777" w:rsidR="00F71A79" w:rsidRPr="0066712F" w:rsidRDefault="00F71A79" w:rsidP="00DE08B1">
            <w:pPr>
              <w:contextualSpacing/>
              <w:jc w:val="left"/>
              <w:rPr>
                <w:rFonts w:eastAsia="Calibri" w:cs="Times New Roman"/>
                <w:color w:val="auto"/>
                <w:sz w:val="20"/>
                <w:szCs w:val="20"/>
              </w:rPr>
            </w:pPr>
          </w:p>
        </w:tc>
        <w:tc>
          <w:tcPr>
            <w:tcW w:w="1110" w:type="pct"/>
            <w:tcBorders>
              <w:top w:val="nil"/>
              <w:bottom w:val="nil"/>
            </w:tcBorders>
          </w:tcPr>
          <w:p w14:paraId="4D8DEB02" w14:textId="77777777" w:rsidR="00F71A79" w:rsidRPr="0066712F" w:rsidRDefault="00F71A79" w:rsidP="00DE08B1">
            <w:pPr>
              <w:contextualSpacing/>
              <w:jc w:val="left"/>
              <w:rPr>
                <w:rFonts w:eastAsia="Calibri" w:cs="Times New Roman"/>
                <w:color w:val="auto"/>
                <w:sz w:val="20"/>
                <w:szCs w:val="20"/>
              </w:rPr>
            </w:pPr>
            <w:r w:rsidRPr="0066712F">
              <w:rPr>
                <w:rFonts w:eastAsia="Calibri" w:cs="Times New Roman"/>
                <w:color w:val="auto"/>
                <w:sz w:val="20"/>
                <w:szCs w:val="20"/>
              </w:rPr>
              <w:t>Spoorwegen</w:t>
            </w:r>
          </w:p>
        </w:tc>
        <w:tc>
          <w:tcPr>
            <w:tcW w:w="742" w:type="pct"/>
            <w:tcBorders>
              <w:top w:val="nil"/>
              <w:bottom w:val="nil"/>
            </w:tcBorders>
          </w:tcPr>
          <w:p w14:paraId="587D7947" w14:textId="77777777" w:rsidR="00F71A79" w:rsidRPr="00CF36F2" w:rsidRDefault="00F71A79" w:rsidP="00CF36F2">
            <w:pPr>
              <w:pStyle w:val="tabelNummers"/>
              <w:rPr>
                <w:rFonts w:eastAsia="Calibri"/>
              </w:rPr>
            </w:pPr>
            <w:r w:rsidRPr="00CF36F2">
              <w:rPr>
                <w:rFonts w:eastAsia="Calibri"/>
              </w:rPr>
              <w:t>9,7</w:t>
            </w:r>
          </w:p>
        </w:tc>
        <w:tc>
          <w:tcPr>
            <w:tcW w:w="628" w:type="pct"/>
            <w:tcBorders>
              <w:top w:val="nil"/>
              <w:bottom w:val="nil"/>
            </w:tcBorders>
          </w:tcPr>
          <w:p w14:paraId="60A2728E" w14:textId="77777777" w:rsidR="00F71A79" w:rsidRPr="00CF36F2" w:rsidRDefault="00F71A79" w:rsidP="00CF36F2">
            <w:pPr>
              <w:pStyle w:val="tabelNummers"/>
              <w:rPr>
                <w:rFonts w:eastAsia="Calibri"/>
              </w:rPr>
            </w:pPr>
            <w:r w:rsidRPr="00CF36F2">
              <w:rPr>
                <w:rFonts w:eastAsia="Calibri"/>
              </w:rPr>
              <w:t>9,6</w:t>
            </w:r>
          </w:p>
        </w:tc>
        <w:tc>
          <w:tcPr>
            <w:tcW w:w="723" w:type="pct"/>
            <w:tcBorders>
              <w:top w:val="nil"/>
              <w:bottom w:val="nil"/>
            </w:tcBorders>
          </w:tcPr>
          <w:p w14:paraId="5311A2A7" w14:textId="55EF78B7" w:rsidR="00F71A79" w:rsidRPr="00CF36F2" w:rsidRDefault="00F71A79" w:rsidP="00CF36F2">
            <w:pPr>
              <w:pStyle w:val="tabelNummers"/>
              <w:rPr>
                <w:rFonts w:eastAsia="Calibri"/>
              </w:rPr>
            </w:pPr>
            <w:r w:rsidRPr="00CF36F2">
              <w:rPr>
                <w:rFonts w:eastAsia="Calibri"/>
              </w:rPr>
              <w:t>1</w:t>
            </w:r>
            <w:r w:rsidR="00F01E79" w:rsidRPr="00CF36F2">
              <w:rPr>
                <w:rFonts w:eastAsia="Calibri"/>
              </w:rPr>
              <w:t>.</w:t>
            </w:r>
            <w:r w:rsidRPr="00CF36F2">
              <w:rPr>
                <w:rFonts w:eastAsia="Calibri"/>
              </w:rPr>
              <w:t>360</w:t>
            </w:r>
          </w:p>
        </w:tc>
        <w:tc>
          <w:tcPr>
            <w:tcW w:w="626" w:type="pct"/>
            <w:tcBorders>
              <w:top w:val="nil"/>
              <w:bottom w:val="nil"/>
            </w:tcBorders>
          </w:tcPr>
          <w:p w14:paraId="6699BE2D" w14:textId="77777777" w:rsidR="00F71A79" w:rsidRPr="00CF36F2" w:rsidRDefault="00F71A79" w:rsidP="00CF36F2">
            <w:pPr>
              <w:pStyle w:val="tabelNummers"/>
              <w:rPr>
                <w:rFonts w:eastAsia="Calibri"/>
              </w:rPr>
            </w:pPr>
            <w:r w:rsidRPr="00CF36F2">
              <w:rPr>
                <w:rFonts w:eastAsia="Calibri"/>
              </w:rPr>
              <w:t>24,9</w:t>
            </w:r>
          </w:p>
        </w:tc>
      </w:tr>
      <w:tr w:rsidR="00F71A79" w:rsidRPr="0066712F" w14:paraId="6910BC46" w14:textId="77777777" w:rsidTr="0030721E">
        <w:tc>
          <w:tcPr>
            <w:tcW w:w="1171" w:type="pct"/>
            <w:vMerge/>
          </w:tcPr>
          <w:p w14:paraId="2FB23B97" w14:textId="77777777" w:rsidR="00F71A79" w:rsidRPr="0066712F" w:rsidRDefault="00F71A79" w:rsidP="00DE08B1">
            <w:pPr>
              <w:contextualSpacing/>
              <w:jc w:val="left"/>
              <w:rPr>
                <w:rFonts w:eastAsia="Calibri" w:cs="Times New Roman"/>
                <w:color w:val="auto"/>
                <w:sz w:val="20"/>
                <w:szCs w:val="20"/>
              </w:rPr>
            </w:pPr>
          </w:p>
        </w:tc>
        <w:tc>
          <w:tcPr>
            <w:tcW w:w="1110" w:type="pct"/>
            <w:tcBorders>
              <w:top w:val="nil"/>
              <w:bottom w:val="nil"/>
            </w:tcBorders>
          </w:tcPr>
          <w:p w14:paraId="63A4CA13" w14:textId="77777777" w:rsidR="00F71A79" w:rsidRPr="0066712F" w:rsidRDefault="00F71A79" w:rsidP="00DE08B1">
            <w:pPr>
              <w:contextualSpacing/>
              <w:jc w:val="left"/>
              <w:rPr>
                <w:rFonts w:eastAsia="Calibri" w:cs="Times New Roman"/>
                <w:color w:val="auto"/>
                <w:sz w:val="20"/>
                <w:szCs w:val="20"/>
              </w:rPr>
            </w:pPr>
            <w:r w:rsidRPr="0066712F">
              <w:rPr>
                <w:rFonts w:eastAsia="Calibri" w:cs="Times New Roman"/>
                <w:color w:val="auto"/>
                <w:sz w:val="20"/>
                <w:szCs w:val="20"/>
              </w:rPr>
              <w:t>Tramwegen</w:t>
            </w:r>
          </w:p>
        </w:tc>
        <w:tc>
          <w:tcPr>
            <w:tcW w:w="742" w:type="pct"/>
            <w:tcBorders>
              <w:top w:val="nil"/>
              <w:bottom w:val="nil"/>
            </w:tcBorders>
          </w:tcPr>
          <w:p w14:paraId="43E919E9" w14:textId="77777777" w:rsidR="00F71A79" w:rsidRPr="00CF36F2" w:rsidRDefault="00F71A79" w:rsidP="00CF36F2">
            <w:pPr>
              <w:pStyle w:val="tabelNummers"/>
              <w:rPr>
                <w:rFonts w:eastAsia="Calibri"/>
              </w:rPr>
            </w:pPr>
            <w:r w:rsidRPr="00CF36F2">
              <w:rPr>
                <w:rFonts w:eastAsia="Calibri"/>
              </w:rPr>
              <w:t>1,6</w:t>
            </w:r>
          </w:p>
        </w:tc>
        <w:tc>
          <w:tcPr>
            <w:tcW w:w="628" w:type="pct"/>
            <w:tcBorders>
              <w:top w:val="nil"/>
              <w:bottom w:val="nil"/>
            </w:tcBorders>
          </w:tcPr>
          <w:p w14:paraId="6093E5C5" w14:textId="77777777" w:rsidR="00F71A79" w:rsidRPr="00CF36F2" w:rsidRDefault="00F71A79" w:rsidP="00CF36F2">
            <w:pPr>
              <w:pStyle w:val="tabelNummers"/>
              <w:rPr>
                <w:rFonts w:eastAsia="Calibri"/>
              </w:rPr>
            </w:pPr>
            <w:r w:rsidRPr="00CF36F2">
              <w:rPr>
                <w:rFonts w:eastAsia="Calibri"/>
              </w:rPr>
              <w:t>1,6</w:t>
            </w:r>
          </w:p>
        </w:tc>
        <w:tc>
          <w:tcPr>
            <w:tcW w:w="723" w:type="pct"/>
            <w:tcBorders>
              <w:top w:val="nil"/>
              <w:bottom w:val="nil"/>
            </w:tcBorders>
          </w:tcPr>
          <w:p w14:paraId="24E2A683" w14:textId="77777777" w:rsidR="00F71A79" w:rsidRPr="00CF36F2" w:rsidRDefault="00F71A79" w:rsidP="00CF36F2">
            <w:pPr>
              <w:pStyle w:val="tabelNummers"/>
              <w:rPr>
                <w:rFonts w:eastAsia="Calibri"/>
              </w:rPr>
            </w:pPr>
            <w:r w:rsidRPr="00CF36F2">
              <w:rPr>
                <w:rFonts w:eastAsia="Calibri"/>
              </w:rPr>
              <w:t>47</w:t>
            </w:r>
          </w:p>
        </w:tc>
        <w:tc>
          <w:tcPr>
            <w:tcW w:w="626" w:type="pct"/>
            <w:tcBorders>
              <w:top w:val="nil"/>
              <w:bottom w:val="nil"/>
            </w:tcBorders>
          </w:tcPr>
          <w:p w14:paraId="261AB14E" w14:textId="77777777" w:rsidR="00F71A79" w:rsidRPr="00CF36F2" w:rsidRDefault="00F71A79" w:rsidP="00CF36F2">
            <w:pPr>
              <w:pStyle w:val="tabelNummers"/>
              <w:rPr>
                <w:rFonts w:eastAsia="Calibri"/>
              </w:rPr>
            </w:pPr>
            <w:r w:rsidRPr="00CF36F2">
              <w:rPr>
                <w:rFonts w:eastAsia="Calibri"/>
              </w:rPr>
              <w:t>0,9</w:t>
            </w:r>
          </w:p>
        </w:tc>
      </w:tr>
      <w:tr w:rsidR="00F71A79" w:rsidRPr="0066712F" w14:paraId="333D37B4" w14:textId="77777777" w:rsidTr="0030721E">
        <w:tc>
          <w:tcPr>
            <w:tcW w:w="1171" w:type="pct"/>
            <w:vMerge/>
          </w:tcPr>
          <w:p w14:paraId="4213B973" w14:textId="77777777" w:rsidR="00F71A79" w:rsidRPr="0066712F" w:rsidRDefault="00F71A79" w:rsidP="00DE08B1">
            <w:pPr>
              <w:contextualSpacing/>
              <w:jc w:val="left"/>
              <w:rPr>
                <w:rFonts w:eastAsia="Calibri" w:cs="Times New Roman"/>
                <w:color w:val="auto"/>
                <w:sz w:val="20"/>
                <w:szCs w:val="20"/>
              </w:rPr>
            </w:pPr>
          </w:p>
        </w:tc>
        <w:tc>
          <w:tcPr>
            <w:tcW w:w="1110" w:type="pct"/>
            <w:tcBorders>
              <w:top w:val="nil"/>
              <w:bottom w:val="nil"/>
            </w:tcBorders>
          </w:tcPr>
          <w:p w14:paraId="09BE3976" w14:textId="77777777" w:rsidR="00F71A79" w:rsidRPr="0066712F" w:rsidRDefault="00F71A79" w:rsidP="00DE08B1">
            <w:pPr>
              <w:contextualSpacing/>
              <w:jc w:val="left"/>
              <w:rPr>
                <w:rFonts w:eastAsia="Calibri" w:cs="Times New Roman"/>
                <w:color w:val="auto"/>
                <w:sz w:val="20"/>
                <w:szCs w:val="20"/>
              </w:rPr>
            </w:pPr>
            <w:r w:rsidRPr="0066712F">
              <w:rPr>
                <w:rFonts w:eastAsia="Calibri" w:cs="Times New Roman"/>
                <w:color w:val="auto"/>
                <w:sz w:val="20"/>
                <w:szCs w:val="20"/>
              </w:rPr>
              <w:t>Wegvervoer</w:t>
            </w:r>
          </w:p>
        </w:tc>
        <w:tc>
          <w:tcPr>
            <w:tcW w:w="742" w:type="pct"/>
            <w:tcBorders>
              <w:top w:val="nil"/>
              <w:bottom w:val="nil"/>
            </w:tcBorders>
          </w:tcPr>
          <w:p w14:paraId="61AF1EAF" w14:textId="77777777" w:rsidR="00F71A79" w:rsidRPr="00CF36F2" w:rsidRDefault="00F71A79" w:rsidP="00CF36F2">
            <w:pPr>
              <w:pStyle w:val="tabelNummers"/>
              <w:rPr>
                <w:rFonts w:eastAsia="Calibri"/>
              </w:rPr>
            </w:pPr>
            <w:r w:rsidRPr="00CF36F2">
              <w:rPr>
                <w:rFonts w:eastAsia="Calibri"/>
              </w:rPr>
              <w:t>63,0</w:t>
            </w:r>
          </w:p>
        </w:tc>
        <w:tc>
          <w:tcPr>
            <w:tcW w:w="628" w:type="pct"/>
            <w:tcBorders>
              <w:top w:val="nil"/>
              <w:bottom w:val="nil"/>
            </w:tcBorders>
          </w:tcPr>
          <w:p w14:paraId="16390FF8" w14:textId="77777777" w:rsidR="00F71A79" w:rsidRPr="00CF36F2" w:rsidRDefault="00F71A79" w:rsidP="00CF36F2">
            <w:pPr>
              <w:pStyle w:val="tabelNummers"/>
              <w:rPr>
                <w:rFonts w:eastAsia="Calibri"/>
              </w:rPr>
            </w:pPr>
            <w:r w:rsidRPr="00CF36F2">
              <w:rPr>
                <w:rFonts w:eastAsia="Calibri"/>
              </w:rPr>
              <w:t>62,4</w:t>
            </w:r>
          </w:p>
        </w:tc>
        <w:tc>
          <w:tcPr>
            <w:tcW w:w="723" w:type="pct"/>
            <w:tcBorders>
              <w:top w:val="nil"/>
              <w:bottom w:val="nil"/>
            </w:tcBorders>
          </w:tcPr>
          <w:p w14:paraId="26266241" w14:textId="40022327" w:rsidR="00F71A79" w:rsidRPr="00CF36F2" w:rsidRDefault="00F71A79" w:rsidP="00CF36F2">
            <w:pPr>
              <w:pStyle w:val="tabelNummers"/>
              <w:rPr>
                <w:rFonts w:eastAsia="Calibri"/>
              </w:rPr>
            </w:pPr>
            <w:r w:rsidRPr="00CF36F2">
              <w:rPr>
                <w:rFonts w:eastAsia="Calibri"/>
              </w:rPr>
              <w:t>1</w:t>
            </w:r>
            <w:r w:rsidR="00F01E79" w:rsidRPr="00CF36F2">
              <w:rPr>
                <w:rFonts w:eastAsia="Calibri"/>
              </w:rPr>
              <w:t>.</w:t>
            </w:r>
            <w:r w:rsidRPr="00CF36F2">
              <w:rPr>
                <w:rFonts w:eastAsia="Calibri"/>
              </w:rPr>
              <w:t>450</w:t>
            </w:r>
          </w:p>
        </w:tc>
        <w:tc>
          <w:tcPr>
            <w:tcW w:w="626" w:type="pct"/>
            <w:tcBorders>
              <w:top w:val="nil"/>
              <w:bottom w:val="nil"/>
            </w:tcBorders>
          </w:tcPr>
          <w:p w14:paraId="29942431" w14:textId="77777777" w:rsidR="00F71A79" w:rsidRPr="00CF36F2" w:rsidRDefault="00F71A79" w:rsidP="00CF36F2">
            <w:pPr>
              <w:pStyle w:val="tabelNummers"/>
              <w:rPr>
                <w:rFonts w:eastAsia="Calibri"/>
              </w:rPr>
            </w:pPr>
            <w:r w:rsidRPr="00CF36F2">
              <w:rPr>
                <w:rFonts w:eastAsia="Calibri"/>
              </w:rPr>
              <w:t>26,5</w:t>
            </w:r>
          </w:p>
        </w:tc>
      </w:tr>
      <w:tr w:rsidR="00F71A79" w:rsidRPr="0066712F" w14:paraId="0310DC2A" w14:textId="77777777" w:rsidTr="0030721E">
        <w:tc>
          <w:tcPr>
            <w:tcW w:w="1171" w:type="pct"/>
            <w:vMerge/>
          </w:tcPr>
          <w:p w14:paraId="4E8ECE4E" w14:textId="77777777" w:rsidR="00F71A79" w:rsidRPr="0066712F" w:rsidRDefault="00F71A79" w:rsidP="00DE08B1">
            <w:pPr>
              <w:contextualSpacing/>
              <w:jc w:val="left"/>
              <w:rPr>
                <w:rFonts w:eastAsia="Calibri" w:cs="Times New Roman"/>
                <w:color w:val="auto"/>
                <w:sz w:val="20"/>
                <w:szCs w:val="20"/>
              </w:rPr>
            </w:pPr>
          </w:p>
        </w:tc>
        <w:tc>
          <w:tcPr>
            <w:tcW w:w="1110" w:type="pct"/>
            <w:tcBorders>
              <w:top w:val="nil"/>
              <w:bottom w:val="single" w:sz="4" w:space="0" w:color="000000"/>
            </w:tcBorders>
          </w:tcPr>
          <w:p w14:paraId="578D5EFA" w14:textId="77777777" w:rsidR="00F71A79" w:rsidRPr="0066712F" w:rsidRDefault="00F71A79" w:rsidP="00DE08B1">
            <w:pPr>
              <w:contextualSpacing/>
              <w:jc w:val="left"/>
              <w:rPr>
                <w:rFonts w:eastAsia="Calibri" w:cs="Times New Roman"/>
                <w:color w:val="auto"/>
                <w:sz w:val="20"/>
                <w:szCs w:val="20"/>
              </w:rPr>
            </w:pPr>
            <w:r w:rsidRPr="0066712F">
              <w:rPr>
                <w:rFonts w:eastAsia="Calibri" w:cs="Times New Roman"/>
                <w:color w:val="auto"/>
                <w:sz w:val="20"/>
                <w:szCs w:val="20"/>
              </w:rPr>
              <w:t>Totaal</w:t>
            </w:r>
          </w:p>
        </w:tc>
        <w:tc>
          <w:tcPr>
            <w:tcW w:w="742" w:type="pct"/>
            <w:tcBorders>
              <w:top w:val="nil"/>
              <w:bottom w:val="single" w:sz="4" w:space="0" w:color="000000"/>
            </w:tcBorders>
          </w:tcPr>
          <w:p w14:paraId="65817216" w14:textId="77777777" w:rsidR="00F71A79" w:rsidRPr="00CF36F2" w:rsidRDefault="00F71A79" w:rsidP="00CF36F2">
            <w:pPr>
              <w:pStyle w:val="tabelNummers"/>
              <w:rPr>
                <w:rFonts w:eastAsia="Calibri"/>
              </w:rPr>
            </w:pPr>
            <w:r w:rsidRPr="00CF36F2">
              <w:rPr>
                <w:rFonts w:eastAsia="Calibri"/>
              </w:rPr>
              <w:t>100,9</w:t>
            </w:r>
          </w:p>
        </w:tc>
        <w:tc>
          <w:tcPr>
            <w:tcW w:w="628" w:type="pct"/>
            <w:tcBorders>
              <w:top w:val="nil"/>
              <w:bottom w:val="single" w:sz="4" w:space="0" w:color="000000"/>
            </w:tcBorders>
          </w:tcPr>
          <w:p w14:paraId="3202AAF5" w14:textId="77777777" w:rsidR="00F71A79" w:rsidRPr="00CF36F2" w:rsidRDefault="00F71A79" w:rsidP="00CF36F2">
            <w:pPr>
              <w:pStyle w:val="tabelNummers"/>
              <w:rPr>
                <w:rFonts w:eastAsia="Calibri"/>
              </w:rPr>
            </w:pPr>
            <w:r w:rsidRPr="00CF36F2">
              <w:rPr>
                <w:rFonts w:eastAsia="Calibri"/>
              </w:rPr>
              <w:t>100</w:t>
            </w:r>
          </w:p>
        </w:tc>
        <w:tc>
          <w:tcPr>
            <w:tcW w:w="723" w:type="pct"/>
            <w:tcBorders>
              <w:top w:val="nil"/>
              <w:bottom w:val="single" w:sz="4" w:space="0" w:color="000000"/>
            </w:tcBorders>
          </w:tcPr>
          <w:p w14:paraId="2B65413D" w14:textId="44F48543" w:rsidR="00F71A79" w:rsidRPr="00CF36F2" w:rsidRDefault="00F71A79" w:rsidP="00CF36F2">
            <w:pPr>
              <w:pStyle w:val="tabelNummers"/>
              <w:rPr>
                <w:rFonts w:eastAsia="Calibri"/>
              </w:rPr>
            </w:pPr>
            <w:r w:rsidRPr="00CF36F2">
              <w:rPr>
                <w:rFonts w:eastAsia="Calibri"/>
              </w:rPr>
              <w:t>5</w:t>
            </w:r>
            <w:r w:rsidR="00F01E79" w:rsidRPr="00CF36F2">
              <w:rPr>
                <w:rFonts w:eastAsia="Calibri"/>
              </w:rPr>
              <w:t>.</w:t>
            </w:r>
            <w:r w:rsidRPr="00CF36F2">
              <w:rPr>
                <w:rFonts w:eastAsia="Calibri"/>
              </w:rPr>
              <w:t>466</w:t>
            </w:r>
          </w:p>
        </w:tc>
        <w:tc>
          <w:tcPr>
            <w:tcW w:w="626" w:type="pct"/>
            <w:tcBorders>
              <w:top w:val="nil"/>
              <w:bottom w:val="single" w:sz="4" w:space="0" w:color="000000"/>
            </w:tcBorders>
          </w:tcPr>
          <w:p w14:paraId="66847888" w14:textId="77777777" w:rsidR="00F71A79" w:rsidRPr="00CF36F2" w:rsidRDefault="00F71A79" w:rsidP="00CF36F2">
            <w:pPr>
              <w:pStyle w:val="tabelNummers"/>
              <w:rPr>
                <w:rFonts w:eastAsia="Calibri"/>
              </w:rPr>
            </w:pPr>
            <w:r w:rsidRPr="00CF36F2">
              <w:rPr>
                <w:rFonts w:eastAsia="Calibri"/>
              </w:rPr>
              <w:t>100</w:t>
            </w:r>
          </w:p>
        </w:tc>
      </w:tr>
      <w:tr w:rsidR="00F71A79" w:rsidRPr="0066712F" w14:paraId="592D9AB4" w14:textId="77777777" w:rsidTr="0030721E">
        <w:tc>
          <w:tcPr>
            <w:tcW w:w="1171" w:type="pct"/>
            <w:vMerge w:val="restart"/>
          </w:tcPr>
          <w:p w14:paraId="38DAFA2B" w14:textId="77777777" w:rsidR="00F71A79" w:rsidRPr="0066712F" w:rsidRDefault="00F71A79" w:rsidP="00DE08B1">
            <w:pPr>
              <w:contextualSpacing/>
              <w:jc w:val="left"/>
              <w:rPr>
                <w:rFonts w:eastAsia="Calibri" w:cs="Times New Roman"/>
                <w:color w:val="auto"/>
                <w:sz w:val="20"/>
                <w:szCs w:val="20"/>
              </w:rPr>
            </w:pPr>
            <w:r>
              <w:rPr>
                <w:rFonts w:eastAsia="Calibri" w:cs="Times New Roman"/>
                <w:color w:val="auto"/>
                <w:sz w:val="20"/>
                <w:szCs w:val="20"/>
              </w:rPr>
              <w:t xml:space="preserve">Internationaal </w:t>
            </w:r>
            <w:r w:rsidRPr="0066712F">
              <w:rPr>
                <w:rFonts w:eastAsia="Calibri" w:cs="Times New Roman"/>
                <w:color w:val="auto"/>
                <w:sz w:val="20"/>
                <w:szCs w:val="20"/>
              </w:rPr>
              <w:t>vervoer (inclusief doorvoer)</w:t>
            </w:r>
          </w:p>
        </w:tc>
        <w:tc>
          <w:tcPr>
            <w:tcW w:w="1110" w:type="pct"/>
            <w:tcBorders>
              <w:bottom w:val="nil"/>
            </w:tcBorders>
          </w:tcPr>
          <w:p w14:paraId="43BC2554" w14:textId="77777777" w:rsidR="00F71A79" w:rsidRPr="0066712F" w:rsidRDefault="00F71A79" w:rsidP="00DE08B1">
            <w:pPr>
              <w:contextualSpacing/>
              <w:jc w:val="left"/>
              <w:rPr>
                <w:rFonts w:eastAsia="Calibri" w:cs="Times New Roman"/>
                <w:color w:val="auto"/>
                <w:sz w:val="20"/>
                <w:szCs w:val="20"/>
              </w:rPr>
            </w:pPr>
            <w:r w:rsidRPr="0066712F">
              <w:rPr>
                <w:rFonts w:eastAsia="Calibri" w:cs="Times New Roman"/>
                <w:color w:val="auto"/>
                <w:sz w:val="20"/>
                <w:szCs w:val="20"/>
              </w:rPr>
              <w:t>Binnenvaart</w:t>
            </w:r>
          </w:p>
        </w:tc>
        <w:tc>
          <w:tcPr>
            <w:tcW w:w="742" w:type="pct"/>
            <w:tcBorders>
              <w:bottom w:val="nil"/>
            </w:tcBorders>
          </w:tcPr>
          <w:p w14:paraId="23F0F2F7" w14:textId="77777777" w:rsidR="00F71A79" w:rsidRPr="00CF36F2" w:rsidRDefault="00F71A79" w:rsidP="00CF36F2">
            <w:pPr>
              <w:pStyle w:val="tabelNummers"/>
              <w:rPr>
                <w:rFonts w:eastAsia="Calibri"/>
              </w:rPr>
            </w:pPr>
            <w:r w:rsidRPr="00CF36F2">
              <w:rPr>
                <w:rFonts w:eastAsia="Calibri"/>
              </w:rPr>
              <w:t>64,7</w:t>
            </w:r>
          </w:p>
        </w:tc>
        <w:tc>
          <w:tcPr>
            <w:tcW w:w="628" w:type="pct"/>
            <w:tcBorders>
              <w:bottom w:val="nil"/>
            </w:tcBorders>
          </w:tcPr>
          <w:p w14:paraId="6DA5B356" w14:textId="77777777" w:rsidR="00F71A79" w:rsidRPr="00CF36F2" w:rsidRDefault="00F71A79" w:rsidP="00CF36F2">
            <w:pPr>
              <w:pStyle w:val="tabelNummers"/>
              <w:rPr>
                <w:rFonts w:eastAsia="Calibri"/>
              </w:rPr>
            </w:pPr>
            <w:r w:rsidRPr="00CF36F2">
              <w:rPr>
                <w:rFonts w:eastAsia="Calibri"/>
              </w:rPr>
              <w:t>91,6</w:t>
            </w:r>
          </w:p>
        </w:tc>
        <w:tc>
          <w:tcPr>
            <w:tcW w:w="723" w:type="pct"/>
            <w:tcBorders>
              <w:bottom w:val="nil"/>
            </w:tcBorders>
          </w:tcPr>
          <w:p w14:paraId="08DDE0A2" w14:textId="78EF5D3A" w:rsidR="00F71A79" w:rsidRPr="00CF36F2" w:rsidRDefault="00F71A79" w:rsidP="00CF36F2">
            <w:pPr>
              <w:pStyle w:val="tabelNummers"/>
              <w:rPr>
                <w:rFonts w:eastAsia="Calibri"/>
              </w:rPr>
            </w:pPr>
            <w:r w:rsidRPr="00CF36F2">
              <w:rPr>
                <w:rFonts w:eastAsia="Calibri"/>
              </w:rPr>
              <w:t>9</w:t>
            </w:r>
            <w:r w:rsidR="00F01E79" w:rsidRPr="00CF36F2">
              <w:rPr>
                <w:rFonts w:eastAsia="Calibri"/>
              </w:rPr>
              <w:t>.</w:t>
            </w:r>
            <w:r w:rsidRPr="00CF36F2">
              <w:rPr>
                <w:rFonts w:eastAsia="Calibri"/>
              </w:rPr>
              <w:t>616</w:t>
            </w:r>
          </w:p>
        </w:tc>
        <w:tc>
          <w:tcPr>
            <w:tcW w:w="626" w:type="pct"/>
            <w:tcBorders>
              <w:bottom w:val="nil"/>
            </w:tcBorders>
          </w:tcPr>
          <w:p w14:paraId="42FF5A07" w14:textId="77777777" w:rsidR="00F71A79" w:rsidRPr="00CF36F2" w:rsidRDefault="00F71A79" w:rsidP="00CF36F2">
            <w:pPr>
              <w:pStyle w:val="tabelNummers"/>
              <w:rPr>
                <w:rFonts w:eastAsia="Calibri"/>
              </w:rPr>
            </w:pPr>
            <w:r w:rsidRPr="00CF36F2">
              <w:rPr>
                <w:rFonts w:eastAsia="Calibri"/>
              </w:rPr>
              <w:t>92,7</w:t>
            </w:r>
          </w:p>
        </w:tc>
      </w:tr>
      <w:tr w:rsidR="00F71A79" w:rsidRPr="0066712F" w14:paraId="39E637C4" w14:textId="77777777" w:rsidTr="0030721E">
        <w:tc>
          <w:tcPr>
            <w:tcW w:w="1171" w:type="pct"/>
            <w:vMerge/>
          </w:tcPr>
          <w:p w14:paraId="4594D544" w14:textId="77777777" w:rsidR="00F71A79" w:rsidRPr="0066712F" w:rsidRDefault="00F71A79" w:rsidP="00DE08B1">
            <w:pPr>
              <w:contextualSpacing/>
              <w:jc w:val="left"/>
              <w:rPr>
                <w:rFonts w:eastAsia="Calibri" w:cs="Times New Roman"/>
                <w:color w:val="auto"/>
                <w:sz w:val="20"/>
                <w:szCs w:val="20"/>
              </w:rPr>
            </w:pPr>
          </w:p>
        </w:tc>
        <w:tc>
          <w:tcPr>
            <w:tcW w:w="1110" w:type="pct"/>
            <w:tcBorders>
              <w:top w:val="nil"/>
              <w:bottom w:val="nil"/>
            </w:tcBorders>
          </w:tcPr>
          <w:p w14:paraId="79C65E6D" w14:textId="77777777" w:rsidR="00F71A79" w:rsidRPr="0066712F" w:rsidRDefault="00F71A79" w:rsidP="00DE08B1">
            <w:pPr>
              <w:contextualSpacing/>
              <w:jc w:val="left"/>
              <w:rPr>
                <w:rFonts w:eastAsia="Calibri" w:cs="Times New Roman"/>
                <w:color w:val="auto"/>
                <w:sz w:val="20"/>
                <w:szCs w:val="20"/>
              </w:rPr>
            </w:pPr>
            <w:r w:rsidRPr="0066712F">
              <w:rPr>
                <w:rFonts w:eastAsia="Calibri" w:cs="Times New Roman"/>
                <w:color w:val="auto"/>
                <w:sz w:val="20"/>
                <w:szCs w:val="20"/>
              </w:rPr>
              <w:t>Spoorwegen</w:t>
            </w:r>
          </w:p>
        </w:tc>
        <w:tc>
          <w:tcPr>
            <w:tcW w:w="742" w:type="pct"/>
            <w:tcBorders>
              <w:top w:val="nil"/>
              <w:bottom w:val="nil"/>
            </w:tcBorders>
          </w:tcPr>
          <w:p w14:paraId="4A217BCD" w14:textId="77777777" w:rsidR="00F71A79" w:rsidRPr="00CF36F2" w:rsidRDefault="00F71A79" w:rsidP="00CF36F2">
            <w:pPr>
              <w:pStyle w:val="tabelNummers"/>
              <w:rPr>
                <w:rFonts w:eastAsia="Calibri"/>
              </w:rPr>
            </w:pPr>
            <w:r w:rsidRPr="00CF36F2">
              <w:rPr>
                <w:rFonts w:eastAsia="Calibri"/>
              </w:rPr>
              <w:t>5,0</w:t>
            </w:r>
          </w:p>
        </w:tc>
        <w:tc>
          <w:tcPr>
            <w:tcW w:w="628" w:type="pct"/>
            <w:tcBorders>
              <w:top w:val="nil"/>
              <w:bottom w:val="nil"/>
            </w:tcBorders>
          </w:tcPr>
          <w:p w14:paraId="01973939" w14:textId="77777777" w:rsidR="00F71A79" w:rsidRPr="00CF36F2" w:rsidRDefault="00F71A79" w:rsidP="00CF36F2">
            <w:pPr>
              <w:pStyle w:val="tabelNummers"/>
              <w:rPr>
                <w:rFonts w:eastAsia="Calibri"/>
              </w:rPr>
            </w:pPr>
            <w:r w:rsidRPr="00CF36F2">
              <w:rPr>
                <w:rFonts w:eastAsia="Calibri"/>
              </w:rPr>
              <w:t>7,1</w:t>
            </w:r>
          </w:p>
        </w:tc>
        <w:tc>
          <w:tcPr>
            <w:tcW w:w="723" w:type="pct"/>
            <w:tcBorders>
              <w:top w:val="nil"/>
              <w:bottom w:val="nil"/>
            </w:tcBorders>
          </w:tcPr>
          <w:p w14:paraId="217AF9B4" w14:textId="77777777" w:rsidR="00F71A79" w:rsidRPr="00CF36F2" w:rsidRDefault="00F71A79" w:rsidP="00CF36F2">
            <w:pPr>
              <w:pStyle w:val="tabelNummers"/>
              <w:rPr>
                <w:rFonts w:eastAsia="Calibri"/>
              </w:rPr>
            </w:pPr>
            <w:r w:rsidRPr="00CF36F2">
              <w:rPr>
                <w:rFonts w:eastAsia="Calibri"/>
              </w:rPr>
              <w:t>700</w:t>
            </w:r>
          </w:p>
        </w:tc>
        <w:tc>
          <w:tcPr>
            <w:tcW w:w="626" w:type="pct"/>
            <w:tcBorders>
              <w:top w:val="nil"/>
              <w:bottom w:val="nil"/>
            </w:tcBorders>
          </w:tcPr>
          <w:p w14:paraId="05CA3880" w14:textId="77777777" w:rsidR="00F71A79" w:rsidRPr="00CF36F2" w:rsidRDefault="00F71A79" w:rsidP="00CF36F2">
            <w:pPr>
              <w:pStyle w:val="tabelNummers"/>
              <w:rPr>
                <w:rFonts w:eastAsia="Calibri"/>
              </w:rPr>
            </w:pPr>
            <w:r w:rsidRPr="00CF36F2">
              <w:rPr>
                <w:rFonts w:eastAsia="Calibri"/>
              </w:rPr>
              <w:t>6,8</w:t>
            </w:r>
          </w:p>
        </w:tc>
      </w:tr>
      <w:tr w:rsidR="00F71A79" w:rsidRPr="0066712F" w14:paraId="6A9BC922" w14:textId="77777777" w:rsidTr="0030721E">
        <w:tc>
          <w:tcPr>
            <w:tcW w:w="1171" w:type="pct"/>
            <w:vMerge/>
          </w:tcPr>
          <w:p w14:paraId="4FF6314E" w14:textId="77777777" w:rsidR="00F71A79" w:rsidRPr="0066712F" w:rsidRDefault="00F71A79" w:rsidP="00DE08B1">
            <w:pPr>
              <w:contextualSpacing/>
              <w:jc w:val="left"/>
              <w:rPr>
                <w:rFonts w:eastAsia="Calibri" w:cs="Times New Roman"/>
                <w:color w:val="auto"/>
                <w:sz w:val="20"/>
                <w:szCs w:val="20"/>
              </w:rPr>
            </w:pPr>
          </w:p>
        </w:tc>
        <w:tc>
          <w:tcPr>
            <w:tcW w:w="1110" w:type="pct"/>
            <w:tcBorders>
              <w:top w:val="nil"/>
              <w:bottom w:val="nil"/>
            </w:tcBorders>
          </w:tcPr>
          <w:p w14:paraId="32CE706D" w14:textId="77777777" w:rsidR="00F71A79" w:rsidRPr="0066712F" w:rsidRDefault="00F71A79" w:rsidP="00DE08B1">
            <w:pPr>
              <w:contextualSpacing/>
              <w:jc w:val="left"/>
              <w:rPr>
                <w:rFonts w:eastAsia="Calibri" w:cs="Times New Roman"/>
                <w:color w:val="auto"/>
                <w:sz w:val="20"/>
                <w:szCs w:val="20"/>
              </w:rPr>
            </w:pPr>
            <w:r w:rsidRPr="0066712F">
              <w:rPr>
                <w:rFonts w:eastAsia="Calibri" w:cs="Times New Roman"/>
                <w:color w:val="auto"/>
                <w:sz w:val="20"/>
                <w:szCs w:val="20"/>
              </w:rPr>
              <w:t>Tramwegen</w:t>
            </w:r>
          </w:p>
        </w:tc>
        <w:tc>
          <w:tcPr>
            <w:tcW w:w="742" w:type="pct"/>
            <w:tcBorders>
              <w:top w:val="nil"/>
              <w:bottom w:val="nil"/>
            </w:tcBorders>
          </w:tcPr>
          <w:p w14:paraId="34BBDF70" w14:textId="77777777" w:rsidR="00F71A79" w:rsidRPr="00CF36F2" w:rsidRDefault="00F71A79" w:rsidP="00CF36F2">
            <w:pPr>
              <w:pStyle w:val="tabelNummers"/>
              <w:rPr>
                <w:rFonts w:eastAsia="Calibri"/>
              </w:rPr>
            </w:pPr>
            <w:r w:rsidRPr="00CF36F2">
              <w:rPr>
                <w:rFonts w:eastAsia="Calibri"/>
              </w:rPr>
              <w:t>0</w:t>
            </w:r>
          </w:p>
        </w:tc>
        <w:tc>
          <w:tcPr>
            <w:tcW w:w="628" w:type="pct"/>
            <w:tcBorders>
              <w:top w:val="nil"/>
              <w:bottom w:val="nil"/>
            </w:tcBorders>
          </w:tcPr>
          <w:p w14:paraId="26779D5C" w14:textId="77777777" w:rsidR="00F71A79" w:rsidRPr="00CF36F2" w:rsidRDefault="00F71A79" w:rsidP="00CF36F2">
            <w:pPr>
              <w:pStyle w:val="tabelNummers"/>
              <w:rPr>
                <w:rFonts w:eastAsia="Calibri"/>
              </w:rPr>
            </w:pPr>
            <w:r w:rsidRPr="00CF36F2">
              <w:rPr>
                <w:rFonts w:eastAsia="Calibri"/>
              </w:rPr>
              <w:t>0</w:t>
            </w:r>
          </w:p>
        </w:tc>
        <w:tc>
          <w:tcPr>
            <w:tcW w:w="723" w:type="pct"/>
            <w:tcBorders>
              <w:top w:val="nil"/>
              <w:bottom w:val="nil"/>
            </w:tcBorders>
          </w:tcPr>
          <w:p w14:paraId="55DCABCF" w14:textId="77777777" w:rsidR="00F71A79" w:rsidRPr="00CF36F2" w:rsidRDefault="00F71A79" w:rsidP="00CF36F2">
            <w:pPr>
              <w:pStyle w:val="tabelNummers"/>
              <w:rPr>
                <w:rFonts w:eastAsia="Calibri"/>
              </w:rPr>
            </w:pPr>
            <w:r w:rsidRPr="00CF36F2">
              <w:rPr>
                <w:rFonts w:eastAsia="Calibri"/>
              </w:rPr>
              <w:t>0</w:t>
            </w:r>
          </w:p>
        </w:tc>
        <w:tc>
          <w:tcPr>
            <w:tcW w:w="626" w:type="pct"/>
            <w:tcBorders>
              <w:top w:val="nil"/>
              <w:bottom w:val="nil"/>
            </w:tcBorders>
          </w:tcPr>
          <w:p w14:paraId="0DB818CB" w14:textId="77777777" w:rsidR="00F71A79" w:rsidRPr="00CF36F2" w:rsidRDefault="00F71A79" w:rsidP="00CF36F2">
            <w:pPr>
              <w:pStyle w:val="tabelNummers"/>
              <w:rPr>
                <w:rFonts w:eastAsia="Calibri"/>
              </w:rPr>
            </w:pPr>
            <w:r w:rsidRPr="00CF36F2">
              <w:rPr>
                <w:rFonts w:eastAsia="Calibri"/>
              </w:rPr>
              <w:t>0</w:t>
            </w:r>
          </w:p>
        </w:tc>
      </w:tr>
      <w:tr w:rsidR="00F71A79" w:rsidRPr="0066712F" w14:paraId="54C145E8" w14:textId="77777777" w:rsidTr="0030721E">
        <w:tc>
          <w:tcPr>
            <w:tcW w:w="1171" w:type="pct"/>
            <w:vMerge/>
          </w:tcPr>
          <w:p w14:paraId="75800FB0" w14:textId="77777777" w:rsidR="00F71A79" w:rsidRPr="0066712F" w:rsidRDefault="00F71A79" w:rsidP="00DE08B1">
            <w:pPr>
              <w:contextualSpacing/>
              <w:jc w:val="left"/>
              <w:rPr>
                <w:rFonts w:eastAsia="Calibri" w:cs="Times New Roman"/>
                <w:color w:val="auto"/>
                <w:sz w:val="20"/>
                <w:szCs w:val="20"/>
              </w:rPr>
            </w:pPr>
          </w:p>
        </w:tc>
        <w:tc>
          <w:tcPr>
            <w:tcW w:w="1110" w:type="pct"/>
            <w:tcBorders>
              <w:top w:val="nil"/>
              <w:bottom w:val="nil"/>
            </w:tcBorders>
          </w:tcPr>
          <w:p w14:paraId="4CE6DA2F" w14:textId="77777777" w:rsidR="00F71A79" w:rsidRPr="0066712F" w:rsidRDefault="00F71A79" w:rsidP="00DE08B1">
            <w:pPr>
              <w:contextualSpacing/>
              <w:jc w:val="left"/>
              <w:rPr>
                <w:rFonts w:eastAsia="Calibri" w:cs="Times New Roman"/>
                <w:color w:val="auto"/>
                <w:sz w:val="20"/>
                <w:szCs w:val="20"/>
              </w:rPr>
            </w:pPr>
            <w:r w:rsidRPr="0066712F">
              <w:rPr>
                <w:rFonts w:eastAsia="Calibri" w:cs="Times New Roman"/>
                <w:color w:val="auto"/>
                <w:sz w:val="20"/>
                <w:szCs w:val="20"/>
              </w:rPr>
              <w:t>Wegvervoer</w:t>
            </w:r>
          </w:p>
        </w:tc>
        <w:tc>
          <w:tcPr>
            <w:tcW w:w="742" w:type="pct"/>
            <w:tcBorders>
              <w:top w:val="nil"/>
              <w:bottom w:val="nil"/>
            </w:tcBorders>
          </w:tcPr>
          <w:p w14:paraId="4F4D11AB" w14:textId="77777777" w:rsidR="00F71A79" w:rsidRPr="00CF36F2" w:rsidRDefault="00F71A79" w:rsidP="00CF36F2">
            <w:pPr>
              <w:pStyle w:val="tabelNummers"/>
              <w:rPr>
                <w:rFonts w:eastAsia="Calibri"/>
              </w:rPr>
            </w:pPr>
            <w:r w:rsidRPr="00CF36F2">
              <w:rPr>
                <w:rFonts w:eastAsia="Calibri"/>
              </w:rPr>
              <w:t>0,9</w:t>
            </w:r>
          </w:p>
        </w:tc>
        <w:tc>
          <w:tcPr>
            <w:tcW w:w="628" w:type="pct"/>
            <w:tcBorders>
              <w:top w:val="nil"/>
              <w:bottom w:val="nil"/>
            </w:tcBorders>
          </w:tcPr>
          <w:p w14:paraId="5AABA9BB" w14:textId="77777777" w:rsidR="00F71A79" w:rsidRPr="00CF36F2" w:rsidRDefault="00F71A79" w:rsidP="00CF36F2">
            <w:pPr>
              <w:pStyle w:val="tabelNummers"/>
              <w:rPr>
                <w:rFonts w:eastAsia="Calibri"/>
              </w:rPr>
            </w:pPr>
            <w:r w:rsidRPr="00CF36F2">
              <w:rPr>
                <w:rFonts w:eastAsia="Calibri"/>
              </w:rPr>
              <w:t>1,3</w:t>
            </w:r>
          </w:p>
        </w:tc>
        <w:tc>
          <w:tcPr>
            <w:tcW w:w="723" w:type="pct"/>
            <w:tcBorders>
              <w:top w:val="nil"/>
              <w:bottom w:val="nil"/>
            </w:tcBorders>
          </w:tcPr>
          <w:p w14:paraId="069B5842" w14:textId="77777777" w:rsidR="00F71A79" w:rsidRPr="00CF36F2" w:rsidRDefault="00F71A79" w:rsidP="00CF36F2">
            <w:pPr>
              <w:pStyle w:val="tabelNummers"/>
              <w:rPr>
                <w:rFonts w:eastAsia="Calibri"/>
              </w:rPr>
            </w:pPr>
            <w:r w:rsidRPr="00CF36F2">
              <w:rPr>
                <w:rFonts w:eastAsia="Calibri"/>
              </w:rPr>
              <w:t>54</w:t>
            </w:r>
          </w:p>
        </w:tc>
        <w:tc>
          <w:tcPr>
            <w:tcW w:w="626" w:type="pct"/>
            <w:tcBorders>
              <w:top w:val="nil"/>
              <w:bottom w:val="nil"/>
            </w:tcBorders>
          </w:tcPr>
          <w:p w14:paraId="10958FFB" w14:textId="77777777" w:rsidR="00F71A79" w:rsidRPr="00CF36F2" w:rsidRDefault="00F71A79" w:rsidP="00CF36F2">
            <w:pPr>
              <w:pStyle w:val="tabelNummers"/>
              <w:rPr>
                <w:rFonts w:eastAsia="Calibri"/>
              </w:rPr>
            </w:pPr>
            <w:r w:rsidRPr="00CF36F2">
              <w:rPr>
                <w:rFonts w:eastAsia="Calibri"/>
              </w:rPr>
              <w:t>0,5</w:t>
            </w:r>
          </w:p>
        </w:tc>
      </w:tr>
      <w:tr w:rsidR="00F71A79" w:rsidRPr="0066712F" w14:paraId="230224F7" w14:textId="77777777" w:rsidTr="0030721E">
        <w:tc>
          <w:tcPr>
            <w:tcW w:w="1171" w:type="pct"/>
            <w:vMerge/>
          </w:tcPr>
          <w:p w14:paraId="15A3B831" w14:textId="77777777" w:rsidR="00F71A79" w:rsidRPr="0066712F" w:rsidRDefault="00F71A79" w:rsidP="00DE08B1">
            <w:pPr>
              <w:contextualSpacing/>
              <w:jc w:val="left"/>
              <w:rPr>
                <w:rFonts w:eastAsia="Calibri" w:cs="Times New Roman"/>
                <w:color w:val="auto"/>
                <w:sz w:val="20"/>
                <w:szCs w:val="20"/>
              </w:rPr>
            </w:pPr>
          </w:p>
        </w:tc>
        <w:tc>
          <w:tcPr>
            <w:tcW w:w="1110" w:type="pct"/>
            <w:tcBorders>
              <w:top w:val="nil"/>
            </w:tcBorders>
          </w:tcPr>
          <w:p w14:paraId="44DDDA49" w14:textId="77777777" w:rsidR="00F71A79" w:rsidRPr="0066712F" w:rsidRDefault="00F71A79" w:rsidP="00DE08B1">
            <w:pPr>
              <w:contextualSpacing/>
              <w:jc w:val="left"/>
              <w:rPr>
                <w:rFonts w:eastAsia="Calibri" w:cs="Times New Roman"/>
                <w:color w:val="auto"/>
                <w:sz w:val="20"/>
                <w:szCs w:val="20"/>
              </w:rPr>
            </w:pPr>
            <w:r w:rsidRPr="0066712F">
              <w:rPr>
                <w:rFonts w:eastAsia="Calibri" w:cs="Times New Roman"/>
                <w:color w:val="auto"/>
                <w:sz w:val="20"/>
                <w:szCs w:val="20"/>
              </w:rPr>
              <w:t>Totaal</w:t>
            </w:r>
          </w:p>
        </w:tc>
        <w:tc>
          <w:tcPr>
            <w:tcW w:w="742" w:type="pct"/>
            <w:tcBorders>
              <w:top w:val="nil"/>
            </w:tcBorders>
          </w:tcPr>
          <w:p w14:paraId="0E0BFBFD" w14:textId="77777777" w:rsidR="00F71A79" w:rsidRPr="00CF36F2" w:rsidRDefault="00F71A79" w:rsidP="00CF36F2">
            <w:pPr>
              <w:pStyle w:val="tabelNummers"/>
              <w:rPr>
                <w:rFonts w:eastAsia="Calibri"/>
              </w:rPr>
            </w:pPr>
            <w:r w:rsidRPr="00CF36F2">
              <w:rPr>
                <w:rFonts w:eastAsia="Calibri"/>
              </w:rPr>
              <w:t>70,6</w:t>
            </w:r>
          </w:p>
        </w:tc>
        <w:tc>
          <w:tcPr>
            <w:tcW w:w="628" w:type="pct"/>
            <w:tcBorders>
              <w:top w:val="nil"/>
            </w:tcBorders>
          </w:tcPr>
          <w:p w14:paraId="7CCEC7BD" w14:textId="77777777" w:rsidR="00F71A79" w:rsidRPr="00CF36F2" w:rsidRDefault="00F71A79" w:rsidP="00CF36F2">
            <w:pPr>
              <w:pStyle w:val="tabelNummers"/>
              <w:rPr>
                <w:rFonts w:eastAsia="Calibri"/>
              </w:rPr>
            </w:pPr>
            <w:r w:rsidRPr="00CF36F2">
              <w:rPr>
                <w:rFonts w:eastAsia="Calibri"/>
              </w:rPr>
              <w:t>100</w:t>
            </w:r>
          </w:p>
        </w:tc>
        <w:tc>
          <w:tcPr>
            <w:tcW w:w="723" w:type="pct"/>
            <w:tcBorders>
              <w:top w:val="nil"/>
            </w:tcBorders>
          </w:tcPr>
          <w:p w14:paraId="23D18BA8" w14:textId="77777777" w:rsidR="00F71A79" w:rsidRPr="00CF36F2" w:rsidRDefault="00F71A79" w:rsidP="00CF36F2">
            <w:pPr>
              <w:pStyle w:val="tabelNummers"/>
              <w:rPr>
                <w:rFonts w:eastAsia="Calibri"/>
              </w:rPr>
            </w:pPr>
            <w:r w:rsidRPr="00CF36F2">
              <w:rPr>
                <w:rFonts w:eastAsia="Calibri"/>
              </w:rPr>
              <w:t>10.370</w:t>
            </w:r>
          </w:p>
        </w:tc>
        <w:tc>
          <w:tcPr>
            <w:tcW w:w="626" w:type="pct"/>
            <w:tcBorders>
              <w:top w:val="nil"/>
            </w:tcBorders>
          </w:tcPr>
          <w:p w14:paraId="38E77862" w14:textId="77777777" w:rsidR="00F71A79" w:rsidRPr="00CF36F2" w:rsidRDefault="00F71A79" w:rsidP="00CF36F2">
            <w:pPr>
              <w:pStyle w:val="tabelNummers"/>
              <w:rPr>
                <w:rFonts w:eastAsia="Calibri"/>
              </w:rPr>
            </w:pPr>
            <w:r w:rsidRPr="00CF36F2">
              <w:rPr>
                <w:rFonts w:eastAsia="Calibri"/>
              </w:rPr>
              <w:t>100</w:t>
            </w:r>
          </w:p>
        </w:tc>
      </w:tr>
      <w:tr w:rsidR="00F71A79" w:rsidRPr="0066712F" w14:paraId="7ACF8A0F" w14:textId="77777777" w:rsidTr="0030721E">
        <w:tc>
          <w:tcPr>
            <w:tcW w:w="1171" w:type="pct"/>
          </w:tcPr>
          <w:p w14:paraId="2450D7A5" w14:textId="77777777" w:rsidR="00F71A79" w:rsidRPr="0066712F" w:rsidRDefault="00F71A79" w:rsidP="00DE08B1">
            <w:pPr>
              <w:contextualSpacing/>
              <w:jc w:val="left"/>
              <w:rPr>
                <w:rFonts w:eastAsia="Calibri" w:cs="Times New Roman"/>
                <w:color w:val="auto"/>
                <w:sz w:val="20"/>
                <w:szCs w:val="20"/>
              </w:rPr>
            </w:pPr>
            <w:r w:rsidRPr="0066712F">
              <w:rPr>
                <w:rFonts w:eastAsia="Calibri" w:cs="Times New Roman"/>
                <w:color w:val="auto"/>
                <w:sz w:val="20"/>
                <w:szCs w:val="20"/>
              </w:rPr>
              <w:t>Totaal</w:t>
            </w:r>
          </w:p>
        </w:tc>
        <w:tc>
          <w:tcPr>
            <w:tcW w:w="1110" w:type="pct"/>
          </w:tcPr>
          <w:p w14:paraId="4C6DAC75" w14:textId="77777777" w:rsidR="00F71A79" w:rsidRPr="0066712F" w:rsidRDefault="00F71A79" w:rsidP="00DE08B1">
            <w:pPr>
              <w:contextualSpacing/>
              <w:jc w:val="left"/>
              <w:rPr>
                <w:rFonts w:eastAsia="Calibri" w:cs="Times New Roman"/>
                <w:color w:val="auto"/>
                <w:sz w:val="20"/>
                <w:szCs w:val="20"/>
              </w:rPr>
            </w:pPr>
          </w:p>
        </w:tc>
        <w:tc>
          <w:tcPr>
            <w:tcW w:w="742" w:type="pct"/>
          </w:tcPr>
          <w:p w14:paraId="267DE457" w14:textId="77777777" w:rsidR="00F71A79" w:rsidRPr="00CF36F2" w:rsidRDefault="00F71A79" w:rsidP="00CF36F2">
            <w:pPr>
              <w:pStyle w:val="tabelNummers"/>
              <w:rPr>
                <w:rFonts w:eastAsia="Calibri"/>
              </w:rPr>
            </w:pPr>
            <w:r w:rsidRPr="00CF36F2">
              <w:rPr>
                <w:rFonts w:eastAsia="Calibri"/>
              </w:rPr>
              <w:t>171,5</w:t>
            </w:r>
          </w:p>
        </w:tc>
        <w:tc>
          <w:tcPr>
            <w:tcW w:w="628" w:type="pct"/>
          </w:tcPr>
          <w:p w14:paraId="46AD9D4B" w14:textId="77777777" w:rsidR="00F71A79" w:rsidRPr="00CF36F2" w:rsidRDefault="00F71A79" w:rsidP="00CF36F2">
            <w:pPr>
              <w:pStyle w:val="tabelNummers"/>
              <w:rPr>
                <w:rFonts w:eastAsia="Calibri"/>
              </w:rPr>
            </w:pPr>
          </w:p>
        </w:tc>
        <w:tc>
          <w:tcPr>
            <w:tcW w:w="723" w:type="pct"/>
          </w:tcPr>
          <w:p w14:paraId="0D782F39" w14:textId="77777777" w:rsidR="00F71A79" w:rsidRPr="00CF36F2" w:rsidRDefault="00F71A79" w:rsidP="00CF36F2">
            <w:pPr>
              <w:pStyle w:val="tabelNummers"/>
              <w:rPr>
                <w:rFonts w:eastAsia="Calibri"/>
              </w:rPr>
            </w:pPr>
            <w:r w:rsidRPr="00CF36F2">
              <w:rPr>
                <w:rFonts w:eastAsia="Calibri"/>
              </w:rPr>
              <w:t>15.836</w:t>
            </w:r>
          </w:p>
        </w:tc>
        <w:tc>
          <w:tcPr>
            <w:tcW w:w="626" w:type="pct"/>
          </w:tcPr>
          <w:p w14:paraId="56B8638A" w14:textId="77777777" w:rsidR="00F71A79" w:rsidRPr="00CF36F2" w:rsidRDefault="00F71A79" w:rsidP="00CF36F2">
            <w:pPr>
              <w:pStyle w:val="tabelNummers"/>
              <w:rPr>
                <w:rFonts w:eastAsia="Calibri"/>
              </w:rPr>
            </w:pPr>
          </w:p>
        </w:tc>
      </w:tr>
    </w:tbl>
    <w:p w14:paraId="06F054FE" w14:textId="77777777" w:rsidR="00F71A79" w:rsidRDefault="00F71A79" w:rsidP="00DE08B1">
      <w:pPr>
        <w:contextualSpacing/>
        <w:jc w:val="left"/>
        <w:rPr>
          <w:rFonts w:eastAsia="Calibri" w:cs="Times New Roman"/>
          <w:color w:val="auto"/>
          <w:szCs w:val="24"/>
        </w:rPr>
      </w:pPr>
    </w:p>
    <w:p w14:paraId="4CF94B58" w14:textId="16357FAF" w:rsidR="00F71A79" w:rsidRDefault="00F71A79" w:rsidP="00A93A4C">
      <w:pPr>
        <w:tabs>
          <w:tab w:val="left" w:pos="1701"/>
        </w:tabs>
        <w:contextualSpacing/>
        <w:jc w:val="left"/>
        <w:rPr>
          <w:rFonts w:eastAsia="Calibri" w:cs="Times New Roman"/>
          <w:color w:val="auto"/>
          <w:szCs w:val="24"/>
        </w:rPr>
      </w:pPr>
      <w:r w:rsidRPr="005468C9">
        <w:rPr>
          <w:rFonts w:eastAsia="Calibri" w:cs="Times New Roman"/>
          <w:i/>
          <w:iCs/>
          <w:color w:val="auto"/>
          <w:szCs w:val="24"/>
        </w:rPr>
        <w:t>Tabel 2</w:t>
      </w:r>
      <w:r w:rsidR="0019518B">
        <w:rPr>
          <w:rFonts w:eastAsia="Calibri" w:cs="Times New Roman"/>
          <w:i/>
          <w:iCs/>
          <w:color w:val="auto"/>
          <w:szCs w:val="24"/>
        </w:rPr>
        <w:t xml:space="preserve">: </w:t>
      </w:r>
      <w:r w:rsidRPr="0066712F">
        <w:rPr>
          <w:rFonts w:eastAsia="Calibri" w:cs="Times New Roman"/>
          <w:i/>
          <w:color w:val="auto"/>
          <w:szCs w:val="24"/>
        </w:rPr>
        <w:t>Goederenvervoer in Nederland in 1938</w:t>
      </w:r>
      <w:r w:rsidR="00356DE7">
        <w:rPr>
          <w:rFonts w:eastAsia="Calibri" w:cs="Times New Roman"/>
          <w:i/>
          <w:color w:val="auto"/>
          <w:szCs w:val="24"/>
        </w:rPr>
        <w:t>.</w:t>
      </w:r>
      <w:r w:rsidRPr="00AD1FE5">
        <w:rPr>
          <w:rStyle w:val="EndnoteReference"/>
          <w:rFonts w:eastAsia="Calibri" w:cs="Times New Roman"/>
          <w:color w:val="auto"/>
          <w:szCs w:val="24"/>
        </w:rPr>
        <w:endnoteReference w:id="23"/>
      </w:r>
      <w:r w:rsidRPr="0098115B">
        <w:rPr>
          <w:rFonts w:eastAsia="Calibri" w:cs="Times New Roman"/>
          <w:color w:val="auto"/>
          <w:szCs w:val="24"/>
        </w:rPr>
        <w:t xml:space="preserve"> </w:t>
      </w:r>
      <w:r w:rsidRPr="0066712F">
        <w:rPr>
          <w:rFonts w:eastAsia="Calibri" w:cs="Times New Roman"/>
          <w:color w:val="auto"/>
          <w:szCs w:val="24"/>
        </w:rPr>
        <w:t xml:space="preserve">     </w:t>
      </w:r>
    </w:p>
    <w:p w14:paraId="3964063A" w14:textId="77777777" w:rsidR="00F71A79" w:rsidRDefault="00F71A79" w:rsidP="00DE08B1">
      <w:pPr>
        <w:contextualSpacing/>
        <w:jc w:val="left"/>
        <w:rPr>
          <w:rFonts w:eastAsia="Calibri" w:cs="Times New Roman"/>
          <w:color w:val="auto"/>
          <w:szCs w:val="24"/>
        </w:rPr>
      </w:pPr>
    </w:p>
    <w:p w14:paraId="322C4935" w14:textId="331F73C7" w:rsidR="00031238" w:rsidRPr="00585CE5" w:rsidRDefault="00CF03A2" w:rsidP="00DE08B1">
      <w:pPr>
        <w:contextualSpacing/>
        <w:jc w:val="left"/>
        <w:rPr>
          <w:rFonts w:eastAsia="Calibri" w:cs="Times New Roman"/>
          <w:color w:val="auto"/>
          <w:szCs w:val="24"/>
        </w:rPr>
      </w:pPr>
      <w:r>
        <w:rPr>
          <w:rFonts w:eastAsia="Calibri" w:cs="Times New Roman"/>
          <w:color w:val="auto"/>
          <w:szCs w:val="24"/>
        </w:rPr>
        <w:t xml:space="preserve">In 1938 verzorgde de wilde vaart, gemeten in tonkilometers, </w:t>
      </w:r>
      <w:r w:rsidR="00804898">
        <w:rPr>
          <w:rFonts w:eastAsia="Calibri" w:cs="Times New Roman"/>
          <w:color w:val="auto"/>
          <w:szCs w:val="24"/>
        </w:rPr>
        <w:t>58</w:t>
      </w:r>
      <w:r>
        <w:rPr>
          <w:rFonts w:eastAsia="Calibri" w:cs="Times New Roman"/>
          <w:color w:val="auto"/>
          <w:szCs w:val="24"/>
        </w:rPr>
        <w:t xml:space="preserve"> procent van het binnenlandse scheepvaartvervoer (tabel 3). </w:t>
      </w:r>
      <w:r w:rsidR="003022F6">
        <w:rPr>
          <w:rFonts w:eastAsia="Calibri" w:cs="Times New Roman"/>
          <w:color w:val="auto"/>
          <w:szCs w:val="24"/>
        </w:rPr>
        <w:t xml:space="preserve">Het ging hierbij vooral om steenkolen (2,8 miljoen ton), granen (1,2 miljoen ton), bakstenen en andere steenproducten (1,1 miljoen ton), aarde, zand en grind (1,0 miljoen ton) en meststoffen (0,7 miljoen ton). </w:t>
      </w:r>
      <w:r>
        <w:rPr>
          <w:rFonts w:eastAsia="Calibri" w:cs="Times New Roman"/>
          <w:color w:val="auto"/>
          <w:szCs w:val="24"/>
        </w:rPr>
        <w:t>Daarna volgden het eigen vervoer (</w:t>
      </w:r>
      <w:r w:rsidR="00804898">
        <w:rPr>
          <w:rFonts w:eastAsia="Calibri" w:cs="Times New Roman"/>
          <w:color w:val="auto"/>
          <w:szCs w:val="24"/>
        </w:rPr>
        <w:t>23%), de beurtvaart (13%), de vaste relatievaart (3,4%) en de campagnevaart (1,6%). Het eigen vervoer omvatte vooral het transport dat aannemers, zand- en grindhandelaren</w:t>
      </w:r>
      <w:r w:rsidR="00E601AE">
        <w:rPr>
          <w:rFonts w:eastAsia="Calibri" w:cs="Times New Roman"/>
          <w:color w:val="auto"/>
          <w:szCs w:val="24"/>
        </w:rPr>
        <w:t xml:space="preserve"> en </w:t>
      </w:r>
      <w:r w:rsidR="00804898">
        <w:rPr>
          <w:rFonts w:eastAsia="Calibri" w:cs="Times New Roman"/>
          <w:color w:val="auto"/>
          <w:szCs w:val="24"/>
        </w:rPr>
        <w:t xml:space="preserve">industriële </w:t>
      </w:r>
      <w:r w:rsidR="00804898">
        <w:rPr>
          <w:rFonts w:eastAsia="Calibri" w:cs="Times New Roman"/>
          <w:color w:val="auto"/>
          <w:szCs w:val="24"/>
        </w:rPr>
        <w:lastRenderedPageBreak/>
        <w:t xml:space="preserve">ondernemingen </w:t>
      </w:r>
      <w:r w:rsidR="003022F6" w:rsidRPr="00585CE5">
        <w:rPr>
          <w:rFonts w:eastAsia="Calibri" w:cs="Times New Roman"/>
          <w:color w:val="auto"/>
          <w:szCs w:val="24"/>
        </w:rPr>
        <w:t xml:space="preserve">met eigen schepen verrichtten. Het ging hierbij meestal om zand, grind, klei, bouwmaterialen, steenkolen, turf, mest en grondstoffen vanuit zeeschepen naar de verwerkende industrie. Alle grote beurtvaartondernemingen beschikten in 1938 naast vaartuigen ook over vrachtauto’s, die haal- en brengdiensten verzorgden en geleidelijk </w:t>
      </w:r>
      <w:r w:rsidR="00162402" w:rsidRPr="00585CE5">
        <w:rPr>
          <w:rFonts w:eastAsia="Calibri" w:cs="Times New Roman"/>
          <w:color w:val="auto"/>
          <w:szCs w:val="24"/>
        </w:rPr>
        <w:t>ook</w:t>
      </w:r>
      <w:r w:rsidR="000C1BC7" w:rsidRPr="00585CE5">
        <w:rPr>
          <w:rFonts w:eastAsia="Calibri" w:cs="Times New Roman"/>
          <w:color w:val="auto"/>
          <w:szCs w:val="24"/>
        </w:rPr>
        <w:t xml:space="preserve"> </w:t>
      </w:r>
      <w:r w:rsidR="003022F6" w:rsidRPr="00585CE5">
        <w:rPr>
          <w:rFonts w:eastAsia="Calibri" w:cs="Times New Roman"/>
          <w:color w:val="auto"/>
          <w:szCs w:val="24"/>
        </w:rPr>
        <w:t>voor deur-tot-deur</w:t>
      </w:r>
      <w:r w:rsidR="003022F6" w:rsidRPr="00585CE5">
        <w:rPr>
          <w:rFonts w:eastAsia="Calibri" w:cs="Times New Roman"/>
          <w:color w:val="auto"/>
          <w:szCs w:val="24"/>
        </w:rPr>
        <w:softHyphen/>
        <w:t>transport over grotere afstanden werden gebruikt.</w:t>
      </w:r>
      <w:r w:rsidR="003022F6" w:rsidRPr="00585CE5">
        <w:rPr>
          <w:rStyle w:val="EndnoteReference"/>
          <w:rFonts w:eastAsia="Calibri" w:cs="Times New Roman"/>
          <w:color w:val="auto"/>
          <w:szCs w:val="24"/>
        </w:rPr>
        <w:endnoteReference w:id="24"/>
      </w:r>
    </w:p>
    <w:p w14:paraId="51DAA75B" w14:textId="7ED9D07E" w:rsidR="001F46FB" w:rsidRPr="00705512" w:rsidRDefault="001F46FB" w:rsidP="00370509">
      <w:pPr>
        <w:jc w:val="left"/>
        <w:rPr>
          <w:color w:val="ED7D31" w:themeColor="accent2"/>
        </w:rPr>
      </w:pPr>
      <w:r w:rsidRPr="00C77244">
        <w:rPr>
          <w:rFonts w:ascii="Calibri" w:eastAsia="Times New Roman" w:hAnsi="Calibri" w:cs="Calibri"/>
          <w:color w:val="FF0000"/>
          <w:szCs w:val="24"/>
          <w:shd w:val="clear" w:color="auto" w:fill="FFFFFF"/>
          <w:lang w:eastAsia="nl-NL"/>
        </w:rPr>
        <w:t>@i@</w:t>
      </w:r>
      <w:r w:rsidRPr="00C77244">
        <w:rPr>
          <w:rFonts w:eastAsia="Times New Roman" w:cs="Times New Roman"/>
          <w:color w:val="FF0000"/>
          <w:szCs w:val="24"/>
          <w:lang w:eastAsia="nl-NL"/>
        </w:rPr>
        <w:t>[[[</w:t>
      </w:r>
      <w:r w:rsidR="007250EC">
        <w:rPr>
          <w:rFonts w:eastAsia="Times New Roman" w:cs="Times New Roman"/>
          <w:color w:val="FF0000"/>
          <w:szCs w:val="24"/>
          <w:lang w:eastAsia="nl-NL"/>
        </w:rPr>
        <w:t>15</w:t>
      </w:r>
      <w:r>
        <w:rPr>
          <w:bCs/>
          <w:color w:val="FF0000"/>
        </w:rPr>
        <w:t>-</w:t>
      </w:r>
      <w:r w:rsidRPr="00461254">
        <w:rPr>
          <w:bCs/>
          <w:color w:val="FF0000"/>
        </w:rPr>
        <w:t>04_Stukgoederenoverslag</w:t>
      </w:r>
      <w:r>
        <w:rPr>
          <w:bCs/>
          <w:color w:val="FF0000"/>
        </w:rPr>
        <w:t>_</w:t>
      </w:r>
      <w:r w:rsidRPr="00461254">
        <w:rPr>
          <w:bCs/>
          <w:color w:val="FF0000"/>
        </w:rPr>
        <w:t>Arnhem.jpg</w:t>
      </w:r>
      <w:r w:rsidRPr="00C77244">
        <w:rPr>
          <w:rFonts w:cstheme="minorHAnsi"/>
          <w:color w:val="FF0000"/>
        </w:rPr>
        <w:t>]]]</w:t>
      </w:r>
      <w:r w:rsidRPr="00C77244">
        <w:rPr>
          <w:rFonts w:ascii="Calibri" w:eastAsia="Times New Roman" w:hAnsi="Calibri" w:cs="Calibri"/>
          <w:color w:val="FF0000"/>
          <w:szCs w:val="24"/>
          <w:shd w:val="clear" w:color="auto" w:fill="FFFFFF"/>
          <w:lang w:eastAsia="nl-NL"/>
        </w:rPr>
        <w:t xml:space="preserve">@/i@​  </w:t>
      </w:r>
    </w:p>
    <w:p w14:paraId="77207D57" w14:textId="1F879033" w:rsidR="0066712F" w:rsidRPr="00585CE5" w:rsidRDefault="00232BE0" w:rsidP="00DE08B1">
      <w:pPr>
        <w:ind w:firstLine="708"/>
        <w:jc w:val="left"/>
      </w:pPr>
      <w:r w:rsidRPr="00585CE5">
        <w:t xml:space="preserve">De Tweede Wereldoorlog leidde </w:t>
      </w:r>
      <w:r w:rsidR="00565D4A" w:rsidRPr="00585CE5">
        <w:t xml:space="preserve">in </w:t>
      </w:r>
      <w:r w:rsidRPr="00585CE5">
        <w:t xml:space="preserve">de binnenvaart niet tot structurele veranderingen in het vervoerspatroon. Voor een nadere analyse van de ontwikkeling van de bedrijfstak in de oorlogsjaren wordt </w:t>
      </w:r>
      <w:r w:rsidR="00B5205A" w:rsidRPr="00585CE5">
        <w:t>v</w:t>
      </w:r>
      <w:r w:rsidRPr="00585CE5">
        <w:t>erwezen naar elders.</w:t>
      </w:r>
      <w:r w:rsidRPr="00585CE5">
        <w:rPr>
          <w:rStyle w:val="EndnoteReference"/>
        </w:rPr>
        <w:endnoteReference w:id="25"/>
      </w:r>
    </w:p>
    <w:p w14:paraId="04637386" w14:textId="642910F1" w:rsidR="00975533" w:rsidRPr="00585CE5" w:rsidRDefault="00975533" w:rsidP="00DE08B1">
      <w:pPr>
        <w:jc w:val="left"/>
      </w:pPr>
    </w:p>
    <w:p w14:paraId="67114D9A" w14:textId="77777777" w:rsidR="008D2A11" w:rsidRPr="00585CE5" w:rsidRDefault="008D2A11" w:rsidP="00DE08B1">
      <w:pPr>
        <w:jc w:val="left"/>
        <w:rPr>
          <w:rFonts w:eastAsia="Calibri" w:cs="Times New Roman"/>
          <w:color w:val="auto"/>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7"/>
        <w:gridCol w:w="2159"/>
        <w:gridCol w:w="2328"/>
        <w:gridCol w:w="2188"/>
      </w:tblGrid>
      <w:tr w:rsidR="008D2A11" w:rsidRPr="00585CE5" w14:paraId="19CB855D" w14:textId="77777777" w:rsidTr="0030721E">
        <w:trPr>
          <w:trHeight w:hRule="exact" w:val="851"/>
        </w:trPr>
        <w:tc>
          <w:tcPr>
            <w:tcW w:w="2454" w:type="dxa"/>
            <w:tcBorders>
              <w:bottom w:val="single" w:sz="4" w:space="0" w:color="000000"/>
            </w:tcBorders>
          </w:tcPr>
          <w:p w14:paraId="1DDB038F" w14:textId="77777777" w:rsidR="008D2A11" w:rsidRPr="00585CE5" w:rsidRDefault="008D2A11" w:rsidP="00DE08B1">
            <w:pPr>
              <w:jc w:val="left"/>
              <w:rPr>
                <w:rFonts w:eastAsia="Calibri" w:cs="Times New Roman"/>
                <w:b/>
                <w:color w:val="auto"/>
                <w:sz w:val="20"/>
                <w:szCs w:val="20"/>
              </w:rPr>
            </w:pPr>
            <w:r w:rsidRPr="00585CE5">
              <w:rPr>
                <w:rFonts w:eastAsia="Calibri" w:cs="Times New Roman"/>
                <w:b/>
                <w:color w:val="auto"/>
                <w:sz w:val="20"/>
                <w:szCs w:val="20"/>
              </w:rPr>
              <w:t>Aard vervoer</w:t>
            </w:r>
          </w:p>
        </w:tc>
        <w:tc>
          <w:tcPr>
            <w:tcW w:w="2190" w:type="dxa"/>
            <w:tcBorders>
              <w:bottom w:val="single" w:sz="4" w:space="0" w:color="000000"/>
            </w:tcBorders>
          </w:tcPr>
          <w:p w14:paraId="76244D07" w14:textId="77777777" w:rsidR="008D2A11" w:rsidRPr="00585CE5" w:rsidRDefault="008D2A11" w:rsidP="00CF36F2">
            <w:pPr>
              <w:pStyle w:val="tabelKop"/>
            </w:pPr>
            <w:r w:rsidRPr="00585CE5">
              <w:t xml:space="preserve">Vervoersprestatie                    (miljoen </w:t>
            </w:r>
            <w:proofErr w:type="spellStart"/>
            <w:r w:rsidRPr="00585CE5">
              <w:t>tonkm</w:t>
            </w:r>
            <w:proofErr w:type="spellEnd"/>
            <w:r w:rsidRPr="00585CE5">
              <w:t>)</w:t>
            </w:r>
          </w:p>
        </w:tc>
        <w:tc>
          <w:tcPr>
            <w:tcW w:w="2410" w:type="dxa"/>
            <w:tcBorders>
              <w:bottom w:val="single" w:sz="4" w:space="0" w:color="000000"/>
            </w:tcBorders>
          </w:tcPr>
          <w:p w14:paraId="69ABFBB4" w14:textId="77777777" w:rsidR="008D2A11" w:rsidRPr="00585CE5" w:rsidRDefault="008D2A11" w:rsidP="00CF36F2">
            <w:pPr>
              <w:pStyle w:val="tabelKop"/>
            </w:pPr>
            <w:r w:rsidRPr="00585CE5">
              <w:t>Vervoerde hoeveelheid goederen                       (miljoen ton)</w:t>
            </w:r>
          </w:p>
        </w:tc>
        <w:tc>
          <w:tcPr>
            <w:tcW w:w="2232" w:type="dxa"/>
            <w:tcBorders>
              <w:bottom w:val="single" w:sz="4" w:space="0" w:color="000000"/>
            </w:tcBorders>
          </w:tcPr>
          <w:p w14:paraId="05E41378" w14:textId="77777777" w:rsidR="008D2A11" w:rsidRPr="00585CE5" w:rsidRDefault="008D2A11" w:rsidP="00CF36F2">
            <w:pPr>
              <w:pStyle w:val="tabelKop"/>
            </w:pPr>
            <w:r w:rsidRPr="00585CE5">
              <w:t>Gemiddelde              vervoersafstand         (km)</w:t>
            </w:r>
          </w:p>
        </w:tc>
      </w:tr>
      <w:tr w:rsidR="008D2A11" w:rsidRPr="00585CE5" w14:paraId="4232D388" w14:textId="77777777" w:rsidTr="0030721E">
        <w:tc>
          <w:tcPr>
            <w:tcW w:w="2454" w:type="dxa"/>
            <w:tcBorders>
              <w:bottom w:val="nil"/>
            </w:tcBorders>
          </w:tcPr>
          <w:p w14:paraId="2FC7FF0D" w14:textId="77777777" w:rsidR="008D2A11" w:rsidRPr="00585CE5" w:rsidRDefault="008D2A11" w:rsidP="00DE08B1">
            <w:pPr>
              <w:jc w:val="left"/>
              <w:rPr>
                <w:rFonts w:eastAsia="Calibri" w:cs="Times New Roman"/>
                <w:color w:val="auto"/>
                <w:sz w:val="20"/>
                <w:szCs w:val="20"/>
              </w:rPr>
            </w:pPr>
            <w:r w:rsidRPr="00585CE5">
              <w:rPr>
                <w:rFonts w:eastAsia="Calibri" w:cs="Times New Roman"/>
                <w:color w:val="auto"/>
                <w:sz w:val="20"/>
                <w:szCs w:val="20"/>
              </w:rPr>
              <w:t>Wilde vaart</w:t>
            </w:r>
          </w:p>
        </w:tc>
        <w:tc>
          <w:tcPr>
            <w:tcW w:w="2190" w:type="dxa"/>
            <w:tcBorders>
              <w:bottom w:val="nil"/>
            </w:tcBorders>
          </w:tcPr>
          <w:p w14:paraId="26906D64" w14:textId="5BD2BC16" w:rsidR="008D2A11" w:rsidRPr="00585CE5" w:rsidRDefault="008D2A11" w:rsidP="00CF36F2">
            <w:pPr>
              <w:pStyle w:val="tabelNummers"/>
              <w:rPr>
                <w:rFonts w:eastAsia="Calibri"/>
              </w:rPr>
            </w:pPr>
            <w:r w:rsidRPr="00585CE5">
              <w:rPr>
                <w:rFonts w:eastAsia="Calibri"/>
              </w:rPr>
              <w:t>1</w:t>
            </w:r>
            <w:r w:rsidR="00DB76A8" w:rsidRPr="00585CE5">
              <w:rPr>
                <w:rFonts w:eastAsia="Calibri"/>
              </w:rPr>
              <w:t>.</w:t>
            </w:r>
            <w:r w:rsidRPr="00585CE5">
              <w:rPr>
                <w:rFonts w:eastAsia="Calibri"/>
              </w:rPr>
              <w:t>519</w:t>
            </w:r>
          </w:p>
        </w:tc>
        <w:tc>
          <w:tcPr>
            <w:tcW w:w="2410" w:type="dxa"/>
            <w:tcBorders>
              <w:bottom w:val="nil"/>
            </w:tcBorders>
          </w:tcPr>
          <w:p w14:paraId="0DC15CBD" w14:textId="77777777" w:rsidR="008D2A11" w:rsidRPr="00585CE5" w:rsidRDefault="008D2A11" w:rsidP="00CF36F2">
            <w:pPr>
              <w:pStyle w:val="tabelNummers"/>
              <w:rPr>
                <w:rFonts w:eastAsia="Calibri"/>
              </w:rPr>
            </w:pPr>
            <w:r w:rsidRPr="00585CE5">
              <w:rPr>
                <w:rFonts w:eastAsia="Calibri"/>
              </w:rPr>
              <w:t>11,0</w:t>
            </w:r>
          </w:p>
        </w:tc>
        <w:tc>
          <w:tcPr>
            <w:tcW w:w="2232" w:type="dxa"/>
            <w:tcBorders>
              <w:bottom w:val="nil"/>
            </w:tcBorders>
          </w:tcPr>
          <w:p w14:paraId="4E0F761B" w14:textId="77777777" w:rsidR="008D2A11" w:rsidRPr="00585CE5" w:rsidRDefault="008D2A11" w:rsidP="00CF36F2">
            <w:pPr>
              <w:pStyle w:val="tabelNummers"/>
              <w:rPr>
                <w:rFonts w:eastAsia="Calibri"/>
              </w:rPr>
            </w:pPr>
            <w:r w:rsidRPr="00585CE5">
              <w:rPr>
                <w:rFonts w:eastAsia="Calibri"/>
              </w:rPr>
              <w:t>138</w:t>
            </w:r>
          </w:p>
        </w:tc>
      </w:tr>
      <w:tr w:rsidR="008D2A11" w:rsidRPr="00585CE5" w14:paraId="038C65DB" w14:textId="77777777" w:rsidTr="0030721E">
        <w:tc>
          <w:tcPr>
            <w:tcW w:w="2454" w:type="dxa"/>
            <w:tcBorders>
              <w:top w:val="nil"/>
              <w:bottom w:val="nil"/>
            </w:tcBorders>
          </w:tcPr>
          <w:p w14:paraId="32E9ED90" w14:textId="77777777" w:rsidR="008D2A11" w:rsidRPr="00585CE5" w:rsidRDefault="008D2A11" w:rsidP="00DE08B1">
            <w:pPr>
              <w:jc w:val="left"/>
              <w:rPr>
                <w:rFonts w:eastAsia="Calibri" w:cs="Times New Roman"/>
                <w:color w:val="auto"/>
                <w:sz w:val="20"/>
                <w:szCs w:val="20"/>
              </w:rPr>
            </w:pPr>
            <w:r w:rsidRPr="00585CE5">
              <w:rPr>
                <w:rFonts w:eastAsia="Calibri" w:cs="Times New Roman"/>
                <w:color w:val="auto"/>
                <w:sz w:val="20"/>
                <w:szCs w:val="20"/>
              </w:rPr>
              <w:t>Eigen vervoer</w:t>
            </w:r>
          </w:p>
        </w:tc>
        <w:tc>
          <w:tcPr>
            <w:tcW w:w="2190" w:type="dxa"/>
            <w:tcBorders>
              <w:top w:val="nil"/>
              <w:bottom w:val="nil"/>
            </w:tcBorders>
          </w:tcPr>
          <w:p w14:paraId="534B6908" w14:textId="77777777" w:rsidR="008D2A11" w:rsidRPr="00585CE5" w:rsidRDefault="008D2A11" w:rsidP="00CF36F2">
            <w:pPr>
              <w:pStyle w:val="tabelNummers"/>
              <w:rPr>
                <w:rFonts w:eastAsia="Calibri"/>
              </w:rPr>
            </w:pPr>
            <w:r w:rsidRPr="00585CE5">
              <w:rPr>
                <w:rFonts w:eastAsia="Calibri"/>
              </w:rPr>
              <w:t>600</w:t>
            </w:r>
          </w:p>
        </w:tc>
        <w:tc>
          <w:tcPr>
            <w:tcW w:w="2410" w:type="dxa"/>
            <w:tcBorders>
              <w:top w:val="nil"/>
              <w:bottom w:val="nil"/>
            </w:tcBorders>
          </w:tcPr>
          <w:p w14:paraId="0F0928D5" w14:textId="77777777" w:rsidR="008D2A11" w:rsidRPr="00585CE5" w:rsidRDefault="008D2A11" w:rsidP="00CF36F2">
            <w:pPr>
              <w:pStyle w:val="tabelNummers"/>
              <w:rPr>
                <w:rFonts w:eastAsia="Calibri"/>
              </w:rPr>
            </w:pPr>
            <w:r w:rsidRPr="00585CE5">
              <w:rPr>
                <w:rFonts w:eastAsia="Calibri"/>
              </w:rPr>
              <w:t>8,5</w:t>
            </w:r>
          </w:p>
        </w:tc>
        <w:tc>
          <w:tcPr>
            <w:tcW w:w="2232" w:type="dxa"/>
            <w:tcBorders>
              <w:top w:val="nil"/>
              <w:bottom w:val="nil"/>
            </w:tcBorders>
          </w:tcPr>
          <w:p w14:paraId="6D702D72" w14:textId="77777777" w:rsidR="008D2A11" w:rsidRPr="00585CE5" w:rsidRDefault="008D2A11" w:rsidP="00CF36F2">
            <w:pPr>
              <w:pStyle w:val="tabelNummers"/>
              <w:rPr>
                <w:rFonts w:eastAsia="Calibri"/>
              </w:rPr>
            </w:pPr>
            <w:r w:rsidRPr="00585CE5">
              <w:rPr>
                <w:rFonts w:eastAsia="Calibri"/>
              </w:rPr>
              <w:t>71</w:t>
            </w:r>
          </w:p>
        </w:tc>
      </w:tr>
      <w:tr w:rsidR="008D2A11" w:rsidRPr="00585CE5" w14:paraId="0B837FF7" w14:textId="77777777" w:rsidTr="0030721E">
        <w:tc>
          <w:tcPr>
            <w:tcW w:w="2454" w:type="dxa"/>
            <w:tcBorders>
              <w:top w:val="nil"/>
              <w:bottom w:val="nil"/>
            </w:tcBorders>
          </w:tcPr>
          <w:p w14:paraId="3C2C245A" w14:textId="77777777" w:rsidR="008D2A11" w:rsidRPr="00585CE5" w:rsidRDefault="008D2A11" w:rsidP="00DE08B1">
            <w:pPr>
              <w:jc w:val="left"/>
              <w:rPr>
                <w:rFonts w:eastAsia="Calibri" w:cs="Times New Roman"/>
                <w:color w:val="auto"/>
                <w:sz w:val="20"/>
                <w:szCs w:val="20"/>
              </w:rPr>
            </w:pPr>
            <w:r w:rsidRPr="00585CE5">
              <w:rPr>
                <w:rFonts w:eastAsia="Calibri" w:cs="Times New Roman"/>
                <w:color w:val="auto"/>
                <w:sz w:val="20"/>
                <w:szCs w:val="20"/>
              </w:rPr>
              <w:t>Beurtvaart</w:t>
            </w:r>
          </w:p>
        </w:tc>
        <w:tc>
          <w:tcPr>
            <w:tcW w:w="2190" w:type="dxa"/>
            <w:tcBorders>
              <w:top w:val="nil"/>
              <w:bottom w:val="nil"/>
            </w:tcBorders>
          </w:tcPr>
          <w:p w14:paraId="047B6777" w14:textId="77777777" w:rsidR="008D2A11" w:rsidRPr="00585CE5" w:rsidRDefault="008D2A11" w:rsidP="00CF36F2">
            <w:pPr>
              <w:pStyle w:val="tabelNummers"/>
              <w:rPr>
                <w:rFonts w:eastAsia="Calibri"/>
              </w:rPr>
            </w:pPr>
            <w:r w:rsidRPr="00585CE5">
              <w:rPr>
                <w:rFonts w:eastAsia="Calibri"/>
              </w:rPr>
              <w:t>360</w:t>
            </w:r>
          </w:p>
        </w:tc>
        <w:tc>
          <w:tcPr>
            <w:tcW w:w="2410" w:type="dxa"/>
            <w:tcBorders>
              <w:top w:val="nil"/>
              <w:bottom w:val="nil"/>
            </w:tcBorders>
          </w:tcPr>
          <w:p w14:paraId="0D3D00BF" w14:textId="77777777" w:rsidR="008D2A11" w:rsidRPr="00585CE5" w:rsidRDefault="008D2A11" w:rsidP="00CF36F2">
            <w:pPr>
              <w:pStyle w:val="tabelNummers"/>
              <w:rPr>
                <w:rFonts w:eastAsia="Calibri"/>
              </w:rPr>
            </w:pPr>
            <w:r w:rsidRPr="00585CE5">
              <w:rPr>
                <w:rFonts w:eastAsia="Calibri"/>
              </w:rPr>
              <w:t>4,8</w:t>
            </w:r>
          </w:p>
        </w:tc>
        <w:tc>
          <w:tcPr>
            <w:tcW w:w="2232" w:type="dxa"/>
            <w:tcBorders>
              <w:top w:val="nil"/>
              <w:bottom w:val="nil"/>
            </w:tcBorders>
          </w:tcPr>
          <w:p w14:paraId="785261EC" w14:textId="77777777" w:rsidR="008D2A11" w:rsidRPr="00585CE5" w:rsidRDefault="008D2A11" w:rsidP="00CF36F2">
            <w:pPr>
              <w:pStyle w:val="tabelNummers"/>
              <w:rPr>
                <w:rFonts w:eastAsia="Calibri"/>
              </w:rPr>
            </w:pPr>
            <w:r w:rsidRPr="00585CE5">
              <w:rPr>
                <w:rFonts w:eastAsia="Calibri"/>
              </w:rPr>
              <w:t>75</w:t>
            </w:r>
          </w:p>
        </w:tc>
      </w:tr>
      <w:tr w:rsidR="008D2A11" w:rsidRPr="00585CE5" w14:paraId="21ED663F" w14:textId="77777777" w:rsidTr="0030721E">
        <w:tc>
          <w:tcPr>
            <w:tcW w:w="2454" w:type="dxa"/>
            <w:tcBorders>
              <w:top w:val="nil"/>
              <w:bottom w:val="nil"/>
            </w:tcBorders>
          </w:tcPr>
          <w:p w14:paraId="4ED0E97E" w14:textId="77777777" w:rsidR="008D2A11" w:rsidRPr="00585CE5" w:rsidRDefault="008D2A11" w:rsidP="00DE08B1">
            <w:pPr>
              <w:jc w:val="left"/>
              <w:rPr>
                <w:rFonts w:eastAsia="Calibri" w:cs="Times New Roman"/>
                <w:color w:val="auto"/>
                <w:sz w:val="20"/>
                <w:szCs w:val="20"/>
              </w:rPr>
            </w:pPr>
            <w:r w:rsidRPr="00585CE5">
              <w:rPr>
                <w:rFonts w:eastAsia="Calibri" w:cs="Times New Roman"/>
                <w:color w:val="auto"/>
                <w:sz w:val="20"/>
                <w:szCs w:val="20"/>
              </w:rPr>
              <w:t>Vaste relatievaart</w:t>
            </w:r>
          </w:p>
        </w:tc>
        <w:tc>
          <w:tcPr>
            <w:tcW w:w="2190" w:type="dxa"/>
            <w:tcBorders>
              <w:top w:val="nil"/>
              <w:bottom w:val="nil"/>
            </w:tcBorders>
          </w:tcPr>
          <w:p w14:paraId="3F9A5A8B" w14:textId="77777777" w:rsidR="008D2A11" w:rsidRPr="00585CE5" w:rsidRDefault="008D2A11" w:rsidP="00CF36F2">
            <w:pPr>
              <w:pStyle w:val="tabelNummers"/>
              <w:rPr>
                <w:rFonts w:eastAsia="Calibri"/>
              </w:rPr>
            </w:pPr>
            <w:r w:rsidRPr="00585CE5">
              <w:rPr>
                <w:rFonts w:eastAsia="Calibri"/>
              </w:rPr>
              <w:t>90</w:t>
            </w:r>
          </w:p>
        </w:tc>
        <w:tc>
          <w:tcPr>
            <w:tcW w:w="2410" w:type="dxa"/>
            <w:tcBorders>
              <w:top w:val="nil"/>
              <w:bottom w:val="nil"/>
            </w:tcBorders>
          </w:tcPr>
          <w:p w14:paraId="1F90632F" w14:textId="77777777" w:rsidR="008D2A11" w:rsidRPr="00585CE5" w:rsidRDefault="008D2A11" w:rsidP="00CF36F2">
            <w:pPr>
              <w:pStyle w:val="tabelNummers"/>
              <w:rPr>
                <w:rFonts w:eastAsia="Calibri"/>
              </w:rPr>
            </w:pPr>
            <w:r w:rsidRPr="00585CE5">
              <w:rPr>
                <w:rFonts w:eastAsia="Calibri"/>
              </w:rPr>
              <w:t>1,2</w:t>
            </w:r>
          </w:p>
        </w:tc>
        <w:tc>
          <w:tcPr>
            <w:tcW w:w="2232" w:type="dxa"/>
            <w:tcBorders>
              <w:top w:val="nil"/>
              <w:bottom w:val="nil"/>
            </w:tcBorders>
          </w:tcPr>
          <w:p w14:paraId="0139D001" w14:textId="77777777" w:rsidR="008D2A11" w:rsidRPr="00585CE5" w:rsidRDefault="008D2A11" w:rsidP="00CF36F2">
            <w:pPr>
              <w:pStyle w:val="tabelNummers"/>
              <w:rPr>
                <w:rFonts w:eastAsia="Calibri"/>
              </w:rPr>
            </w:pPr>
            <w:r w:rsidRPr="00585CE5">
              <w:rPr>
                <w:rFonts w:eastAsia="Calibri"/>
              </w:rPr>
              <w:t>75</w:t>
            </w:r>
          </w:p>
        </w:tc>
      </w:tr>
      <w:tr w:rsidR="008D2A11" w:rsidRPr="00585CE5" w14:paraId="4E16F0BA" w14:textId="77777777" w:rsidTr="0030721E">
        <w:tc>
          <w:tcPr>
            <w:tcW w:w="2454" w:type="dxa"/>
            <w:tcBorders>
              <w:top w:val="nil"/>
              <w:bottom w:val="nil"/>
            </w:tcBorders>
          </w:tcPr>
          <w:p w14:paraId="2B7834FD" w14:textId="77777777" w:rsidR="008D2A11" w:rsidRPr="00585CE5" w:rsidRDefault="008D2A11" w:rsidP="00DE08B1">
            <w:pPr>
              <w:jc w:val="left"/>
              <w:rPr>
                <w:rFonts w:eastAsia="Calibri" w:cs="Times New Roman"/>
                <w:color w:val="auto"/>
                <w:sz w:val="20"/>
                <w:szCs w:val="20"/>
              </w:rPr>
            </w:pPr>
            <w:r w:rsidRPr="00585CE5">
              <w:rPr>
                <w:rFonts w:eastAsia="Calibri" w:cs="Times New Roman"/>
                <w:color w:val="auto"/>
                <w:sz w:val="20"/>
                <w:szCs w:val="20"/>
              </w:rPr>
              <w:t>Campagnevaart</w:t>
            </w:r>
          </w:p>
        </w:tc>
        <w:tc>
          <w:tcPr>
            <w:tcW w:w="2190" w:type="dxa"/>
            <w:tcBorders>
              <w:top w:val="nil"/>
              <w:bottom w:val="nil"/>
            </w:tcBorders>
          </w:tcPr>
          <w:p w14:paraId="3D95926F" w14:textId="77777777" w:rsidR="008D2A11" w:rsidRPr="00585CE5" w:rsidRDefault="008D2A11" w:rsidP="00CF36F2">
            <w:pPr>
              <w:pStyle w:val="tabelNummers"/>
              <w:rPr>
                <w:rFonts w:eastAsia="Calibri"/>
              </w:rPr>
            </w:pPr>
            <w:r w:rsidRPr="00585CE5">
              <w:rPr>
                <w:rFonts w:eastAsia="Calibri"/>
              </w:rPr>
              <w:t>43</w:t>
            </w:r>
          </w:p>
        </w:tc>
        <w:tc>
          <w:tcPr>
            <w:tcW w:w="2410" w:type="dxa"/>
            <w:tcBorders>
              <w:top w:val="nil"/>
              <w:bottom w:val="nil"/>
            </w:tcBorders>
          </w:tcPr>
          <w:p w14:paraId="2E1F7737" w14:textId="77777777" w:rsidR="008D2A11" w:rsidRPr="00585CE5" w:rsidRDefault="008D2A11" w:rsidP="00CF36F2">
            <w:pPr>
              <w:pStyle w:val="tabelNummers"/>
              <w:rPr>
                <w:rFonts w:eastAsia="Calibri"/>
              </w:rPr>
            </w:pPr>
            <w:r w:rsidRPr="00585CE5">
              <w:rPr>
                <w:rFonts w:eastAsia="Calibri"/>
              </w:rPr>
              <w:t>1,1</w:t>
            </w:r>
          </w:p>
        </w:tc>
        <w:tc>
          <w:tcPr>
            <w:tcW w:w="2232" w:type="dxa"/>
            <w:tcBorders>
              <w:top w:val="nil"/>
              <w:bottom w:val="nil"/>
            </w:tcBorders>
          </w:tcPr>
          <w:p w14:paraId="082D54B2" w14:textId="77777777" w:rsidR="008D2A11" w:rsidRPr="00585CE5" w:rsidRDefault="008D2A11" w:rsidP="00CF36F2">
            <w:pPr>
              <w:pStyle w:val="tabelNummers"/>
              <w:rPr>
                <w:rFonts w:eastAsia="Calibri"/>
              </w:rPr>
            </w:pPr>
            <w:r w:rsidRPr="00585CE5">
              <w:rPr>
                <w:rFonts w:eastAsia="Calibri"/>
              </w:rPr>
              <w:t>39</w:t>
            </w:r>
          </w:p>
        </w:tc>
      </w:tr>
      <w:tr w:rsidR="008D2A11" w:rsidRPr="00585CE5" w14:paraId="2FAB829E" w14:textId="77777777" w:rsidTr="0030721E">
        <w:tc>
          <w:tcPr>
            <w:tcW w:w="2454" w:type="dxa"/>
            <w:tcBorders>
              <w:top w:val="single" w:sz="4" w:space="0" w:color="auto"/>
            </w:tcBorders>
          </w:tcPr>
          <w:p w14:paraId="611DF506" w14:textId="77777777" w:rsidR="008D2A11" w:rsidRPr="00585CE5" w:rsidRDefault="008D2A11" w:rsidP="00DE08B1">
            <w:pPr>
              <w:jc w:val="left"/>
              <w:rPr>
                <w:rFonts w:eastAsia="Calibri" w:cs="Times New Roman"/>
                <w:color w:val="auto"/>
                <w:sz w:val="20"/>
                <w:szCs w:val="20"/>
              </w:rPr>
            </w:pPr>
            <w:r w:rsidRPr="00585CE5">
              <w:rPr>
                <w:rFonts w:eastAsia="Calibri" w:cs="Times New Roman"/>
                <w:color w:val="auto"/>
                <w:sz w:val="20"/>
                <w:szCs w:val="20"/>
              </w:rPr>
              <w:t>Totaal</w:t>
            </w:r>
          </w:p>
        </w:tc>
        <w:tc>
          <w:tcPr>
            <w:tcW w:w="2190" w:type="dxa"/>
            <w:tcBorders>
              <w:top w:val="single" w:sz="4" w:space="0" w:color="auto"/>
            </w:tcBorders>
          </w:tcPr>
          <w:p w14:paraId="554DBEC5" w14:textId="4D513A3E" w:rsidR="008D2A11" w:rsidRPr="00585CE5" w:rsidRDefault="009C5146" w:rsidP="00CF36F2">
            <w:pPr>
              <w:pStyle w:val="tabelNummers"/>
              <w:rPr>
                <w:rFonts w:eastAsia="Calibri"/>
              </w:rPr>
            </w:pPr>
            <w:r w:rsidRPr="00585CE5">
              <w:rPr>
                <w:rFonts w:eastAsia="Calibri"/>
              </w:rPr>
              <w:t>2</w:t>
            </w:r>
            <w:r w:rsidR="00CF36F2">
              <w:rPr>
                <w:rFonts w:eastAsia="Calibri"/>
              </w:rPr>
              <w:t>.</w:t>
            </w:r>
            <w:r w:rsidRPr="00585CE5">
              <w:rPr>
                <w:rFonts w:eastAsia="Calibri"/>
              </w:rPr>
              <w:t>609</w:t>
            </w:r>
          </w:p>
        </w:tc>
        <w:tc>
          <w:tcPr>
            <w:tcW w:w="2410" w:type="dxa"/>
            <w:tcBorders>
              <w:top w:val="single" w:sz="4" w:space="0" w:color="auto"/>
            </w:tcBorders>
          </w:tcPr>
          <w:p w14:paraId="229C725F" w14:textId="77777777" w:rsidR="008D2A11" w:rsidRPr="00585CE5" w:rsidRDefault="008D2A11" w:rsidP="00CF36F2">
            <w:pPr>
              <w:pStyle w:val="tabelNummers"/>
              <w:rPr>
                <w:rFonts w:eastAsia="Calibri"/>
              </w:rPr>
            </w:pPr>
            <w:r w:rsidRPr="00585CE5">
              <w:rPr>
                <w:rFonts w:eastAsia="Calibri"/>
              </w:rPr>
              <w:t>26,6</w:t>
            </w:r>
          </w:p>
        </w:tc>
        <w:tc>
          <w:tcPr>
            <w:tcW w:w="2232" w:type="dxa"/>
            <w:tcBorders>
              <w:top w:val="single" w:sz="4" w:space="0" w:color="auto"/>
            </w:tcBorders>
          </w:tcPr>
          <w:p w14:paraId="66DC6214" w14:textId="77777777" w:rsidR="008D2A11" w:rsidRPr="00585CE5" w:rsidRDefault="008D2A11" w:rsidP="00CF36F2">
            <w:pPr>
              <w:pStyle w:val="tabelNummers"/>
              <w:rPr>
                <w:rFonts w:eastAsia="Calibri"/>
              </w:rPr>
            </w:pPr>
            <w:r w:rsidRPr="00585CE5">
              <w:rPr>
                <w:rFonts w:eastAsia="Calibri"/>
              </w:rPr>
              <w:t>98</w:t>
            </w:r>
          </w:p>
        </w:tc>
      </w:tr>
    </w:tbl>
    <w:p w14:paraId="61BEA9B5" w14:textId="77777777" w:rsidR="008D2A11" w:rsidRPr="00585CE5" w:rsidRDefault="008D2A11" w:rsidP="00DE08B1">
      <w:pPr>
        <w:jc w:val="left"/>
        <w:rPr>
          <w:rFonts w:eastAsia="Calibri" w:cs="Times New Roman"/>
          <w:color w:val="auto"/>
          <w:szCs w:val="24"/>
        </w:rPr>
      </w:pPr>
    </w:p>
    <w:p w14:paraId="6A817B70" w14:textId="404812CC" w:rsidR="008D2A11" w:rsidRPr="00031238" w:rsidRDefault="008D2A11" w:rsidP="00DE08B1">
      <w:pPr>
        <w:contextualSpacing/>
        <w:jc w:val="left"/>
        <w:rPr>
          <w:rFonts w:eastAsia="Calibri" w:cs="Times New Roman"/>
          <w:color w:val="auto"/>
          <w:szCs w:val="24"/>
        </w:rPr>
      </w:pPr>
      <w:r w:rsidRPr="00585CE5">
        <w:rPr>
          <w:rFonts w:eastAsia="Calibri" w:cs="Times New Roman"/>
          <w:i/>
          <w:iCs/>
          <w:color w:val="auto"/>
          <w:szCs w:val="24"/>
        </w:rPr>
        <w:t>Tabel 3</w:t>
      </w:r>
      <w:r w:rsidR="0019518B" w:rsidRPr="00585CE5">
        <w:rPr>
          <w:rFonts w:eastAsia="Calibri" w:cs="Times New Roman"/>
          <w:i/>
          <w:iCs/>
          <w:color w:val="auto"/>
          <w:szCs w:val="24"/>
        </w:rPr>
        <w:t xml:space="preserve">: </w:t>
      </w:r>
      <w:r w:rsidRPr="00585CE5">
        <w:rPr>
          <w:rFonts w:eastAsia="Calibri" w:cs="Times New Roman"/>
          <w:i/>
          <w:color w:val="auto"/>
          <w:szCs w:val="24"/>
        </w:rPr>
        <w:t>Schatting van het binnenlands goederenvervoer per binnenschip</w:t>
      </w:r>
      <w:r w:rsidRPr="00031238">
        <w:rPr>
          <w:rFonts w:eastAsia="Calibri" w:cs="Times New Roman"/>
          <w:i/>
          <w:color w:val="auto"/>
          <w:szCs w:val="24"/>
        </w:rPr>
        <w:t xml:space="preserve"> in 1938</w:t>
      </w:r>
      <w:r w:rsidR="00A66A7E">
        <w:rPr>
          <w:rFonts w:eastAsia="Calibri" w:cs="Times New Roman"/>
          <w:i/>
          <w:color w:val="auto"/>
          <w:szCs w:val="24"/>
        </w:rPr>
        <w:t>.</w:t>
      </w:r>
      <w:r w:rsidRPr="00031238">
        <w:rPr>
          <w:rFonts w:eastAsia="Calibri" w:cs="Times New Roman"/>
          <w:color w:val="auto"/>
          <w:szCs w:val="24"/>
          <w:vertAlign w:val="superscript"/>
        </w:rPr>
        <w:endnoteReference w:id="26"/>
      </w:r>
    </w:p>
    <w:p w14:paraId="167BE3DE" w14:textId="77777777" w:rsidR="008D2A11" w:rsidRDefault="008D2A11" w:rsidP="00DE08B1">
      <w:pPr>
        <w:jc w:val="left"/>
      </w:pPr>
    </w:p>
    <w:p w14:paraId="6DCAC192" w14:textId="77777777" w:rsidR="00F668F8" w:rsidRDefault="00F668F8" w:rsidP="00DE08B1">
      <w:pPr>
        <w:jc w:val="left"/>
      </w:pPr>
    </w:p>
    <w:p w14:paraId="7FF42521" w14:textId="21FB3334" w:rsidR="00F668F8" w:rsidRDefault="00786F50" w:rsidP="00786F50">
      <w:pPr>
        <w:pStyle w:val="Heading2"/>
      </w:pPr>
      <w:bookmarkStart w:id="20" w:name="_Hlk85271359"/>
      <w:r>
        <w:t>3 Het vervoer en de vervoersorganisatie na de Tweede Wereldoorlog</w:t>
      </w:r>
    </w:p>
    <w:p w14:paraId="2CF8F8E0" w14:textId="77777777" w:rsidR="00F668F8" w:rsidRPr="00F668F8" w:rsidRDefault="00F668F8" w:rsidP="00F668F8"/>
    <w:bookmarkEnd w:id="20"/>
    <w:p w14:paraId="698360C9" w14:textId="2EF41961" w:rsidR="00DD6CD2" w:rsidRDefault="00E636B5" w:rsidP="00DE08B1">
      <w:pPr>
        <w:jc w:val="left"/>
      </w:pPr>
      <w:r>
        <w:t xml:space="preserve">De binnenvaart kwam zwaar gehavend uit de Tweede </w:t>
      </w:r>
      <w:r w:rsidR="00CA32D7">
        <w:t xml:space="preserve">Wereldoorlog </w:t>
      </w:r>
      <w:r w:rsidR="00CD2EEE">
        <w:t>tevoorschijn</w:t>
      </w:r>
      <w:r w:rsidR="00142242">
        <w:t>.</w:t>
      </w:r>
      <w:r>
        <w:t xml:space="preserve"> Veel schepen waren verwoest of verdwenen, sommige vaarwegen waren onbevaarbaar, de </w:t>
      </w:r>
      <w:r w:rsidR="00565D4A">
        <w:t xml:space="preserve">fabrieken van </w:t>
      </w:r>
      <w:r w:rsidR="007546F4">
        <w:t xml:space="preserve">de </w:t>
      </w:r>
      <w:r>
        <w:t>belangrijkste klant – de Duitse staalindustrie – lag</w:t>
      </w:r>
      <w:r w:rsidR="00565D4A">
        <w:t>en</w:t>
      </w:r>
      <w:r>
        <w:t xml:space="preserve"> in puin. </w:t>
      </w:r>
      <w:r w:rsidR="00565D4A">
        <w:t xml:space="preserve">In </w:t>
      </w:r>
      <w:r w:rsidR="00142242">
        <w:t xml:space="preserve">het </w:t>
      </w:r>
      <w:r w:rsidR="00855846">
        <w:t xml:space="preserve">internationale </w:t>
      </w:r>
      <w:r w:rsidR="00142242">
        <w:t xml:space="preserve">vervoer </w:t>
      </w:r>
      <w:r w:rsidR="00565D4A">
        <w:t>v</w:t>
      </w:r>
      <w:r w:rsidR="00855846">
        <w:t xml:space="preserve">erliep het naoorlogse herstel langzaam. </w:t>
      </w:r>
    </w:p>
    <w:p w14:paraId="24AE597C" w14:textId="1D1C9C1C" w:rsidR="00326244" w:rsidRPr="00326244" w:rsidRDefault="00326244" w:rsidP="00DE08B1">
      <w:pPr>
        <w:jc w:val="left"/>
        <w:rPr>
          <w:rFonts w:ascii="Calibri" w:eastAsia="Times New Roman" w:hAnsi="Calibri" w:cs="Calibri"/>
          <w:color w:val="A66500"/>
          <w:shd w:val="clear" w:color="auto" w:fill="FFFFFF"/>
          <w:lang w:eastAsia="nl-NL"/>
        </w:rPr>
      </w:pPr>
      <w:r w:rsidRPr="00326244">
        <w:rPr>
          <w:rFonts w:ascii="Calibri" w:eastAsia="Times New Roman" w:hAnsi="Calibri" w:cs="Calibri"/>
          <w:color w:val="FF0000"/>
          <w:szCs w:val="24"/>
          <w:shd w:val="clear" w:color="auto" w:fill="FFFFFF"/>
          <w:lang w:eastAsia="nl-NL"/>
        </w:rPr>
        <w:t>@i@</w:t>
      </w:r>
      <w:r w:rsidRPr="00326244">
        <w:rPr>
          <w:rFonts w:eastAsia="Times New Roman" w:cs="Times New Roman"/>
          <w:color w:val="FF0000"/>
          <w:szCs w:val="24"/>
          <w:lang w:eastAsia="nl-NL"/>
        </w:rPr>
        <w:t>[[[</w:t>
      </w:r>
      <w:r w:rsidR="004C23FE">
        <w:rPr>
          <w:iCs/>
          <w:color w:val="FF0000"/>
        </w:rPr>
        <w:t>16</w:t>
      </w:r>
      <w:r>
        <w:rPr>
          <w:iCs/>
          <w:color w:val="FF0000"/>
        </w:rPr>
        <w:t>-</w:t>
      </w:r>
      <w:r w:rsidRPr="00B5437F">
        <w:rPr>
          <w:iCs/>
          <w:color w:val="FF0000"/>
        </w:rPr>
        <w:t>10c_Beurtvaart.jpg</w:t>
      </w:r>
      <w:r w:rsidRPr="00326244">
        <w:rPr>
          <w:rFonts w:cstheme="minorHAnsi"/>
          <w:color w:val="FF0000"/>
        </w:rPr>
        <w:t>]]]</w:t>
      </w:r>
      <w:r w:rsidRPr="00326244">
        <w:rPr>
          <w:rFonts w:ascii="Calibri" w:eastAsia="Times New Roman" w:hAnsi="Calibri" w:cs="Calibri"/>
          <w:color w:val="FF0000"/>
          <w:szCs w:val="24"/>
          <w:shd w:val="clear" w:color="auto" w:fill="FFFFFF"/>
          <w:lang w:eastAsia="nl-NL"/>
        </w:rPr>
        <w:t xml:space="preserve">@/i@​  </w:t>
      </w:r>
    </w:p>
    <w:p w14:paraId="20465556" w14:textId="2DA66DC9" w:rsidR="00977A02" w:rsidRPr="00326244" w:rsidRDefault="00977A02" w:rsidP="00DE08B1">
      <w:pPr>
        <w:jc w:val="left"/>
        <w:rPr>
          <w:rFonts w:ascii="Calibri" w:eastAsia="Times New Roman" w:hAnsi="Calibri" w:cs="Calibri"/>
          <w:color w:val="C45911" w:themeColor="accent2" w:themeShade="BF"/>
          <w:szCs w:val="24"/>
          <w:shd w:val="clear" w:color="auto" w:fill="FFFFFF"/>
          <w:lang w:eastAsia="nl-NL"/>
        </w:rPr>
      </w:pPr>
    </w:p>
    <w:p w14:paraId="6974FD0E" w14:textId="1BE6CF2A" w:rsidR="00C603E3" w:rsidRDefault="00C603E3" w:rsidP="00DE08B1">
      <w:pPr>
        <w:jc w:val="left"/>
      </w:pPr>
    </w:p>
    <w:p w14:paraId="7670F860" w14:textId="56CA73C4" w:rsidR="00DD6CD2" w:rsidRDefault="00DD6CD2" w:rsidP="00C603E3">
      <w:pPr>
        <w:pStyle w:val="Heading2"/>
      </w:pPr>
      <w:bookmarkStart w:id="21" w:name="_Hlk85274828"/>
      <w:r>
        <w:t>Het internationale vervoer</w:t>
      </w:r>
      <w:bookmarkEnd w:id="21"/>
    </w:p>
    <w:p w14:paraId="630C52F7" w14:textId="77777777" w:rsidR="00C603E3" w:rsidRPr="00C603E3" w:rsidRDefault="00C603E3" w:rsidP="00C603E3"/>
    <w:p w14:paraId="3B83C861" w14:textId="59B39BCE" w:rsidR="00855846" w:rsidRDefault="0017677D" w:rsidP="00DE08B1">
      <w:pPr>
        <w:jc w:val="left"/>
      </w:pPr>
      <w:r>
        <w:t>De Rijnvaart bereikte pas in 1956 weer zijn vooroorlogse niveau.</w:t>
      </w:r>
      <w:r w:rsidR="006116B0">
        <w:t xml:space="preserve"> </w:t>
      </w:r>
      <w:r w:rsidR="00DB7D67">
        <w:t xml:space="preserve">Dankzij de Duitse staalindustrie </w:t>
      </w:r>
      <w:r w:rsidR="00B2125E">
        <w:t>volgde</w:t>
      </w:r>
      <w:r w:rsidR="00DB7D67">
        <w:t xml:space="preserve"> daarna </w:t>
      </w:r>
      <w:r w:rsidR="00B2125E">
        <w:t xml:space="preserve">een sterke groei. </w:t>
      </w:r>
      <w:r w:rsidR="00855846">
        <w:t xml:space="preserve">Tussen 1956 en het topjaar 1978 </w:t>
      </w:r>
      <w:r w:rsidR="00B2125E">
        <w:t xml:space="preserve">steeg het </w:t>
      </w:r>
      <w:r w:rsidR="00855846">
        <w:t>Rijnvaart</w:t>
      </w:r>
      <w:r w:rsidR="00B2125E">
        <w:t>vervoer</w:t>
      </w:r>
      <w:r w:rsidR="00855846">
        <w:t xml:space="preserve">, inclusief de doorvoer, van 58 naar 140 miljoen ton. </w:t>
      </w:r>
      <w:r w:rsidR="00243CDA">
        <w:t>Tegelijk verschraal</w:t>
      </w:r>
      <w:r w:rsidR="006116B0">
        <w:softHyphen/>
      </w:r>
      <w:r w:rsidR="00243CDA">
        <w:t xml:space="preserve">de het ladingpakket. </w:t>
      </w:r>
      <w:r w:rsidR="006116B0">
        <w:t xml:space="preserve">Nadat de Duitse steenkolenproductie in 1957 zijn top had bereikt, verminderde het </w:t>
      </w:r>
      <w:proofErr w:type="spellStart"/>
      <w:r w:rsidR="006116B0">
        <w:t>stroomafwaartse</w:t>
      </w:r>
      <w:proofErr w:type="spellEnd"/>
      <w:r w:rsidR="006116B0">
        <w:t xml:space="preserve"> </w:t>
      </w:r>
      <w:r w:rsidR="00CD2EEE">
        <w:t>steenkolen</w:t>
      </w:r>
      <w:r w:rsidR="006116B0">
        <w:t xml:space="preserve">vervoer </w:t>
      </w:r>
      <w:r w:rsidR="008B3650">
        <w:t>langzaam</w:t>
      </w:r>
      <w:r w:rsidR="006116B0">
        <w:t xml:space="preserve">. Drie jaar later kwam een pijpleiding van Rotterdam naar het Ruhrgebied </w:t>
      </w:r>
      <w:r w:rsidR="00B2125E">
        <w:t>gereed</w:t>
      </w:r>
      <w:r w:rsidR="00094FEE">
        <w:t xml:space="preserve">, </w:t>
      </w:r>
      <w:r w:rsidR="006116B0">
        <w:t xml:space="preserve">die </w:t>
      </w:r>
      <w:r w:rsidR="00243CDA">
        <w:t xml:space="preserve">het </w:t>
      </w:r>
      <w:proofErr w:type="spellStart"/>
      <w:r w:rsidR="008D2A11">
        <w:t>stroomopwaartse</w:t>
      </w:r>
      <w:proofErr w:type="spellEnd"/>
      <w:r w:rsidR="008D2A11">
        <w:t xml:space="preserve"> </w:t>
      </w:r>
      <w:r w:rsidR="00243CDA">
        <w:t xml:space="preserve">vervoer van vloeibare brandstoffen </w:t>
      </w:r>
      <w:r w:rsidR="00560213">
        <w:t xml:space="preserve">gedeeltelijk </w:t>
      </w:r>
      <w:r w:rsidR="00243CDA">
        <w:t xml:space="preserve">van </w:t>
      </w:r>
      <w:r w:rsidR="006116B0">
        <w:t xml:space="preserve">de binnenvaart overnam. </w:t>
      </w:r>
      <w:r w:rsidR="00560213">
        <w:t xml:space="preserve">In het begin van de jaren zeventig domineerden twee </w:t>
      </w:r>
      <w:r w:rsidR="008B3650">
        <w:t xml:space="preserve">bedrijfstakken </w:t>
      </w:r>
      <w:r w:rsidR="00560213">
        <w:t xml:space="preserve">het internationale vervoer. Vanuit Nederland bestond bijna </w:t>
      </w:r>
      <w:r w:rsidR="000871A4">
        <w:t xml:space="preserve">veertig </w:t>
      </w:r>
      <w:r w:rsidR="00560213">
        <w:t xml:space="preserve">procent van de lading uit ijzererts voor de Duitse en Noord-Franse </w:t>
      </w:r>
      <w:r w:rsidR="00560213">
        <w:lastRenderedPageBreak/>
        <w:t xml:space="preserve">staalindustrie. In omgekeerde richting </w:t>
      </w:r>
      <w:r w:rsidR="00243CDA">
        <w:t>bestond bijna twee</w:t>
      </w:r>
      <w:r w:rsidR="00C12272">
        <w:t xml:space="preserve"> </w:t>
      </w:r>
      <w:r w:rsidR="00243CDA">
        <w:t>derde van het vervoer uit zand, grind en bouwmaterialen (tabel 4)</w:t>
      </w:r>
      <w:r w:rsidR="00560213">
        <w:t xml:space="preserve"> voor de Nederlandse bouwindustrie</w:t>
      </w:r>
      <w:r w:rsidR="00243CDA">
        <w:t>. De</w:t>
      </w:r>
      <w:r w:rsidR="0099530B">
        <w:t>ze</w:t>
      </w:r>
      <w:r w:rsidR="00243CDA">
        <w:t xml:space="preserve"> eenzijdige oriëntatie maakte de binnenvaart kwetsbaar.</w:t>
      </w:r>
      <w:r w:rsidR="00243CDA">
        <w:rPr>
          <w:rStyle w:val="EndnoteReference"/>
        </w:rPr>
        <w:endnoteReference w:id="27"/>
      </w:r>
      <w:r w:rsidR="00243CDA">
        <w:t xml:space="preserve"> </w:t>
      </w:r>
    </w:p>
    <w:p w14:paraId="0B00EB01" w14:textId="3E627684" w:rsidR="00DF4A7E" w:rsidRDefault="00DF4A7E" w:rsidP="00DE08B1">
      <w:pPr>
        <w:jc w:val="left"/>
      </w:pPr>
    </w:p>
    <w:p w14:paraId="3ACC7F5D" w14:textId="77777777" w:rsidR="007C2BCD" w:rsidRDefault="007C2BCD" w:rsidP="007C2BCD">
      <w:pPr>
        <w:spacing w:line="240" w:lineRule="auto"/>
        <w:jc w:val="left"/>
        <w:rPr>
          <w:rFonts w:eastAsia="Times New Roman" w:cs="Times New Roman"/>
          <w:color w:val="auto"/>
          <w:szCs w:val="24"/>
          <w:lang w:eastAsia="nl-NL"/>
        </w:rPr>
      </w:pPr>
      <w:bookmarkStart w:id="22" w:name="_Hlk66185312"/>
    </w:p>
    <w:tbl>
      <w:tblPr>
        <w:tblStyle w:val="TableGrid"/>
        <w:tblW w:w="0" w:type="auto"/>
        <w:tblLook w:val="04A0" w:firstRow="1" w:lastRow="0" w:firstColumn="1" w:lastColumn="0" w:noHBand="0" w:noVBand="1"/>
      </w:tblPr>
      <w:tblGrid>
        <w:gridCol w:w="3020"/>
        <w:gridCol w:w="1007"/>
        <w:gridCol w:w="1007"/>
        <w:gridCol w:w="1007"/>
        <w:gridCol w:w="1007"/>
        <w:gridCol w:w="1007"/>
        <w:gridCol w:w="1007"/>
      </w:tblGrid>
      <w:tr w:rsidR="00374FE4" w14:paraId="4FC0F4E5" w14:textId="77777777" w:rsidTr="000D2FB8">
        <w:trPr>
          <w:trHeight w:val="567"/>
        </w:trPr>
        <w:tc>
          <w:tcPr>
            <w:tcW w:w="3020" w:type="dxa"/>
            <w:vMerge w:val="restart"/>
          </w:tcPr>
          <w:p w14:paraId="523EE4C2" w14:textId="77777777" w:rsidR="007C2BCD" w:rsidRPr="00920C32" w:rsidRDefault="007C2BCD" w:rsidP="00A95ABC">
            <w:pPr>
              <w:pStyle w:val="tabelKop"/>
              <w:rPr>
                <w:lang w:eastAsia="nl-NL"/>
              </w:rPr>
            </w:pPr>
            <w:r w:rsidRPr="00920C32">
              <w:rPr>
                <w:lang w:eastAsia="nl-NL"/>
              </w:rPr>
              <w:t>Aard goederen</w:t>
            </w:r>
          </w:p>
        </w:tc>
        <w:tc>
          <w:tcPr>
            <w:tcW w:w="2014" w:type="dxa"/>
            <w:gridSpan w:val="2"/>
          </w:tcPr>
          <w:p w14:paraId="51DAB560" w14:textId="77777777" w:rsidR="007C2BCD" w:rsidRPr="00920C32" w:rsidRDefault="007C2BCD" w:rsidP="00A95ABC">
            <w:pPr>
              <w:pStyle w:val="tabelKop"/>
              <w:rPr>
                <w:lang w:eastAsia="nl-NL"/>
              </w:rPr>
            </w:pPr>
            <w:r w:rsidRPr="00920C32">
              <w:rPr>
                <w:lang w:eastAsia="nl-NL"/>
              </w:rPr>
              <w:t>Gelost in Nederland</w:t>
            </w:r>
          </w:p>
        </w:tc>
        <w:tc>
          <w:tcPr>
            <w:tcW w:w="2014" w:type="dxa"/>
            <w:gridSpan w:val="2"/>
          </w:tcPr>
          <w:p w14:paraId="4E6D07FB" w14:textId="77777777" w:rsidR="007C2BCD" w:rsidRPr="00920C32" w:rsidRDefault="007C2BCD" w:rsidP="00A95ABC">
            <w:pPr>
              <w:pStyle w:val="tabelKop"/>
              <w:rPr>
                <w:lang w:eastAsia="nl-NL"/>
              </w:rPr>
            </w:pPr>
            <w:r w:rsidRPr="00920C32">
              <w:rPr>
                <w:lang w:eastAsia="nl-NL"/>
              </w:rPr>
              <w:t>Geladen in Nederland</w:t>
            </w:r>
          </w:p>
        </w:tc>
        <w:tc>
          <w:tcPr>
            <w:tcW w:w="2014" w:type="dxa"/>
            <w:gridSpan w:val="2"/>
          </w:tcPr>
          <w:p w14:paraId="47D7F56F" w14:textId="77777777" w:rsidR="007C2BCD" w:rsidRPr="00920C32" w:rsidRDefault="007C2BCD" w:rsidP="00A95ABC">
            <w:pPr>
              <w:pStyle w:val="tabelKop"/>
              <w:rPr>
                <w:lang w:eastAsia="nl-NL"/>
              </w:rPr>
            </w:pPr>
            <w:r w:rsidRPr="00920C32">
              <w:rPr>
                <w:lang w:eastAsia="nl-NL"/>
              </w:rPr>
              <w:t>Totaal</w:t>
            </w:r>
          </w:p>
        </w:tc>
      </w:tr>
      <w:tr w:rsidR="00374FE4" w14:paraId="1B5C4808" w14:textId="77777777" w:rsidTr="000D2FB8">
        <w:trPr>
          <w:trHeight w:val="567"/>
        </w:trPr>
        <w:tc>
          <w:tcPr>
            <w:tcW w:w="3020" w:type="dxa"/>
            <w:vMerge/>
            <w:tcBorders>
              <w:bottom w:val="single" w:sz="4" w:space="0" w:color="auto"/>
            </w:tcBorders>
          </w:tcPr>
          <w:p w14:paraId="7A3113F3" w14:textId="77777777" w:rsidR="007C2BCD" w:rsidRPr="0079464C" w:rsidRDefault="007C2BCD" w:rsidP="000D2FB8">
            <w:pPr>
              <w:jc w:val="left"/>
              <w:rPr>
                <w:rFonts w:eastAsia="Times New Roman" w:cs="Times New Roman"/>
                <w:color w:val="auto"/>
                <w:sz w:val="20"/>
                <w:szCs w:val="20"/>
                <w:lang w:eastAsia="nl-NL"/>
              </w:rPr>
            </w:pPr>
          </w:p>
        </w:tc>
        <w:tc>
          <w:tcPr>
            <w:tcW w:w="1007" w:type="dxa"/>
            <w:tcBorders>
              <w:bottom w:val="single" w:sz="4" w:space="0" w:color="auto"/>
            </w:tcBorders>
          </w:tcPr>
          <w:p w14:paraId="47D753A7" w14:textId="77777777" w:rsidR="007C2BCD" w:rsidRDefault="007C2BCD" w:rsidP="000D2FB8">
            <w:pPr>
              <w:jc w:val="center"/>
              <w:rPr>
                <w:rFonts w:eastAsia="Times New Roman" w:cs="Times New Roman"/>
                <w:color w:val="auto"/>
                <w:sz w:val="20"/>
                <w:szCs w:val="20"/>
                <w:lang w:eastAsia="nl-NL"/>
              </w:rPr>
            </w:pPr>
            <w:r>
              <w:rPr>
                <w:rFonts w:eastAsia="Times New Roman" w:cs="Times New Roman"/>
                <w:color w:val="auto"/>
                <w:sz w:val="20"/>
                <w:szCs w:val="20"/>
                <w:lang w:eastAsia="nl-NL"/>
              </w:rPr>
              <w:t>Omvang</w:t>
            </w:r>
          </w:p>
          <w:p w14:paraId="2AB1099B" w14:textId="77777777" w:rsidR="007C2BCD" w:rsidRPr="0079464C" w:rsidRDefault="007C2BCD" w:rsidP="000D2FB8">
            <w:pPr>
              <w:jc w:val="center"/>
              <w:rPr>
                <w:rFonts w:eastAsia="Times New Roman" w:cs="Times New Roman"/>
                <w:color w:val="auto"/>
                <w:sz w:val="20"/>
                <w:szCs w:val="20"/>
                <w:lang w:eastAsia="nl-NL"/>
              </w:rPr>
            </w:pPr>
            <w:r>
              <w:rPr>
                <w:rFonts w:eastAsia="Times New Roman" w:cs="Times New Roman"/>
                <w:color w:val="auto"/>
                <w:sz w:val="20"/>
                <w:szCs w:val="20"/>
                <w:lang w:eastAsia="nl-NL"/>
              </w:rPr>
              <w:t>(mil. ton)</w:t>
            </w:r>
          </w:p>
        </w:tc>
        <w:tc>
          <w:tcPr>
            <w:tcW w:w="1007" w:type="dxa"/>
            <w:tcBorders>
              <w:bottom w:val="single" w:sz="4" w:space="0" w:color="auto"/>
            </w:tcBorders>
          </w:tcPr>
          <w:p w14:paraId="64CA5446" w14:textId="77777777" w:rsidR="007C2BCD" w:rsidRDefault="007C2BCD" w:rsidP="000D2FB8">
            <w:pPr>
              <w:jc w:val="center"/>
              <w:rPr>
                <w:rFonts w:eastAsia="Times New Roman" w:cs="Times New Roman"/>
                <w:color w:val="auto"/>
                <w:sz w:val="20"/>
                <w:szCs w:val="20"/>
                <w:lang w:eastAsia="nl-NL"/>
              </w:rPr>
            </w:pPr>
            <w:r>
              <w:rPr>
                <w:rFonts w:eastAsia="Times New Roman" w:cs="Times New Roman"/>
                <w:color w:val="auto"/>
                <w:sz w:val="20"/>
                <w:szCs w:val="20"/>
                <w:lang w:eastAsia="nl-NL"/>
              </w:rPr>
              <w:t>Aandeel</w:t>
            </w:r>
          </w:p>
          <w:p w14:paraId="411000E2" w14:textId="77777777" w:rsidR="007C2BCD" w:rsidRPr="0079464C" w:rsidRDefault="007C2BCD" w:rsidP="000D2FB8">
            <w:pPr>
              <w:jc w:val="center"/>
              <w:rPr>
                <w:rFonts w:eastAsia="Times New Roman" w:cs="Times New Roman"/>
                <w:color w:val="auto"/>
                <w:sz w:val="20"/>
                <w:szCs w:val="20"/>
                <w:lang w:eastAsia="nl-NL"/>
              </w:rPr>
            </w:pPr>
            <w:r>
              <w:rPr>
                <w:rFonts w:eastAsia="Times New Roman" w:cs="Times New Roman"/>
                <w:color w:val="auto"/>
                <w:sz w:val="20"/>
                <w:szCs w:val="20"/>
                <w:lang w:eastAsia="nl-NL"/>
              </w:rPr>
              <w:t>(%)</w:t>
            </w:r>
          </w:p>
        </w:tc>
        <w:tc>
          <w:tcPr>
            <w:tcW w:w="1007" w:type="dxa"/>
            <w:tcBorders>
              <w:bottom w:val="single" w:sz="4" w:space="0" w:color="auto"/>
            </w:tcBorders>
          </w:tcPr>
          <w:p w14:paraId="1DFEB6D2" w14:textId="77777777" w:rsidR="007C2BCD" w:rsidRDefault="007C2BCD" w:rsidP="000D2FB8">
            <w:pPr>
              <w:jc w:val="center"/>
              <w:rPr>
                <w:rFonts w:eastAsia="Times New Roman" w:cs="Times New Roman"/>
                <w:color w:val="auto"/>
                <w:sz w:val="20"/>
                <w:szCs w:val="20"/>
                <w:lang w:eastAsia="nl-NL"/>
              </w:rPr>
            </w:pPr>
            <w:r>
              <w:rPr>
                <w:rFonts w:eastAsia="Times New Roman" w:cs="Times New Roman"/>
                <w:color w:val="auto"/>
                <w:sz w:val="20"/>
                <w:szCs w:val="20"/>
                <w:lang w:eastAsia="nl-NL"/>
              </w:rPr>
              <w:t>Omvang</w:t>
            </w:r>
          </w:p>
          <w:p w14:paraId="4FB84C29" w14:textId="77777777" w:rsidR="007C2BCD" w:rsidRPr="0079464C" w:rsidRDefault="007C2BCD" w:rsidP="000D2FB8">
            <w:pPr>
              <w:jc w:val="center"/>
              <w:rPr>
                <w:rFonts w:eastAsia="Times New Roman" w:cs="Times New Roman"/>
                <w:color w:val="auto"/>
                <w:sz w:val="20"/>
                <w:szCs w:val="20"/>
                <w:lang w:eastAsia="nl-NL"/>
              </w:rPr>
            </w:pPr>
            <w:r>
              <w:rPr>
                <w:rFonts w:eastAsia="Times New Roman" w:cs="Times New Roman"/>
                <w:color w:val="auto"/>
                <w:sz w:val="20"/>
                <w:szCs w:val="20"/>
                <w:lang w:eastAsia="nl-NL"/>
              </w:rPr>
              <w:t>(mil. ton)</w:t>
            </w:r>
          </w:p>
        </w:tc>
        <w:tc>
          <w:tcPr>
            <w:tcW w:w="1007" w:type="dxa"/>
            <w:tcBorders>
              <w:bottom w:val="single" w:sz="4" w:space="0" w:color="auto"/>
            </w:tcBorders>
          </w:tcPr>
          <w:p w14:paraId="6C4EB1BC" w14:textId="77777777" w:rsidR="007C2BCD" w:rsidRDefault="007C2BCD" w:rsidP="000D2FB8">
            <w:pPr>
              <w:jc w:val="center"/>
              <w:rPr>
                <w:rFonts w:eastAsia="Times New Roman" w:cs="Times New Roman"/>
                <w:color w:val="auto"/>
                <w:sz w:val="20"/>
                <w:szCs w:val="20"/>
                <w:lang w:eastAsia="nl-NL"/>
              </w:rPr>
            </w:pPr>
            <w:r>
              <w:rPr>
                <w:rFonts w:eastAsia="Times New Roman" w:cs="Times New Roman"/>
                <w:color w:val="auto"/>
                <w:sz w:val="20"/>
                <w:szCs w:val="20"/>
                <w:lang w:eastAsia="nl-NL"/>
              </w:rPr>
              <w:t>Aandeel</w:t>
            </w:r>
          </w:p>
          <w:p w14:paraId="22056845" w14:textId="77777777" w:rsidR="007C2BCD" w:rsidRPr="0079464C" w:rsidRDefault="007C2BCD" w:rsidP="000D2FB8">
            <w:pPr>
              <w:jc w:val="center"/>
              <w:rPr>
                <w:rFonts w:eastAsia="Times New Roman" w:cs="Times New Roman"/>
                <w:color w:val="auto"/>
                <w:sz w:val="20"/>
                <w:szCs w:val="20"/>
                <w:lang w:eastAsia="nl-NL"/>
              </w:rPr>
            </w:pPr>
            <w:r>
              <w:rPr>
                <w:rFonts w:eastAsia="Times New Roman" w:cs="Times New Roman"/>
                <w:color w:val="auto"/>
                <w:sz w:val="20"/>
                <w:szCs w:val="20"/>
                <w:lang w:eastAsia="nl-NL"/>
              </w:rPr>
              <w:t>(%)</w:t>
            </w:r>
          </w:p>
        </w:tc>
        <w:tc>
          <w:tcPr>
            <w:tcW w:w="1007" w:type="dxa"/>
            <w:tcBorders>
              <w:bottom w:val="single" w:sz="4" w:space="0" w:color="auto"/>
            </w:tcBorders>
          </w:tcPr>
          <w:p w14:paraId="447DD2FE" w14:textId="77777777" w:rsidR="007C2BCD" w:rsidRDefault="007C2BCD" w:rsidP="000D2FB8">
            <w:pPr>
              <w:jc w:val="center"/>
              <w:rPr>
                <w:rFonts w:eastAsia="Times New Roman" w:cs="Times New Roman"/>
                <w:color w:val="auto"/>
                <w:sz w:val="20"/>
                <w:szCs w:val="20"/>
                <w:lang w:eastAsia="nl-NL"/>
              </w:rPr>
            </w:pPr>
            <w:r>
              <w:rPr>
                <w:rFonts w:eastAsia="Times New Roman" w:cs="Times New Roman"/>
                <w:color w:val="auto"/>
                <w:sz w:val="20"/>
                <w:szCs w:val="20"/>
                <w:lang w:eastAsia="nl-NL"/>
              </w:rPr>
              <w:t>Omvang</w:t>
            </w:r>
          </w:p>
          <w:p w14:paraId="2A142F65" w14:textId="77777777" w:rsidR="007C2BCD" w:rsidRPr="0079464C" w:rsidRDefault="007C2BCD" w:rsidP="000D2FB8">
            <w:pPr>
              <w:jc w:val="center"/>
              <w:rPr>
                <w:rFonts w:eastAsia="Times New Roman" w:cs="Times New Roman"/>
                <w:color w:val="auto"/>
                <w:sz w:val="20"/>
                <w:szCs w:val="20"/>
                <w:lang w:eastAsia="nl-NL"/>
              </w:rPr>
            </w:pPr>
            <w:r>
              <w:rPr>
                <w:rFonts w:eastAsia="Times New Roman" w:cs="Times New Roman"/>
                <w:color w:val="auto"/>
                <w:sz w:val="20"/>
                <w:szCs w:val="20"/>
                <w:lang w:eastAsia="nl-NL"/>
              </w:rPr>
              <w:t>(mil. ton)</w:t>
            </w:r>
          </w:p>
        </w:tc>
        <w:tc>
          <w:tcPr>
            <w:tcW w:w="1007" w:type="dxa"/>
            <w:tcBorders>
              <w:bottom w:val="single" w:sz="4" w:space="0" w:color="auto"/>
            </w:tcBorders>
          </w:tcPr>
          <w:p w14:paraId="636AF65A" w14:textId="77777777" w:rsidR="007C2BCD" w:rsidRDefault="007C2BCD" w:rsidP="000D2FB8">
            <w:pPr>
              <w:jc w:val="center"/>
              <w:rPr>
                <w:rFonts w:eastAsia="Times New Roman" w:cs="Times New Roman"/>
                <w:color w:val="auto"/>
                <w:sz w:val="20"/>
                <w:szCs w:val="20"/>
                <w:lang w:eastAsia="nl-NL"/>
              </w:rPr>
            </w:pPr>
            <w:r>
              <w:rPr>
                <w:rFonts w:eastAsia="Times New Roman" w:cs="Times New Roman"/>
                <w:color w:val="auto"/>
                <w:sz w:val="20"/>
                <w:szCs w:val="20"/>
                <w:lang w:eastAsia="nl-NL"/>
              </w:rPr>
              <w:t>Aandeel</w:t>
            </w:r>
          </w:p>
          <w:p w14:paraId="1979D189" w14:textId="77777777" w:rsidR="007C2BCD" w:rsidRPr="0079464C" w:rsidRDefault="007C2BCD" w:rsidP="000D2FB8">
            <w:pPr>
              <w:jc w:val="center"/>
              <w:rPr>
                <w:rFonts w:eastAsia="Times New Roman" w:cs="Times New Roman"/>
                <w:color w:val="auto"/>
                <w:sz w:val="20"/>
                <w:szCs w:val="20"/>
                <w:lang w:eastAsia="nl-NL"/>
              </w:rPr>
            </w:pPr>
            <w:r>
              <w:rPr>
                <w:rFonts w:eastAsia="Times New Roman" w:cs="Times New Roman"/>
                <w:color w:val="auto"/>
                <w:sz w:val="20"/>
                <w:szCs w:val="20"/>
                <w:lang w:eastAsia="nl-NL"/>
              </w:rPr>
              <w:t>(%)</w:t>
            </w:r>
          </w:p>
        </w:tc>
      </w:tr>
      <w:tr w:rsidR="00374FE4" w14:paraId="0D1F55C1" w14:textId="77777777" w:rsidTr="000D2FB8">
        <w:tc>
          <w:tcPr>
            <w:tcW w:w="3020" w:type="dxa"/>
            <w:tcBorders>
              <w:bottom w:val="nil"/>
            </w:tcBorders>
          </w:tcPr>
          <w:p w14:paraId="44558520" w14:textId="77777777" w:rsidR="007C2BCD" w:rsidRPr="0079464C" w:rsidRDefault="007C2BCD" w:rsidP="000D2FB8">
            <w:pPr>
              <w:jc w:val="left"/>
              <w:rPr>
                <w:rFonts w:eastAsia="Times New Roman" w:cs="Times New Roman"/>
                <w:color w:val="auto"/>
                <w:sz w:val="20"/>
                <w:szCs w:val="20"/>
                <w:lang w:eastAsia="nl-NL"/>
              </w:rPr>
            </w:pPr>
            <w:r>
              <w:rPr>
                <w:rFonts w:eastAsia="Times New Roman" w:cs="Times New Roman"/>
                <w:color w:val="auto"/>
                <w:sz w:val="20"/>
                <w:szCs w:val="20"/>
                <w:lang w:eastAsia="nl-NL"/>
              </w:rPr>
              <w:t>Zand, grind, bouwmaterialen, mineralen</w:t>
            </w:r>
          </w:p>
        </w:tc>
        <w:tc>
          <w:tcPr>
            <w:tcW w:w="1007" w:type="dxa"/>
            <w:tcBorders>
              <w:bottom w:val="nil"/>
            </w:tcBorders>
          </w:tcPr>
          <w:p w14:paraId="1FE108C0" w14:textId="77777777" w:rsidR="007C2BCD" w:rsidRPr="0079464C" w:rsidRDefault="007C2BCD" w:rsidP="00A95ABC">
            <w:pPr>
              <w:pStyle w:val="tabelNummers"/>
            </w:pPr>
            <w:r>
              <w:t>27,4</w:t>
            </w:r>
          </w:p>
        </w:tc>
        <w:tc>
          <w:tcPr>
            <w:tcW w:w="1007" w:type="dxa"/>
            <w:tcBorders>
              <w:bottom w:val="nil"/>
            </w:tcBorders>
          </w:tcPr>
          <w:p w14:paraId="1719655A" w14:textId="77777777" w:rsidR="007C2BCD" w:rsidRPr="0079464C" w:rsidRDefault="007C2BCD" w:rsidP="00A95ABC">
            <w:pPr>
              <w:pStyle w:val="tabelNummers"/>
            </w:pPr>
            <w:r>
              <w:t>63,7</w:t>
            </w:r>
          </w:p>
        </w:tc>
        <w:tc>
          <w:tcPr>
            <w:tcW w:w="1007" w:type="dxa"/>
            <w:tcBorders>
              <w:bottom w:val="nil"/>
            </w:tcBorders>
          </w:tcPr>
          <w:p w14:paraId="4451D8A1" w14:textId="77777777" w:rsidR="007C2BCD" w:rsidRPr="0079464C" w:rsidRDefault="007C2BCD" w:rsidP="00A95ABC">
            <w:pPr>
              <w:pStyle w:val="tabelNummers"/>
            </w:pPr>
            <w:r>
              <w:t>15,9</w:t>
            </w:r>
          </w:p>
        </w:tc>
        <w:tc>
          <w:tcPr>
            <w:tcW w:w="1007" w:type="dxa"/>
            <w:tcBorders>
              <w:bottom w:val="nil"/>
            </w:tcBorders>
          </w:tcPr>
          <w:p w14:paraId="12F07567" w14:textId="77777777" w:rsidR="007C2BCD" w:rsidRPr="0079464C" w:rsidRDefault="007C2BCD" w:rsidP="00A95ABC">
            <w:pPr>
              <w:pStyle w:val="tabelNummers"/>
            </w:pPr>
            <w:r>
              <w:t>19,5</w:t>
            </w:r>
          </w:p>
        </w:tc>
        <w:tc>
          <w:tcPr>
            <w:tcW w:w="1007" w:type="dxa"/>
            <w:tcBorders>
              <w:bottom w:val="nil"/>
            </w:tcBorders>
          </w:tcPr>
          <w:p w14:paraId="2DD4ACE3" w14:textId="77777777" w:rsidR="007C2BCD" w:rsidRPr="0079464C" w:rsidRDefault="007C2BCD" w:rsidP="00A95ABC">
            <w:pPr>
              <w:pStyle w:val="tabelNummers"/>
            </w:pPr>
            <w:r>
              <w:t>43,3</w:t>
            </w:r>
          </w:p>
        </w:tc>
        <w:tc>
          <w:tcPr>
            <w:tcW w:w="1007" w:type="dxa"/>
            <w:tcBorders>
              <w:bottom w:val="nil"/>
            </w:tcBorders>
          </w:tcPr>
          <w:p w14:paraId="52F94A58" w14:textId="77777777" w:rsidR="007C2BCD" w:rsidRPr="0079464C" w:rsidRDefault="007C2BCD" w:rsidP="00A95ABC">
            <w:pPr>
              <w:pStyle w:val="tabelNummers"/>
            </w:pPr>
            <w:r>
              <w:t>34,7</w:t>
            </w:r>
          </w:p>
        </w:tc>
      </w:tr>
      <w:tr w:rsidR="00374FE4" w14:paraId="63F317A4" w14:textId="77777777" w:rsidTr="000D2FB8">
        <w:tc>
          <w:tcPr>
            <w:tcW w:w="3020" w:type="dxa"/>
            <w:tcBorders>
              <w:top w:val="nil"/>
              <w:bottom w:val="nil"/>
            </w:tcBorders>
          </w:tcPr>
          <w:p w14:paraId="38E3EF68" w14:textId="77777777" w:rsidR="007C2BCD" w:rsidRPr="0079464C" w:rsidRDefault="007C2BCD" w:rsidP="000D2FB8">
            <w:pPr>
              <w:jc w:val="left"/>
              <w:rPr>
                <w:rFonts w:eastAsia="Times New Roman" w:cs="Times New Roman"/>
                <w:color w:val="auto"/>
                <w:sz w:val="20"/>
                <w:szCs w:val="20"/>
                <w:lang w:eastAsia="nl-NL"/>
              </w:rPr>
            </w:pPr>
            <w:r>
              <w:rPr>
                <w:rFonts w:eastAsia="Times New Roman" w:cs="Times New Roman"/>
                <w:color w:val="auto"/>
                <w:sz w:val="20"/>
                <w:szCs w:val="20"/>
                <w:lang w:eastAsia="nl-NL"/>
              </w:rPr>
              <w:t>Ertsen (ijzererts, etc.)</w:t>
            </w:r>
          </w:p>
        </w:tc>
        <w:tc>
          <w:tcPr>
            <w:tcW w:w="1007" w:type="dxa"/>
            <w:tcBorders>
              <w:top w:val="nil"/>
              <w:bottom w:val="nil"/>
            </w:tcBorders>
          </w:tcPr>
          <w:p w14:paraId="1B6433F0" w14:textId="77777777" w:rsidR="007C2BCD" w:rsidRPr="0079464C" w:rsidRDefault="007C2BCD" w:rsidP="00A95ABC">
            <w:pPr>
              <w:pStyle w:val="tabelNummers"/>
            </w:pPr>
            <w:r>
              <w:t>0,3</w:t>
            </w:r>
          </w:p>
        </w:tc>
        <w:tc>
          <w:tcPr>
            <w:tcW w:w="1007" w:type="dxa"/>
            <w:tcBorders>
              <w:top w:val="nil"/>
              <w:bottom w:val="nil"/>
            </w:tcBorders>
          </w:tcPr>
          <w:p w14:paraId="6E2938C7" w14:textId="77777777" w:rsidR="007C2BCD" w:rsidRPr="0079464C" w:rsidRDefault="007C2BCD" w:rsidP="00A95ABC">
            <w:pPr>
              <w:pStyle w:val="tabelNummers"/>
            </w:pPr>
            <w:r>
              <w:t>0,7</w:t>
            </w:r>
          </w:p>
        </w:tc>
        <w:tc>
          <w:tcPr>
            <w:tcW w:w="1007" w:type="dxa"/>
            <w:tcBorders>
              <w:top w:val="nil"/>
              <w:bottom w:val="nil"/>
            </w:tcBorders>
          </w:tcPr>
          <w:p w14:paraId="3E742C25" w14:textId="77777777" w:rsidR="007C2BCD" w:rsidRPr="0079464C" w:rsidRDefault="007C2BCD" w:rsidP="00A95ABC">
            <w:pPr>
              <w:pStyle w:val="tabelNummers"/>
            </w:pPr>
            <w:r>
              <w:t>30,8</w:t>
            </w:r>
          </w:p>
        </w:tc>
        <w:tc>
          <w:tcPr>
            <w:tcW w:w="1007" w:type="dxa"/>
            <w:tcBorders>
              <w:top w:val="nil"/>
              <w:bottom w:val="nil"/>
            </w:tcBorders>
          </w:tcPr>
          <w:p w14:paraId="09CE590B" w14:textId="77777777" w:rsidR="007C2BCD" w:rsidRPr="0079464C" w:rsidRDefault="007C2BCD" w:rsidP="00A95ABC">
            <w:pPr>
              <w:pStyle w:val="tabelNummers"/>
            </w:pPr>
            <w:r>
              <w:t>37,7</w:t>
            </w:r>
          </w:p>
        </w:tc>
        <w:tc>
          <w:tcPr>
            <w:tcW w:w="1007" w:type="dxa"/>
            <w:tcBorders>
              <w:top w:val="nil"/>
              <w:bottom w:val="nil"/>
            </w:tcBorders>
          </w:tcPr>
          <w:p w14:paraId="4C3AA70E" w14:textId="77777777" w:rsidR="007C2BCD" w:rsidRPr="0079464C" w:rsidRDefault="007C2BCD" w:rsidP="00A95ABC">
            <w:pPr>
              <w:pStyle w:val="tabelNummers"/>
            </w:pPr>
            <w:r>
              <w:t>31,1</w:t>
            </w:r>
          </w:p>
        </w:tc>
        <w:tc>
          <w:tcPr>
            <w:tcW w:w="1007" w:type="dxa"/>
            <w:tcBorders>
              <w:top w:val="nil"/>
              <w:bottom w:val="nil"/>
            </w:tcBorders>
          </w:tcPr>
          <w:p w14:paraId="01279670" w14:textId="77777777" w:rsidR="007C2BCD" w:rsidRPr="0079464C" w:rsidRDefault="007C2BCD" w:rsidP="00A95ABC">
            <w:pPr>
              <w:pStyle w:val="tabelNummers"/>
            </w:pPr>
            <w:r>
              <w:t>24,9</w:t>
            </w:r>
          </w:p>
        </w:tc>
      </w:tr>
      <w:tr w:rsidR="00374FE4" w14:paraId="72C497FC" w14:textId="77777777" w:rsidTr="000D2FB8">
        <w:tc>
          <w:tcPr>
            <w:tcW w:w="3020" w:type="dxa"/>
            <w:tcBorders>
              <w:top w:val="nil"/>
              <w:bottom w:val="nil"/>
            </w:tcBorders>
          </w:tcPr>
          <w:p w14:paraId="5ED927E4" w14:textId="77777777" w:rsidR="007C2BCD" w:rsidRPr="0079464C" w:rsidRDefault="007C2BCD" w:rsidP="000D2FB8">
            <w:pPr>
              <w:jc w:val="left"/>
              <w:rPr>
                <w:rFonts w:eastAsia="Times New Roman" w:cs="Times New Roman"/>
                <w:color w:val="auto"/>
                <w:sz w:val="20"/>
                <w:szCs w:val="20"/>
                <w:lang w:eastAsia="nl-NL"/>
              </w:rPr>
            </w:pPr>
            <w:r>
              <w:rPr>
                <w:rFonts w:eastAsia="Times New Roman" w:cs="Times New Roman"/>
                <w:color w:val="auto"/>
                <w:sz w:val="20"/>
                <w:szCs w:val="20"/>
                <w:lang w:eastAsia="nl-NL"/>
              </w:rPr>
              <w:t>Vloeibare brandstoffen</w:t>
            </w:r>
          </w:p>
        </w:tc>
        <w:tc>
          <w:tcPr>
            <w:tcW w:w="1007" w:type="dxa"/>
            <w:tcBorders>
              <w:top w:val="nil"/>
              <w:bottom w:val="nil"/>
            </w:tcBorders>
          </w:tcPr>
          <w:p w14:paraId="4BDC306B" w14:textId="77777777" w:rsidR="007C2BCD" w:rsidRPr="0079464C" w:rsidRDefault="007C2BCD" w:rsidP="00A95ABC">
            <w:pPr>
              <w:pStyle w:val="tabelNummers"/>
            </w:pPr>
            <w:r>
              <w:t>1,3</w:t>
            </w:r>
          </w:p>
        </w:tc>
        <w:tc>
          <w:tcPr>
            <w:tcW w:w="1007" w:type="dxa"/>
            <w:tcBorders>
              <w:top w:val="nil"/>
              <w:bottom w:val="nil"/>
            </w:tcBorders>
          </w:tcPr>
          <w:p w14:paraId="593A4380" w14:textId="77777777" w:rsidR="007C2BCD" w:rsidRPr="0079464C" w:rsidRDefault="007C2BCD" w:rsidP="00A95ABC">
            <w:pPr>
              <w:pStyle w:val="tabelNummers"/>
            </w:pPr>
            <w:r>
              <w:t>3,0</w:t>
            </w:r>
          </w:p>
        </w:tc>
        <w:tc>
          <w:tcPr>
            <w:tcW w:w="1007" w:type="dxa"/>
            <w:tcBorders>
              <w:top w:val="nil"/>
              <w:bottom w:val="nil"/>
            </w:tcBorders>
          </w:tcPr>
          <w:p w14:paraId="2B3C5C0B" w14:textId="77777777" w:rsidR="007C2BCD" w:rsidRPr="0079464C" w:rsidRDefault="007C2BCD" w:rsidP="00A95ABC">
            <w:pPr>
              <w:pStyle w:val="tabelNummers"/>
            </w:pPr>
            <w:r>
              <w:t>13,7</w:t>
            </w:r>
          </w:p>
        </w:tc>
        <w:tc>
          <w:tcPr>
            <w:tcW w:w="1007" w:type="dxa"/>
            <w:tcBorders>
              <w:top w:val="nil"/>
              <w:bottom w:val="nil"/>
            </w:tcBorders>
          </w:tcPr>
          <w:p w14:paraId="45A3E3F8" w14:textId="77777777" w:rsidR="007C2BCD" w:rsidRPr="0079464C" w:rsidRDefault="007C2BCD" w:rsidP="00A95ABC">
            <w:pPr>
              <w:pStyle w:val="tabelNummers"/>
            </w:pPr>
            <w:r>
              <w:t>16,5</w:t>
            </w:r>
          </w:p>
        </w:tc>
        <w:tc>
          <w:tcPr>
            <w:tcW w:w="1007" w:type="dxa"/>
            <w:tcBorders>
              <w:top w:val="nil"/>
              <w:bottom w:val="nil"/>
            </w:tcBorders>
          </w:tcPr>
          <w:p w14:paraId="3B6D6FFE" w14:textId="77777777" w:rsidR="007C2BCD" w:rsidRPr="0079464C" w:rsidRDefault="007C2BCD" w:rsidP="00A95ABC">
            <w:pPr>
              <w:pStyle w:val="tabelNummers"/>
            </w:pPr>
            <w:r>
              <w:t>15,0</w:t>
            </w:r>
          </w:p>
        </w:tc>
        <w:tc>
          <w:tcPr>
            <w:tcW w:w="1007" w:type="dxa"/>
            <w:tcBorders>
              <w:top w:val="nil"/>
              <w:bottom w:val="nil"/>
            </w:tcBorders>
          </w:tcPr>
          <w:p w14:paraId="706E4760" w14:textId="77777777" w:rsidR="007C2BCD" w:rsidRPr="0079464C" w:rsidRDefault="007C2BCD" w:rsidP="00A95ABC">
            <w:pPr>
              <w:pStyle w:val="tabelNummers"/>
            </w:pPr>
            <w:r>
              <w:t>12,0</w:t>
            </w:r>
          </w:p>
        </w:tc>
      </w:tr>
      <w:tr w:rsidR="00374FE4" w14:paraId="239C9A9A" w14:textId="77777777" w:rsidTr="000D2FB8">
        <w:tc>
          <w:tcPr>
            <w:tcW w:w="3020" w:type="dxa"/>
            <w:tcBorders>
              <w:top w:val="nil"/>
              <w:bottom w:val="nil"/>
            </w:tcBorders>
          </w:tcPr>
          <w:p w14:paraId="2CD29CBE" w14:textId="77777777" w:rsidR="007C2BCD" w:rsidRPr="0079464C" w:rsidRDefault="007C2BCD" w:rsidP="000D2FB8">
            <w:pPr>
              <w:jc w:val="left"/>
              <w:rPr>
                <w:rFonts w:eastAsia="Times New Roman" w:cs="Times New Roman"/>
                <w:color w:val="auto"/>
                <w:sz w:val="20"/>
                <w:szCs w:val="20"/>
                <w:lang w:eastAsia="nl-NL"/>
              </w:rPr>
            </w:pPr>
            <w:r>
              <w:rPr>
                <w:rFonts w:eastAsia="Times New Roman" w:cs="Times New Roman"/>
                <w:color w:val="auto"/>
                <w:sz w:val="20"/>
                <w:szCs w:val="20"/>
                <w:lang w:eastAsia="nl-NL"/>
              </w:rPr>
              <w:t xml:space="preserve">Vaste brandstoffen </w:t>
            </w:r>
          </w:p>
        </w:tc>
        <w:tc>
          <w:tcPr>
            <w:tcW w:w="1007" w:type="dxa"/>
            <w:tcBorders>
              <w:top w:val="nil"/>
              <w:bottom w:val="nil"/>
            </w:tcBorders>
          </w:tcPr>
          <w:p w14:paraId="26D3E0D1" w14:textId="77777777" w:rsidR="007C2BCD" w:rsidRPr="0079464C" w:rsidRDefault="007C2BCD" w:rsidP="00A95ABC">
            <w:pPr>
              <w:pStyle w:val="tabelNummers"/>
            </w:pPr>
            <w:r>
              <w:t>5,1</w:t>
            </w:r>
          </w:p>
        </w:tc>
        <w:tc>
          <w:tcPr>
            <w:tcW w:w="1007" w:type="dxa"/>
            <w:tcBorders>
              <w:top w:val="nil"/>
              <w:bottom w:val="nil"/>
            </w:tcBorders>
          </w:tcPr>
          <w:p w14:paraId="296489D2" w14:textId="77777777" w:rsidR="007C2BCD" w:rsidRPr="0079464C" w:rsidRDefault="007C2BCD" w:rsidP="00A95ABC">
            <w:pPr>
              <w:pStyle w:val="tabelNummers"/>
            </w:pPr>
            <w:r>
              <w:t>11,9</w:t>
            </w:r>
          </w:p>
        </w:tc>
        <w:tc>
          <w:tcPr>
            <w:tcW w:w="1007" w:type="dxa"/>
            <w:tcBorders>
              <w:top w:val="nil"/>
              <w:bottom w:val="nil"/>
            </w:tcBorders>
          </w:tcPr>
          <w:p w14:paraId="1107F33E" w14:textId="77777777" w:rsidR="007C2BCD" w:rsidRPr="0079464C" w:rsidRDefault="007C2BCD" w:rsidP="00A95ABC">
            <w:pPr>
              <w:pStyle w:val="tabelNummers"/>
            </w:pPr>
            <w:r>
              <w:t>4,1</w:t>
            </w:r>
          </w:p>
        </w:tc>
        <w:tc>
          <w:tcPr>
            <w:tcW w:w="1007" w:type="dxa"/>
            <w:tcBorders>
              <w:top w:val="nil"/>
              <w:bottom w:val="nil"/>
            </w:tcBorders>
          </w:tcPr>
          <w:p w14:paraId="790B3C9B" w14:textId="77777777" w:rsidR="007C2BCD" w:rsidRPr="0079464C" w:rsidRDefault="007C2BCD" w:rsidP="00A95ABC">
            <w:pPr>
              <w:pStyle w:val="tabelNummers"/>
            </w:pPr>
            <w:r>
              <w:t>5,0</w:t>
            </w:r>
          </w:p>
        </w:tc>
        <w:tc>
          <w:tcPr>
            <w:tcW w:w="1007" w:type="dxa"/>
            <w:tcBorders>
              <w:top w:val="nil"/>
              <w:bottom w:val="nil"/>
            </w:tcBorders>
          </w:tcPr>
          <w:p w14:paraId="3F20F128" w14:textId="77777777" w:rsidR="007C2BCD" w:rsidRPr="0079464C" w:rsidRDefault="007C2BCD" w:rsidP="00A95ABC">
            <w:pPr>
              <w:pStyle w:val="tabelNummers"/>
            </w:pPr>
            <w:r>
              <w:t>9,2</w:t>
            </w:r>
          </w:p>
        </w:tc>
        <w:tc>
          <w:tcPr>
            <w:tcW w:w="1007" w:type="dxa"/>
            <w:tcBorders>
              <w:top w:val="nil"/>
              <w:bottom w:val="nil"/>
            </w:tcBorders>
          </w:tcPr>
          <w:p w14:paraId="6DD06644" w14:textId="77777777" w:rsidR="007C2BCD" w:rsidRPr="0079464C" w:rsidRDefault="007C2BCD" w:rsidP="00A95ABC">
            <w:pPr>
              <w:pStyle w:val="tabelNummers"/>
            </w:pPr>
            <w:r>
              <w:t>7,4</w:t>
            </w:r>
          </w:p>
        </w:tc>
      </w:tr>
      <w:tr w:rsidR="00374FE4" w14:paraId="0D59E747" w14:textId="77777777" w:rsidTr="000D2FB8">
        <w:tc>
          <w:tcPr>
            <w:tcW w:w="3020" w:type="dxa"/>
            <w:tcBorders>
              <w:top w:val="nil"/>
              <w:bottom w:val="nil"/>
            </w:tcBorders>
          </w:tcPr>
          <w:p w14:paraId="11793E4E" w14:textId="77777777" w:rsidR="007C2BCD" w:rsidRPr="0079464C" w:rsidRDefault="007C2BCD" w:rsidP="000D2FB8">
            <w:pPr>
              <w:jc w:val="left"/>
              <w:rPr>
                <w:rFonts w:eastAsia="Times New Roman" w:cs="Times New Roman"/>
                <w:color w:val="auto"/>
                <w:sz w:val="20"/>
                <w:szCs w:val="20"/>
                <w:lang w:eastAsia="nl-NL"/>
              </w:rPr>
            </w:pPr>
            <w:r>
              <w:rPr>
                <w:rFonts w:eastAsia="Times New Roman" w:cs="Times New Roman"/>
                <w:color w:val="auto"/>
                <w:sz w:val="20"/>
                <w:szCs w:val="20"/>
                <w:lang w:eastAsia="nl-NL"/>
              </w:rPr>
              <w:t>Voedingsmiddelen, veevoer</w:t>
            </w:r>
          </w:p>
        </w:tc>
        <w:tc>
          <w:tcPr>
            <w:tcW w:w="1007" w:type="dxa"/>
            <w:tcBorders>
              <w:top w:val="nil"/>
              <w:bottom w:val="nil"/>
            </w:tcBorders>
          </w:tcPr>
          <w:p w14:paraId="7357F0B4" w14:textId="77777777" w:rsidR="007C2BCD" w:rsidRPr="0079464C" w:rsidRDefault="007C2BCD" w:rsidP="00A95ABC">
            <w:pPr>
              <w:pStyle w:val="tabelNummers"/>
            </w:pPr>
            <w:r>
              <w:t>1,1</w:t>
            </w:r>
          </w:p>
        </w:tc>
        <w:tc>
          <w:tcPr>
            <w:tcW w:w="1007" w:type="dxa"/>
            <w:tcBorders>
              <w:top w:val="nil"/>
              <w:bottom w:val="nil"/>
            </w:tcBorders>
          </w:tcPr>
          <w:p w14:paraId="0FBA1657" w14:textId="77777777" w:rsidR="007C2BCD" w:rsidRPr="0079464C" w:rsidRDefault="007C2BCD" w:rsidP="00A95ABC">
            <w:pPr>
              <w:pStyle w:val="tabelNummers"/>
            </w:pPr>
            <w:r>
              <w:t>2,6</w:t>
            </w:r>
          </w:p>
        </w:tc>
        <w:tc>
          <w:tcPr>
            <w:tcW w:w="1007" w:type="dxa"/>
            <w:tcBorders>
              <w:top w:val="nil"/>
              <w:bottom w:val="nil"/>
            </w:tcBorders>
          </w:tcPr>
          <w:p w14:paraId="70F7BF46" w14:textId="77777777" w:rsidR="007C2BCD" w:rsidRPr="0079464C" w:rsidRDefault="007C2BCD" w:rsidP="00A95ABC">
            <w:pPr>
              <w:pStyle w:val="tabelNummers"/>
            </w:pPr>
            <w:r>
              <w:t>4,7</w:t>
            </w:r>
          </w:p>
        </w:tc>
        <w:tc>
          <w:tcPr>
            <w:tcW w:w="1007" w:type="dxa"/>
            <w:tcBorders>
              <w:top w:val="nil"/>
              <w:bottom w:val="nil"/>
            </w:tcBorders>
          </w:tcPr>
          <w:p w14:paraId="6B71DF0E" w14:textId="77777777" w:rsidR="007C2BCD" w:rsidRPr="0079464C" w:rsidRDefault="007C2BCD" w:rsidP="00A95ABC">
            <w:pPr>
              <w:pStyle w:val="tabelNummers"/>
            </w:pPr>
            <w:r>
              <w:t>5,8</w:t>
            </w:r>
          </w:p>
        </w:tc>
        <w:tc>
          <w:tcPr>
            <w:tcW w:w="1007" w:type="dxa"/>
            <w:tcBorders>
              <w:top w:val="nil"/>
              <w:bottom w:val="nil"/>
            </w:tcBorders>
          </w:tcPr>
          <w:p w14:paraId="0A871B65" w14:textId="77777777" w:rsidR="007C2BCD" w:rsidRPr="0079464C" w:rsidRDefault="007C2BCD" w:rsidP="00A95ABC">
            <w:pPr>
              <w:pStyle w:val="tabelNummers"/>
            </w:pPr>
            <w:r>
              <w:t>5,8</w:t>
            </w:r>
          </w:p>
        </w:tc>
        <w:tc>
          <w:tcPr>
            <w:tcW w:w="1007" w:type="dxa"/>
            <w:tcBorders>
              <w:top w:val="nil"/>
              <w:bottom w:val="nil"/>
            </w:tcBorders>
          </w:tcPr>
          <w:p w14:paraId="7C32962E" w14:textId="77777777" w:rsidR="007C2BCD" w:rsidRPr="0079464C" w:rsidRDefault="007C2BCD" w:rsidP="00A95ABC">
            <w:pPr>
              <w:pStyle w:val="tabelNummers"/>
            </w:pPr>
            <w:r>
              <w:t>4,7</w:t>
            </w:r>
          </w:p>
        </w:tc>
      </w:tr>
      <w:tr w:rsidR="00374FE4" w14:paraId="28D0BD65" w14:textId="77777777" w:rsidTr="000D2FB8">
        <w:tc>
          <w:tcPr>
            <w:tcW w:w="3020" w:type="dxa"/>
            <w:tcBorders>
              <w:top w:val="nil"/>
              <w:bottom w:val="nil"/>
            </w:tcBorders>
          </w:tcPr>
          <w:p w14:paraId="289B40A8" w14:textId="77777777" w:rsidR="007C2BCD" w:rsidRPr="0079464C" w:rsidRDefault="007C2BCD" w:rsidP="000D2FB8">
            <w:pPr>
              <w:jc w:val="left"/>
              <w:rPr>
                <w:rFonts w:eastAsia="Times New Roman" w:cs="Times New Roman"/>
                <w:color w:val="auto"/>
                <w:sz w:val="20"/>
                <w:szCs w:val="20"/>
                <w:lang w:eastAsia="nl-NL"/>
              </w:rPr>
            </w:pPr>
            <w:r>
              <w:rPr>
                <w:rFonts w:eastAsia="Times New Roman" w:cs="Times New Roman"/>
                <w:color w:val="auto"/>
                <w:sz w:val="20"/>
                <w:szCs w:val="20"/>
                <w:lang w:eastAsia="nl-NL"/>
              </w:rPr>
              <w:t>Landbouwproducten</w:t>
            </w:r>
          </w:p>
        </w:tc>
        <w:tc>
          <w:tcPr>
            <w:tcW w:w="1007" w:type="dxa"/>
            <w:tcBorders>
              <w:top w:val="nil"/>
              <w:bottom w:val="nil"/>
            </w:tcBorders>
          </w:tcPr>
          <w:p w14:paraId="670C24A0" w14:textId="77777777" w:rsidR="007C2BCD" w:rsidRPr="0079464C" w:rsidRDefault="007C2BCD" w:rsidP="00A95ABC">
            <w:pPr>
              <w:pStyle w:val="tabelNummers"/>
            </w:pPr>
            <w:r>
              <w:t>1,6</w:t>
            </w:r>
          </w:p>
        </w:tc>
        <w:tc>
          <w:tcPr>
            <w:tcW w:w="1007" w:type="dxa"/>
            <w:tcBorders>
              <w:top w:val="nil"/>
              <w:bottom w:val="nil"/>
            </w:tcBorders>
          </w:tcPr>
          <w:p w14:paraId="57E605C9" w14:textId="77777777" w:rsidR="007C2BCD" w:rsidRPr="0079464C" w:rsidRDefault="007C2BCD" w:rsidP="00A95ABC">
            <w:pPr>
              <w:pStyle w:val="tabelNummers"/>
            </w:pPr>
            <w:r>
              <w:t>3,7</w:t>
            </w:r>
          </w:p>
        </w:tc>
        <w:tc>
          <w:tcPr>
            <w:tcW w:w="1007" w:type="dxa"/>
            <w:tcBorders>
              <w:top w:val="nil"/>
              <w:bottom w:val="nil"/>
            </w:tcBorders>
          </w:tcPr>
          <w:p w14:paraId="2E78CCEF" w14:textId="77777777" w:rsidR="007C2BCD" w:rsidRPr="0079464C" w:rsidRDefault="007C2BCD" w:rsidP="00A95ABC">
            <w:pPr>
              <w:pStyle w:val="tabelNummers"/>
            </w:pPr>
            <w:r>
              <w:t>3,5</w:t>
            </w:r>
          </w:p>
        </w:tc>
        <w:tc>
          <w:tcPr>
            <w:tcW w:w="1007" w:type="dxa"/>
            <w:tcBorders>
              <w:top w:val="nil"/>
              <w:bottom w:val="nil"/>
            </w:tcBorders>
          </w:tcPr>
          <w:p w14:paraId="6B5AA94A" w14:textId="77777777" w:rsidR="007C2BCD" w:rsidRPr="0079464C" w:rsidRDefault="007C2BCD" w:rsidP="00A95ABC">
            <w:pPr>
              <w:pStyle w:val="tabelNummers"/>
            </w:pPr>
            <w:r>
              <w:t>4,3</w:t>
            </w:r>
          </w:p>
        </w:tc>
        <w:tc>
          <w:tcPr>
            <w:tcW w:w="1007" w:type="dxa"/>
            <w:tcBorders>
              <w:top w:val="nil"/>
              <w:bottom w:val="nil"/>
            </w:tcBorders>
          </w:tcPr>
          <w:p w14:paraId="101D6C21" w14:textId="77777777" w:rsidR="007C2BCD" w:rsidRPr="0079464C" w:rsidRDefault="007C2BCD" w:rsidP="00A95ABC">
            <w:pPr>
              <w:pStyle w:val="tabelNummers"/>
            </w:pPr>
            <w:r>
              <w:t>5,1</w:t>
            </w:r>
          </w:p>
        </w:tc>
        <w:tc>
          <w:tcPr>
            <w:tcW w:w="1007" w:type="dxa"/>
            <w:tcBorders>
              <w:top w:val="nil"/>
              <w:bottom w:val="nil"/>
            </w:tcBorders>
          </w:tcPr>
          <w:p w14:paraId="53C9E55C" w14:textId="77777777" w:rsidR="007C2BCD" w:rsidRPr="0079464C" w:rsidRDefault="007C2BCD" w:rsidP="00A95ABC">
            <w:pPr>
              <w:pStyle w:val="tabelNummers"/>
            </w:pPr>
            <w:r>
              <w:t>4,1</w:t>
            </w:r>
          </w:p>
        </w:tc>
      </w:tr>
      <w:tr w:rsidR="00374FE4" w14:paraId="3017E6C1" w14:textId="77777777" w:rsidTr="000D2FB8">
        <w:tc>
          <w:tcPr>
            <w:tcW w:w="3020" w:type="dxa"/>
            <w:tcBorders>
              <w:top w:val="nil"/>
              <w:bottom w:val="nil"/>
            </w:tcBorders>
          </w:tcPr>
          <w:p w14:paraId="1BE1F0A0" w14:textId="77777777" w:rsidR="007C2BCD" w:rsidRPr="0079464C" w:rsidRDefault="007C2BCD" w:rsidP="000D2FB8">
            <w:pPr>
              <w:jc w:val="left"/>
              <w:rPr>
                <w:rFonts w:eastAsia="Times New Roman" w:cs="Times New Roman"/>
                <w:color w:val="auto"/>
                <w:sz w:val="20"/>
                <w:szCs w:val="20"/>
                <w:lang w:eastAsia="nl-NL"/>
              </w:rPr>
            </w:pPr>
            <w:r>
              <w:rPr>
                <w:rFonts w:eastAsia="Times New Roman" w:cs="Times New Roman"/>
                <w:color w:val="auto"/>
                <w:sz w:val="20"/>
                <w:szCs w:val="20"/>
                <w:lang w:eastAsia="nl-NL"/>
              </w:rPr>
              <w:t>Chemische producten</w:t>
            </w:r>
          </w:p>
        </w:tc>
        <w:tc>
          <w:tcPr>
            <w:tcW w:w="1007" w:type="dxa"/>
            <w:tcBorders>
              <w:top w:val="nil"/>
              <w:bottom w:val="nil"/>
            </w:tcBorders>
          </w:tcPr>
          <w:p w14:paraId="45D8E578" w14:textId="77777777" w:rsidR="007C2BCD" w:rsidRPr="0079464C" w:rsidRDefault="007C2BCD" w:rsidP="00A95ABC">
            <w:pPr>
              <w:pStyle w:val="tabelNummers"/>
            </w:pPr>
            <w:r>
              <w:t>2,0</w:t>
            </w:r>
          </w:p>
        </w:tc>
        <w:tc>
          <w:tcPr>
            <w:tcW w:w="1007" w:type="dxa"/>
            <w:tcBorders>
              <w:top w:val="nil"/>
              <w:bottom w:val="nil"/>
            </w:tcBorders>
          </w:tcPr>
          <w:p w14:paraId="2CE8010A" w14:textId="77777777" w:rsidR="007C2BCD" w:rsidRPr="0079464C" w:rsidRDefault="007C2BCD" w:rsidP="00A95ABC">
            <w:pPr>
              <w:pStyle w:val="tabelNummers"/>
            </w:pPr>
            <w:r>
              <w:t>4,7</w:t>
            </w:r>
          </w:p>
        </w:tc>
        <w:tc>
          <w:tcPr>
            <w:tcW w:w="1007" w:type="dxa"/>
            <w:tcBorders>
              <w:top w:val="nil"/>
              <w:bottom w:val="nil"/>
            </w:tcBorders>
          </w:tcPr>
          <w:p w14:paraId="5B7CAB4E" w14:textId="77777777" w:rsidR="007C2BCD" w:rsidRPr="0079464C" w:rsidRDefault="007C2BCD" w:rsidP="00A95ABC">
            <w:pPr>
              <w:pStyle w:val="tabelNummers"/>
            </w:pPr>
            <w:r>
              <w:t>3,0</w:t>
            </w:r>
          </w:p>
        </w:tc>
        <w:tc>
          <w:tcPr>
            <w:tcW w:w="1007" w:type="dxa"/>
            <w:tcBorders>
              <w:top w:val="nil"/>
              <w:bottom w:val="nil"/>
            </w:tcBorders>
          </w:tcPr>
          <w:p w14:paraId="58C4C4E6" w14:textId="77777777" w:rsidR="007C2BCD" w:rsidRPr="0079464C" w:rsidRDefault="007C2BCD" w:rsidP="00A95ABC">
            <w:pPr>
              <w:pStyle w:val="tabelNummers"/>
            </w:pPr>
            <w:r>
              <w:t>3,7</w:t>
            </w:r>
          </w:p>
        </w:tc>
        <w:tc>
          <w:tcPr>
            <w:tcW w:w="1007" w:type="dxa"/>
            <w:tcBorders>
              <w:top w:val="nil"/>
              <w:bottom w:val="nil"/>
            </w:tcBorders>
          </w:tcPr>
          <w:p w14:paraId="0FC2852C" w14:textId="77777777" w:rsidR="007C2BCD" w:rsidRPr="0079464C" w:rsidRDefault="007C2BCD" w:rsidP="00A95ABC">
            <w:pPr>
              <w:pStyle w:val="tabelNummers"/>
            </w:pPr>
            <w:r>
              <w:t>5,0</w:t>
            </w:r>
          </w:p>
        </w:tc>
        <w:tc>
          <w:tcPr>
            <w:tcW w:w="1007" w:type="dxa"/>
            <w:tcBorders>
              <w:top w:val="nil"/>
              <w:bottom w:val="nil"/>
            </w:tcBorders>
          </w:tcPr>
          <w:p w14:paraId="347BA5C1" w14:textId="77777777" w:rsidR="007C2BCD" w:rsidRPr="0079464C" w:rsidRDefault="007C2BCD" w:rsidP="00A95ABC">
            <w:pPr>
              <w:pStyle w:val="tabelNummers"/>
            </w:pPr>
            <w:r>
              <w:t>4,0</w:t>
            </w:r>
          </w:p>
        </w:tc>
      </w:tr>
      <w:tr w:rsidR="00374FE4" w14:paraId="008FF643" w14:textId="77777777" w:rsidTr="000D2FB8">
        <w:tc>
          <w:tcPr>
            <w:tcW w:w="3020" w:type="dxa"/>
            <w:tcBorders>
              <w:top w:val="nil"/>
              <w:bottom w:val="nil"/>
            </w:tcBorders>
          </w:tcPr>
          <w:p w14:paraId="418ACDF7" w14:textId="77777777" w:rsidR="007C2BCD" w:rsidRPr="0079464C" w:rsidRDefault="007C2BCD" w:rsidP="000D2FB8">
            <w:pPr>
              <w:jc w:val="left"/>
              <w:rPr>
                <w:rFonts w:eastAsia="Times New Roman" w:cs="Times New Roman"/>
                <w:color w:val="auto"/>
                <w:sz w:val="20"/>
                <w:szCs w:val="20"/>
                <w:lang w:eastAsia="nl-NL"/>
              </w:rPr>
            </w:pPr>
            <w:r>
              <w:rPr>
                <w:rFonts w:eastAsia="Times New Roman" w:cs="Times New Roman"/>
                <w:color w:val="auto"/>
                <w:sz w:val="20"/>
                <w:szCs w:val="20"/>
                <w:lang w:eastAsia="nl-NL"/>
              </w:rPr>
              <w:t>Metalen, halffabricaten</w:t>
            </w:r>
          </w:p>
        </w:tc>
        <w:tc>
          <w:tcPr>
            <w:tcW w:w="1007" w:type="dxa"/>
            <w:tcBorders>
              <w:top w:val="nil"/>
              <w:bottom w:val="nil"/>
            </w:tcBorders>
          </w:tcPr>
          <w:p w14:paraId="050C530D" w14:textId="77777777" w:rsidR="007C2BCD" w:rsidRPr="0079464C" w:rsidRDefault="007C2BCD" w:rsidP="00A95ABC">
            <w:pPr>
              <w:pStyle w:val="tabelNummers"/>
            </w:pPr>
            <w:r>
              <w:t>2,8</w:t>
            </w:r>
          </w:p>
        </w:tc>
        <w:tc>
          <w:tcPr>
            <w:tcW w:w="1007" w:type="dxa"/>
            <w:tcBorders>
              <w:top w:val="nil"/>
              <w:bottom w:val="nil"/>
            </w:tcBorders>
          </w:tcPr>
          <w:p w14:paraId="44DAD6CA" w14:textId="77777777" w:rsidR="007C2BCD" w:rsidRPr="0079464C" w:rsidRDefault="007C2BCD" w:rsidP="00A95ABC">
            <w:pPr>
              <w:pStyle w:val="tabelNummers"/>
            </w:pPr>
            <w:r>
              <w:t>6,5</w:t>
            </w:r>
          </w:p>
        </w:tc>
        <w:tc>
          <w:tcPr>
            <w:tcW w:w="1007" w:type="dxa"/>
            <w:tcBorders>
              <w:top w:val="nil"/>
              <w:bottom w:val="nil"/>
            </w:tcBorders>
          </w:tcPr>
          <w:p w14:paraId="1A6EDEA6" w14:textId="77777777" w:rsidR="007C2BCD" w:rsidRPr="0079464C" w:rsidRDefault="007C2BCD" w:rsidP="00A95ABC">
            <w:pPr>
              <w:pStyle w:val="tabelNummers"/>
            </w:pPr>
            <w:r>
              <w:t>2,2</w:t>
            </w:r>
          </w:p>
        </w:tc>
        <w:tc>
          <w:tcPr>
            <w:tcW w:w="1007" w:type="dxa"/>
            <w:tcBorders>
              <w:top w:val="nil"/>
              <w:bottom w:val="nil"/>
            </w:tcBorders>
          </w:tcPr>
          <w:p w14:paraId="2A6042EC" w14:textId="77777777" w:rsidR="007C2BCD" w:rsidRPr="0079464C" w:rsidRDefault="007C2BCD" w:rsidP="00A95ABC">
            <w:pPr>
              <w:pStyle w:val="tabelNummers"/>
            </w:pPr>
            <w:r>
              <w:t>2,7</w:t>
            </w:r>
          </w:p>
        </w:tc>
        <w:tc>
          <w:tcPr>
            <w:tcW w:w="1007" w:type="dxa"/>
            <w:tcBorders>
              <w:top w:val="nil"/>
              <w:bottom w:val="nil"/>
            </w:tcBorders>
          </w:tcPr>
          <w:p w14:paraId="49F42F8D" w14:textId="77777777" w:rsidR="007C2BCD" w:rsidRPr="0079464C" w:rsidRDefault="007C2BCD" w:rsidP="00A95ABC">
            <w:pPr>
              <w:pStyle w:val="tabelNummers"/>
            </w:pPr>
            <w:r>
              <w:t>5,0</w:t>
            </w:r>
          </w:p>
        </w:tc>
        <w:tc>
          <w:tcPr>
            <w:tcW w:w="1007" w:type="dxa"/>
            <w:tcBorders>
              <w:top w:val="nil"/>
              <w:bottom w:val="nil"/>
            </w:tcBorders>
          </w:tcPr>
          <w:p w14:paraId="37D10991" w14:textId="77777777" w:rsidR="007C2BCD" w:rsidRPr="0079464C" w:rsidRDefault="007C2BCD" w:rsidP="00A95ABC">
            <w:pPr>
              <w:pStyle w:val="tabelNummers"/>
            </w:pPr>
            <w:r>
              <w:t>4,0</w:t>
            </w:r>
          </w:p>
        </w:tc>
      </w:tr>
      <w:tr w:rsidR="00374FE4" w14:paraId="0B81C471" w14:textId="77777777" w:rsidTr="000D2FB8">
        <w:tc>
          <w:tcPr>
            <w:tcW w:w="3020" w:type="dxa"/>
            <w:tcBorders>
              <w:top w:val="nil"/>
              <w:bottom w:val="nil"/>
            </w:tcBorders>
          </w:tcPr>
          <w:p w14:paraId="75C995FE" w14:textId="77777777" w:rsidR="007C2BCD" w:rsidRPr="0079464C" w:rsidRDefault="007C2BCD" w:rsidP="000D2FB8">
            <w:pPr>
              <w:jc w:val="left"/>
              <w:rPr>
                <w:rFonts w:eastAsia="Times New Roman" w:cs="Times New Roman"/>
                <w:color w:val="auto"/>
                <w:sz w:val="20"/>
                <w:szCs w:val="20"/>
                <w:lang w:eastAsia="nl-NL"/>
              </w:rPr>
            </w:pPr>
            <w:r>
              <w:rPr>
                <w:rFonts w:eastAsia="Times New Roman" w:cs="Times New Roman"/>
                <w:color w:val="auto"/>
                <w:sz w:val="20"/>
                <w:szCs w:val="20"/>
                <w:lang w:eastAsia="nl-NL"/>
              </w:rPr>
              <w:t>Mest</w:t>
            </w:r>
          </w:p>
        </w:tc>
        <w:tc>
          <w:tcPr>
            <w:tcW w:w="1007" w:type="dxa"/>
            <w:tcBorders>
              <w:top w:val="nil"/>
              <w:bottom w:val="nil"/>
            </w:tcBorders>
          </w:tcPr>
          <w:p w14:paraId="518C35BF" w14:textId="77777777" w:rsidR="007C2BCD" w:rsidRPr="0079464C" w:rsidRDefault="007C2BCD" w:rsidP="00A95ABC">
            <w:pPr>
              <w:pStyle w:val="tabelNummers"/>
            </w:pPr>
            <w:r>
              <w:t>0,9</w:t>
            </w:r>
          </w:p>
        </w:tc>
        <w:tc>
          <w:tcPr>
            <w:tcW w:w="1007" w:type="dxa"/>
            <w:tcBorders>
              <w:top w:val="nil"/>
              <w:bottom w:val="nil"/>
            </w:tcBorders>
          </w:tcPr>
          <w:p w14:paraId="0AF6BFA0" w14:textId="77777777" w:rsidR="007C2BCD" w:rsidRPr="0079464C" w:rsidRDefault="007C2BCD" w:rsidP="00A95ABC">
            <w:pPr>
              <w:pStyle w:val="tabelNummers"/>
            </w:pPr>
            <w:r>
              <w:t>2,1</w:t>
            </w:r>
          </w:p>
        </w:tc>
        <w:tc>
          <w:tcPr>
            <w:tcW w:w="1007" w:type="dxa"/>
            <w:tcBorders>
              <w:top w:val="nil"/>
              <w:bottom w:val="nil"/>
            </w:tcBorders>
          </w:tcPr>
          <w:p w14:paraId="37220B6E" w14:textId="77777777" w:rsidR="007C2BCD" w:rsidRPr="0079464C" w:rsidRDefault="007C2BCD" w:rsidP="00A95ABC">
            <w:pPr>
              <w:pStyle w:val="tabelNummers"/>
            </w:pPr>
            <w:r>
              <w:t>3,1</w:t>
            </w:r>
          </w:p>
        </w:tc>
        <w:tc>
          <w:tcPr>
            <w:tcW w:w="1007" w:type="dxa"/>
            <w:tcBorders>
              <w:top w:val="nil"/>
              <w:bottom w:val="nil"/>
            </w:tcBorders>
          </w:tcPr>
          <w:p w14:paraId="301D5E8B" w14:textId="77777777" w:rsidR="007C2BCD" w:rsidRPr="0079464C" w:rsidRDefault="007C2BCD" w:rsidP="00A95ABC">
            <w:pPr>
              <w:pStyle w:val="tabelNummers"/>
            </w:pPr>
            <w:r>
              <w:t>3,8</w:t>
            </w:r>
          </w:p>
        </w:tc>
        <w:tc>
          <w:tcPr>
            <w:tcW w:w="1007" w:type="dxa"/>
            <w:tcBorders>
              <w:top w:val="nil"/>
              <w:bottom w:val="nil"/>
            </w:tcBorders>
          </w:tcPr>
          <w:p w14:paraId="71C0BD54" w14:textId="77777777" w:rsidR="007C2BCD" w:rsidRPr="0079464C" w:rsidRDefault="007C2BCD" w:rsidP="00A95ABC">
            <w:pPr>
              <w:pStyle w:val="tabelNummers"/>
            </w:pPr>
            <w:r>
              <w:t>4,0</w:t>
            </w:r>
          </w:p>
        </w:tc>
        <w:tc>
          <w:tcPr>
            <w:tcW w:w="1007" w:type="dxa"/>
            <w:tcBorders>
              <w:top w:val="nil"/>
              <w:bottom w:val="nil"/>
            </w:tcBorders>
          </w:tcPr>
          <w:p w14:paraId="0A2C409F" w14:textId="77777777" w:rsidR="007C2BCD" w:rsidRPr="0079464C" w:rsidRDefault="007C2BCD" w:rsidP="00A95ABC">
            <w:pPr>
              <w:pStyle w:val="tabelNummers"/>
            </w:pPr>
            <w:r>
              <w:t>3,2</w:t>
            </w:r>
          </w:p>
        </w:tc>
      </w:tr>
      <w:tr w:rsidR="00374FE4" w14:paraId="63009369" w14:textId="77777777" w:rsidTr="000D2FB8">
        <w:tc>
          <w:tcPr>
            <w:tcW w:w="3020" w:type="dxa"/>
            <w:tcBorders>
              <w:top w:val="nil"/>
            </w:tcBorders>
          </w:tcPr>
          <w:p w14:paraId="4B3542E7" w14:textId="77777777" w:rsidR="007C2BCD" w:rsidRPr="0079464C" w:rsidRDefault="007C2BCD" w:rsidP="000D2FB8">
            <w:pPr>
              <w:jc w:val="left"/>
              <w:rPr>
                <w:rFonts w:eastAsia="Times New Roman" w:cs="Times New Roman"/>
                <w:color w:val="auto"/>
                <w:sz w:val="20"/>
                <w:szCs w:val="20"/>
                <w:lang w:eastAsia="nl-NL"/>
              </w:rPr>
            </w:pPr>
            <w:r>
              <w:rPr>
                <w:rFonts w:eastAsia="Times New Roman" w:cs="Times New Roman"/>
                <w:color w:val="auto"/>
                <w:sz w:val="20"/>
                <w:szCs w:val="20"/>
                <w:lang w:eastAsia="nl-NL"/>
              </w:rPr>
              <w:t>Overige</w:t>
            </w:r>
          </w:p>
        </w:tc>
        <w:tc>
          <w:tcPr>
            <w:tcW w:w="1007" w:type="dxa"/>
            <w:tcBorders>
              <w:top w:val="nil"/>
            </w:tcBorders>
          </w:tcPr>
          <w:p w14:paraId="55546684" w14:textId="77777777" w:rsidR="007C2BCD" w:rsidRPr="0079464C" w:rsidRDefault="007C2BCD" w:rsidP="00A95ABC">
            <w:pPr>
              <w:pStyle w:val="tabelNummers"/>
            </w:pPr>
            <w:r>
              <w:t>0,4</w:t>
            </w:r>
          </w:p>
        </w:tc>
        <w:tc>
          <w:tcPr>
            <w:tcW w:w="1007" w:type="dxa"/>
            <w:tcBorders>
              <w:top w:val="nil"/>
            </w:tcBorders>
          </w:tcPr>
          <w:p w14:paraId="21EDC48D" w14:textId="77777777" w:rsidR="007C2BCD" w:rsidRPr="0079464C" w:rsidRDefault="007C2BCD" w:rsidP="00A95ABC">
            <w:pPr>
              <w:pStyle w:val="tabelNummers"/>
            </w:pPr>
            <w:r>
              <w:t>0,9</w:t>
            </w:r>
          </w:p>
        </w:tc>
        <w:tc>
          <w:tcPr>
            <w:tcW w:w="1007" w:type="dxa"/>
            <w:tcBorders>
              <w:top w:val="nil"/>
            </w:tcBorders>
          </w:tcPr>
          <w:p w14:paraId="399A0C98" w14:textId="77777777" w:rsidR="007C2BCD" w:rsidRPr="0079464C" w:rsidRDefault="007C2BCD" w:rsidP="00A95ABC">
            <w:pPr>
              <w:pStyle w:val="tabelNummers"/>
            </w:pPr>
            <w:r>
              <w:t>0,5</w:t>
            </w:r>
          </w:p>
        </w:tc>
        <w:tc>
          <w:tcPr>
            <w:tcW w:w="1007" w:type="dxa"/>
            <w:tcBorders>
              <w:top w:val="nil"/>
            </w:tcBorders>
          </w:tcPr>
          <w:p w14:paraId="65E205F9" w14:textId="77777777" w:rsidR="007C2BCD" w:rsidRPr="0079464C" w:rsidRDefault="007C2BCD" w:rsidP="00A95ABC">
            <w:pPr>
              <w:pStyle w:val="tabelNummers"/>
            </w:pPr>
            <w:r>
              <w:t>0,6</w:t>
            </w:r>
          </w:p>
        </w:tc>
        <w:tc>
          <w:tcPr>
            <w:tcW w:w="1007" w:type="dxa"/>
            <w:tcBorders>
              <w:top w:val="nil"/>
            </w:tcBorders>
          </w:tcPr>
          <w:p w14:paraId="2B0C0ABC" w14:textId="77777777" w:rsidR="007C2BCD" w:rsidRPr="0079464C" w:rsidRDefault="007C2BCD" w:rsidP="00A95ABC">
            <w:pPr>
              <w:pStyle w:val="tabelNummers"/>
            </w:pPr>
            <w:r>
              <w:t>1,0</w:t>
            </w:r>
          </w:p>
        </w:tc>
        <w:tc>
          <w:tcPr>
            <w:tcW w:w="1007" w:type="dxa"/>
            <w:tcBorders>
              <w:top w:val="nil"/>
            </w:tcBorders>
          </w:tcPr>
          <w:p w14:paraId="080489A5" w14:textId="77777777" w:rsidR="007C2BCD" w:rsidRPr="0079464C" w:rsidRDefault="007C2BCD" w:rsidP="00A95ABC">
            <w:pPr>
              <w:pStyle w:val="tabelNummers"/>
            </w:pPr>
            <w:r>
              <w:t>0,8</w:t>
            </w:r>
          </w:p>
        </w:tc>
      </w:tr>
      <w:tr w:rsidR="00374FE4" w14:paraId="078E252C" w14:textId="77777777" w:rsidTr="000D2FB8">
        <w:tc>
          <w:tcPr>
            <w:tcW w:w="3020" w:type="dxa"/>
          </w:tcPr>
          <w:p w14:paraId="60C90DDA" w14:textId="77777777" w:rsidR="007C2BCD" w:rsidRPr="0079464C" w:rsidRDefault="007C2BCD" w:rsidP="000D2FB8">
            <w:pPr>
              <w:jc w:val="center"/>
              <w:rPr>
                <w:rFonts w:eastAsia="Times New Roman" w:cs="Times New Roman"/>
                <w:color w:val="auto"/>
                <w:sz w:val="20"/>
                <w:szCs w:val="20"/>
                <w:lang w:eastAsia="nl-NL"/>
              </w:rPr>
            </w:pPr>
            <w:r>
              <w:rPr>
                <w:rFonts w:eastAsia="Times New Roman" w:cs="Times New Roman"/>
                <w:color w:val="auto"/>
                <w:sz w:val="20"/>
                <w:szCs w:val="20"/>
                <w:lang w:eastAsia="nl-NL"/>
              </w:rPr>
              <w:t>Totaal</w:t>
            </w:r>
          </w:p>
        </w:tc>
        <w:tc>
          <w:tcPr>
            <w:tcW w:w="1007" w:type="dxa"/>
          </w:tcPr>
          <w:p w14:paraId="1C2559C3" w14:textId="77777777" w:rsidR="007C2BCD" w:rsidRPr="0079464C" w:rsidRDefault="007C2BCD" w:rsidP="00A95ABC">
            <w:pPr>
              <w:pStyle w:val="tabelNummers"/>
            </w:pPr>
            <w:r>
              <w:t>43,0</w:t>
            </w:r>
          </w:p>
        </w:tc>
        <w:tc>
          <w:tcPr>
            <w:tcW w:w="1007" w:type="dxa"/>
          </w:tcPr>
          <w:p w14:paraId="5FF14117" w14:textId="77777777" w:rsidR="007C2BCD" w:rsidRPr="0079464C" w:rsidRDefault="007C2BCD" w:rsidP="00A95ABC">
            <w:pPr>
              <w:pStyle w:val="tabelNummers"/>
            </w:pPr>
            <w:r>
              <w:t>100,0</w:t>
            </w:r>
          </w:p>
        </w:tc>
        <w:tc>
          <w:tcPr>
            <w:tcW w:w="1007" w:type="dxa"/>
          </w:tcPr>
          <w:p w14:paraId="455AF27C" w14:textId="77777777" w:rsidR="007C2BCD" w:rsidRPr="0079464C" w:rsidRDefault="007C2BCD" w:rsidP="00A95ABC">
            <w:pPr>
              <w:pStyle w:val="tabelNummers"/>
            </w:pPr>
            <w:r>
              <w:t>81,7</w:t>
            </w:r>
          </w:p>
        </w:tc>
        <w:tc>
          <w:tcPr>
            <w:tcW w:w="1007" w:type="dxa"/>
          </w:tcPr>
          <w:p w14:paraId="4D1564CD" w14:textId="77777777" w:rsidR="007C2BCD" w:rsidRPr="0079464C" w:rsidRDefault="007C2BCD" w:rsidP="00A95ABC">
            <w:pPr>
              <w:pStyle w:val="tabelNummers"/>
            </w:pPr>
            <w:r>
              <w:t>100,0</w:t>
            </w:r>
          </w:p>
        </w:tc>
        <w:tc>
          <w:tcPr>
            <w:tcW w:w="1007" w:type="dxa"/>
          </w:tcPr>
          <w:p w14:paraId="48C8D993" w14:textId="77777777" w:rsidR="007C2BCD" w:rsidRPr="0079464C" w:rsidRDefault="007C2BCD" w:rsidP="00A95ABC">
            <w:pPr>
              <w:pStyle w:val="tabelNummers"/>
            </w:pPr>
            <w:r>
              <w:t>124,7</w:t>
            </w:r>
          </w:p>
        </w:tc>
        <w:tc>
          <w:tcPr>
            <w:tcW w:w="1007" w:type="dxa"/>
          </w:tcPr>
          <w:p w14:paraId="5C4FB2B8" w14:textId="77777777" w:rsidR="007C2BCD" w:rsidRPr="0079464C" w:rsidRDefault="007C2BCD" w:rsidP="00A95ABC">
            <w:pPr>
              <w:pStyle w:val="tabelNummers"/>
            </w:pPr>
            <w:r>
              <w:t>100,0</w:t>
            </w:r>
          </w:p>
        </w:tc>
      </w:tr>
    </w:tbl>
    <w:p w14:paraId="194AF8B2" w14:textId="77777777" w:rsidR="007C2BCD" w:rsidRDefault="007C2BCD" w:rsidP="007C2BCD">
      <w:pPr>
        <w:spacing w:line="240" w:lineRule="auto"/>
        <w:jc w:val="left"/>
        <w:rPr>
          <w:rFonts w:eastAsia="Times New Roman" w:cs="Times New Roman"/>
          <w:color w:val="auto"/>
          <w:szCs w:val="24"/>
          <w:lang w:eastAsia="nl-NL"/>
        </w:rPr>
      </w:pPr>
    </w:p>
    <w:p w14:paraId="6C33816E" w14:textId="79C142ED" w:rsidR="007C2BCD" w:rsidRDefault="001946FB" w:rsidP="007C2BCD">
      <w:pPr>
        <w:spacing w:line="240" w:lineRule="auto"/>
        <w:jc w:val="left"/>
        <w:rPr>
          <w:rFonts w:eastAsia="Times New Roman" w:cs="Times New Roman"/>
          <w:i/>
          <w:iCs/>
          <w:color w:val="auto"/>
          <w:szCs w:val="24"/>
          <w:lang w:eastAsia="nl-NL"/>
        </w:rPr>
      </w:pPr>
      <w:r>
        <w:rPr>
          <w:rFonts w:eastAsia="Times New Roman" w:cs="Times New Roman"/>
          <w:i/>
          <w:iCs/>
          <w:color w:val="auto"/>
          <w:szCs w:val="24"/>
          <w:lang w:eastAsia="nl-NL"/>
        </w:rPr>
        <w:t>Tabel 4:</w:t>
      </w:r>
      <w:r w:rsidR="007C2BCD">
        <w:rPr>
          <w:rFonts w:eastAsia="Times New Roman" w:cs="Times New Roman"/>
          <w:i/>
          <w:iCs/>
          <w:color w:val="auto"/>
          <w:szCs w:val="24"/>
          <w:lang w:eastAsia="nl-NL"/>
        </w:rPr>
        <w:t xml:space="preserve"> Internationaal goederenvervoer per binnenschip in 1970</w:t>
      </w:r>
      <w:r w:rsidR="00CD79EB">
        <w:rPr>
          <w:rFonts w:eastAsia="Times New Roman" w:cs="Times New Roman"/>
          <w:i/>
          <w:iCs/>
          <w:color w:val="auto"/>
          <w:szCs w:val="24"/>
          <w:lang w:eastAsia="nl-NL"/>
        </w:rPr>
        <w:t>.</w:t>
      </w:r>
      <w:r w:rsidR="007C2BCD" w:rsidRPr="00452D06">
        <w:rPr>
          <w:rStyle w:val="EndnoteReference"/>
          <w:rFonts w:eastAsia="Times New Roman" w:cs="Times New Roman"/>
          <w:color w:val="auto"/>
          <w:szCs w:val="24"/>
          <w:lang w:eastAsia="nl-NL"/>
        </w:rPr>
        <w:endnoteReference w:id="28"/>
      </w:r>
    </w:p>
    <w:bookmarkEnd w:id="22"/>
    <w:p w14:paraId="43B35942" w14:textId="77777777" w:rsidR="007C2BCD" w:rsidRDefault="007C2BCD" w:rsidP="00DE08B1">
      <w:pPr>
        <w:jc w:val="left"/>
      </w:pPr>
    </w:p>
    <w:p w14:paraId="09A772A3" w14:textId="3BCB75F2" w:rsidR="008D2A11" w:rsidRDefault="00E435C6" w:rsidP="00DE08B1">
      <w:pPr>
        <w:jc w:val="left"/>
      </w:pPr>
      <w:r>
        <w:t>Tussen 1978 en 1988 volgde een periode van stagnatie, waarbij zowel de Duitse staalindustrie als de Nederlandse bouw grote moeilijkheden ondervonden. Het ertsvervoer en het zand- en grindvervoer liepen terug, terwijl de vloot met grote overcapaciteit kampte.</w:t>
      </w:r>
      <w:r>
        <w:rPr>
          <w:rStyle w:val="EndnoteReference"/>
        </w:rPr>
        <w:endnoteReference w:id="29"/>
      </w:r>
    </w:p>
    <w:p w14:paraId="7B018785" w14:textId="2ECC13D3" w:rsidR="00134C89" w:rsidRPr="003E76FE" w:rsidRDefault="00044C13" w:rsidP="003E76FE">
      <w:pPr>
        <w:ind w:firstLine="708"/>
        <w:jc w:val="left"/>
      </w:pPr>
      <w:r>
        <w:rPr>
          <w:rFonts w:eastAsia="Times New Roman" w:cs="Times New Roman"/>
          <w:color w:val="auto"/>
          <w:szCs w:val="24"/>
          <w:lang w:eastAsia="nl-NL"/>
        </w:rPr>
        <w:t>De volgende periode (1988-</w:t>
      </w:r>
      <w:r w:rsidR="00022714">
        <w:rPr>
          <w:rFonts w:eastAsia="Times New Roman" w:cs="Times New Roman"/>
          <w:color w:val="auto"/>
          <w:szCs w:val="24"/>
          <w:lang w:eastAsia="nl-NL"/>
        </w:rPr>
        <w:t>2022</w:t>
      </w:r>
      <w:r>
        <w:rPr>
          <w:rFonts w:eastAsia="Times New Roman" w:cs="Times New Roman"/>
          <w:color w:val="auto"/>
          <w:szCs w:val="24"/>
          <w:lang w:eastAsia="nl-NL"/>
        </w:rPr>
        <w:t>) kan worden gekenschetst als een tijdvak van diversificatie, containervervoer en langzame groei. Helaas maakt een wijziging in de CBS-vervoers</w:t>
      </w:r>
      <w:r>
        <w:rPr>
          <w:rFonts w:eastAsia="Times New Roman" w:cs="Times New Roman"/>
          <w:color w:val="auto"/>
          <w:szCs w:val="24"/>
          <w:lang w:eastAsia="nl-NL"/>
        </w:rPr>
        <w:softHyphen/>
        <w:t>statis</w:t>
      </w:r>
      <w:r>
        <w:rPr>
          <w:rFonts w:eastAsia="Times New Roman" w:cs="Times New Roman"/>
          <w:color w:val="auto"/>
          <w:szCs w:val="24"/>
          <w:lang w:eastAsia="nl-NL"/>
        </w:rPr>
        <w:softHyphen/>
        <w:t>tieken een exacte vergelijking van de goederenstromen vóór en na 2007 zonder nadere detailstudie onmogelijk, maar enige conclusies kunnen wél worden getrokken. Door een verdere terugval van de Duitse staalindustrie en de sluiting van kolen</w:t>
      </w:r>
      <w:r>
        <w:rPr>
          <w:rFonts w:eastAsia="Times New Roman" w:cs="Times New Roman"/>
          <w:color w:val="auto"/>
          <w:szCs w:val="24"/>
          <w:lang w:eastAsia="nl-NL"/>
        </w:rPr>
        <w:softHyphen/>
        <w:t>centrales verminderde het vervoer van ijzererts en steenkolen opnieuw.</w:t>
      </w:r>
      <w:r w:rsidRPr="00044C13">
        <w:rPr>
          <w:rFonts w:eastAsia="Times New Roman" w:cs="Times New Roman"/>
          <w:color w:val="auto"/>
          <w:szCs w:val="24"/>
          <w:lang w:eastAsia="nl-NL"/>
        </w:rPr>
        <w:t xml:space="preserve"> </w:t>
      </w:r>
      <w:r>
        <w:rPr>
          <w:rFonts w:eastAsia="Times New Roman" w:cs="Times New Roman"/>
          <w:color w:val="auto"/>
          <w:szCs w:val="24"/>
          <w:lang w:eastAsia="nl-NL"/>
        </w:rPr>
        <w:t>Daartegenover stond een sterke groei van het vervoer van aardolie</w:t>
      </w:r>
      <w:r>
        <w:rPr>
          <w:rFonts w:eastAsia="Times New Roman" w:cs="Times New Roman"/>
          <w:color w:val="auto"/>
          <w:szCs w:val="24"/>
          <w:lang w:eastAsia="nl-NL"/>
        </w:rPr>
        <w:softHyphen/>
        <w:t>producten, chemische producten en containers.</w:t>
      </w:r>
      <w:r w:rsidR="00137F4E">
        <w:rPr>
          <w:rFonts w:eastAsia="Times New Roman" w:cs="Times New Roman"/>
          <w:color w:val="auto"/>
          <w:szCs w:val="24"/>
          <w:lang w:eastAsia="nl-NL"/>
        </w:rPr>
        <w:t xml:space="preserve"> </w:t>
      </w:r>
      <w:bookmarkStart w:id="24" w:name="_Hlk87887273"/>
      <w:r w:rsidR="00137F4E">
        <w:rPr>
          <w:rFonts w:eastAsia="Times New Roman" w:cs="Times New Roman"/>
          <w:color w:val="auto"/>
          <w:szCs w:val="24"/>
          <w:lang w:eastAsia="nl-NL"/>
        </w:rPr>
        <w:t>Vooral de opkomst van het containervervoer – veel overeenkomst met de vroegere beurtvaart, maar dan in een gemoderniseerde, veel massalere vorm – was een verrassende omslag, waarbij de binnenvaart voor het eerst vervoer van de vrachtwagen terugwon.</w:t>
      </w:r>
      <w:bookmarkEnd w:id="24"/>
      <w:r w:rsidR="00137F4E" w:rsidRPr="00137F4E">
        <w:rPr>
          <w:rFonts w:eastAsia="Times New Roman" w:cs="Times New Roman"/>
          <w:color w:val="auto"/>
          <w:szCs w:val="24"/>
          <w:lang w:eastAsia="nl-NL"/>
        </w:rPr>
        <w:t xml:space="preserve"> </w:t>
      </w:r>
      <w:r w:rsidR="00137F4E">
        <w:rPr>
          <w:rFonts w:eastAsia="Times New Roman" w:cs="Times New Roman"/>
          <w:color w:val="auto"/>
          <w:szCs w:val="24"/>
          <w:lang w:eastAsia="nl-NL"/>
        </w:rPr>
        <w:t>Tussen 1970 en 2018 groeide het aandeel van België in het totale internationale binnenvaartvervoer van ons land, exclusief de doorvoer, van 23 naar 42 procent. De diversificatie maakt de binnenvaart minder kwetsbaar.</w:t>
      </w:r>
      <w:r w:rsidR="00137F4E">
        <w:rPr>
          <w:rStyle w:val="EndnoteReference"/>
          <w:rFonts w:eastAsia="Times New Roman" w:cs="Times New Roman"/>
          <w:color w:val="auto"/>
          <w:szCs w:val="24"/>
          <w:lang w:eastAsia="nl-NL"/>
        </w:rPr>
        <w:endnoteReference w:id="30"/>
      </w:r>
    </w:p>
    <w:p w14:paraId="7C8439D9" w14:textId="77777777" w:rsidR="00022714" w:rsidRPr="00022714" w:rsidRDefault="00022714" w:rsidP="00022714">
      <w:pPr>
        <w:spacing w:line="240" w:lineRule="auto"/>
        <w:jc w:val="left"/>
        <w:rPr>
          <w:rFonts w:eastAsia="Times New Roman" w:cs="Times New Roman"/>
          <w:color w:val="auto"/>
          <w:szCs w:val="24"/>
          <w:lang w:eastAsia="nl-NL"/>
        </w:rPr>
      </w:pPr>
    </w:p>
    <w:p w14:paraId="77AC3AC8" w14:textId="77777777" w:rsidR="00022714" w:rsidRPr="00022714" w:rsidRDefault="00022714" w:rsidP="00022714">
      <w:pPr>
        <w:spacing w:line="240" w:lineRule="auto"/>
        <w:jc w:val="left"/>
        <w:rPr>
          <w:rFonts w:eastAsia="Times New Roman" w:cs="Times New Roman"/>
          <w:color w:val="auto"/>
          <w:szCs w:val="24"/>
          <w:lang w:eastAsia="nl-NL"/>
        </w:rPr>
      </w:pPr>
    </w:p>
    <w:tbl>
      <w:tblPr>
        <w:tblStyle w:val="TableGrid"/>
        <w:tblW w:w="0" w:type="auto"/>
        <w:tblLook w:val="04A0" w:firstRow="1" w:lastRow="0" w:firstColumn="1" w:lastColumn="0" w:noHBand="0" w:noVBand="1"/>
      </w:tblPr>
      <w:tblGrid>
        <w:gridCol w:w="3114"/>
        <w:gridCol w:w="992"/>
        <w:gridCol w:w="928"/>
        <w:gridCol w:w="1007"/>
        <w:gridCol w:w="1007"/>
        <w:gridCol w:w="1007"/>
        <w:gridCol w:w="1007"/>
      </w:tblGrid>
      <w:tr w:rsidR="00374FE4" w:rsidRPr="00022714" w14:paraId="7AB895ED" w14:textId="77777777" w:rsidTr="000D2FB8">
        <w:trPr>
          <w:trHeight w:val="567"/>
        </w:trPr>
        <w:tc>
          <w:tcPr>
            <w:tcW w:w="3114" w:type="dxa"/>
            <w:vMerge w:val="restart"/>
          </w:tcPr>
          <w:p w14:paraId="2557FBBA" w14:textId="77777777" w:rsidR="00022714" w:rsidRPr="005272EA" w:rsidRDefault="00022714" w:rsidP="007B7E4B">
            <w:pPr>
              <w:pStyle w:val="tabelKop"/>
              <w:rPr>
                <w:lang w:eastAsia="nl-NL"/>
              </w:rPr>
            </w:pPr>
            <w:r w:rsidRPr="005272EA">
              <w:rPr>
                <w:lang w:eastAsia="nl-NL"/>
              </w:rPr>
              <w:t>Aard goederen</w:t>
            </w:r>
          </w:p>
        </w:tc>
        <w:tc>
          <w:tcPr>
            <w:tcW w:w="1920" w:type="dxa"/>
            <w:gridSpan w:val="2"/>
          </w:tcPr>
          <w:p w14:paraId="3B60C5CB" w14:textId="77777777" w:rsidR="00022714" w:rsidRPr="005272EA" w:rsidRDefault="00022714" w:rsidP="007B7E4B">
            <w:pPr>
              <w:pStyle w:val="tabelKop"/>
              <w:rPr>
                <w:lang w:eastAsia="nl-NL"/>
              </w:rPr>
            </w:pPr>
            <w:r w:rsidRPr="005272EA">
              <w:rPr>
                <w:lang w:eastAsia="nl-NL"/>
              </w:rPr>
              <w:t>Gelost in Nederland</w:t>
            </w:r>
          </w:p>
        </w:tc>
        <w:tc>
          <w:tcPr>
            <w:tcW w:w="2014" w:type="dxa"/>
            <w:gridSpan w:val="2"/>
          </w:tcPr>
          <w:p w14:paraId="0A90D192" w14:textId="77777777" w:rsidR="00022714" w:rsidRPr="005272EA" w:rsidRDefault="00022714" w:rsidP="007B7E4B">
            <w:pPr>
              <w:pStyle w:val="tabelKop"/>
              <w:rPr>
                <w:lang w:eastAsia="nl-NL"/>
              </w:rPr>
            </w:pPr>
            <w:r w:rsidRPr="005272EA">
              <w:rPr>
                <w:lang w:eastAsia="nl-NL"/>
              </w:rPr>
              <w:t>Geladen in Nederland</w:t>
            </w:r>
          </w:p>
        </w:tc>
        <w:tc>
          <w:tcPr>
            <w:tcW w:w="2014" w:type="dxa"/>
            <w:gridSpan w:val="2"/>
          </w:tcPr>
          <w:p w14:paraId="70C472D4" w14:textId="77777777" w:rsidR="00022714" w:rsidRPr="005272EA" w:rsidRDefault="00022714" w:rsidP="007B7E4B">
            <w:pPr>
              <w:pStyle w:val="tabelKop"/>
              <w:rPr>
                <w:lang w:eastAsia="nl-NL"/>
              </w:rPr>
            </w:pPr>
            <w:r w:rsidRPr="005272EA">
              <w:rPr>
                <w:lang w:eastAsia="nl-NL"/>
              </w:rPr>
              <w:t>Totaal</w:t>
            </w:r>
          </w:p>
        </w:tc>
      </w:tr>
      <w:tr w:rsidR="00374FE4" w:rsidRPr="00022714" w14:paraId="30668C30" w14:textId="77777777" w:rsidTr="000D2FB8">
        <w:trPr>
          <w:trHeight w:val="567"/>
        </w:trPr>
        <w:tc>
          <w:tcPr>
            <w:tcW w:w="3114" w:type="dxa"/>
            <w:vMerge/>
            <w:tcBorders>
              <w:bottom w:val="single" w:sz="4" w:space="0" w:color="auto"/>
            </w:tcBorders>
          </w:tcPr>
          <w:p w14:paraId="3B4F9F18" w14:textId="77777777" w:rsidR="00022714" w:rsidRPr="00022714" w:rsidRDefault="00022714" w:rsidP="00022714">
            <w:pPr>
              <w:jc w:val="left"/>
              <w:rPr>
                <w:rFonts w:eastAsia="Times New Roman" w:cs="Times New Roman"/>
                <w:color w:val="auto"/>
                <w:sz w:val="20"/>
                <w:szCs w:val="20"/>
                <w:lang w:eastAsia="nl-NL"/>
              </w:rPr>
            </w:pPr>
          </w:p>
        </w:tc>
        <w:tc>
          <w:tcPr>
            <w:tcW w:w="992" w:type="dxa"/>
            <w:tcBorders>
              <w:bottom w:val="single" w:sz="4" w:space="0" w:color="auto"/>
            </w:tcBorders>
          </w:tcPr>
          <w:p w14:paraId="78973B2D" w14:textId="77777777" w:rsidR="00022714" w:rsidRPr="00022714" w:rsidRDefault="00022714" w:rsidP="00022714">
            <w:pPr>
              <w:jc w:val="center"/>
              <w:rPr>
                <w:rFonts w:eastAsia="Times New Roman" w:cs="Times New Roman"/>
                <w:color w:val="auto"/>
                <w:sz w:val="20"/>
                <w:szCs w:val="20"/>
                <w:lang w:eastAsia="nl-NL"/>
              </w:rPr>
            </w:pPr>
            <w:r w:rsidRPr="00022714">
              <w:rPr>
                <w:rFonts w:eastAsia="Times New Roman" w:cs="Times New Roman"/>
                <w:color w:val="auto"/>
                <w:sz w:val="20"/>
                <w:szCs w:val="20"/>
                <w:lang w:eastAsia="nl-NL"/>
              </w:rPr>
              <w:t>Omvang</w:t>
            </w:r>
          </w:p>
          <w:p w14:paraId="5CC616EC" w14:textId="77777777" w:rsidR="00022714" w:rsidRPr="00022714" w:rsidRDefault="00022714" w:rsidP="00022714">
            <w:pPr>
              <w:jc w:val="center"/>
              <w:rPr>
                <w:rFonts w:eastAsia="Times New Roman" w:cs="Times New Roman"/>
                <w:color w:val="auto"/>
                <w:sz w:val="20"/>
                <w:szCs w:val="20"/>
                <w:lang w:eastAsia="nl-NL"/>
              </w:rPr>
            </w:pPr>
            <w:r w:rsidRPr="00022714">
              <w:rPr>
                <w:rFonts w:eastAsia="Times New Roman" w:cs="Times New Roman"/>
                <w:color w:val="auto"/>
                <w:sz w:val="20"/>
                <w:szCs w:val="20"/>
                <w:lang w:eastAsia="nl-NL"/>
              </w:rPr>
              <w:t>(mil. ton)</w:t>
            </w:r>
          </w:p>
        </w:tc>
        <w:tc>
          <w:tcPr>
            <w:tcW w:w="928" w:type="dxa"/>
            <w:tcBorders>
              <w:bottom w:val="single" w:sz="4" w:space="0" w:color="auto"/>
            </w:tcBorders>
          </w:tcPr>
          <w:p w14:paraId="366A3307" w14:textId="77777777" w:rsidR="00022714" w:rsidRPr="00022714" w:rsidRDefault="00022714" w:rsidP="00022714">
            <w:pPr>
              <w:jc w:val="center"/>
              <w:rPr>
                <w:rFonts w:eastAsia="Times New Roman" w:cs="Times New Roman"/>
                <w:color w:val="auto"/>
                <w:sz w:val="20"/>
                <w:szCs w:val="20"/>
                <w:lang w:eastAsia="nl-NL"/>
              </w:rPr>
            </w:pPr>
            <w:r w:rsidRPr="00022714">
              <w:rPr>
                <w:rFonts w:eastAsia="Times New Roman" w:cs="Times New Roman"/>
                <w:color w:val="auto"/>
                <w:sz w:val="20"/>
                <w:szCs w:val="20"/>
                <w:lang w:eastAsia="nl-NL"/>
              </w:rPr>
              <w:t>Aandeel</w:t>
            </w:r>
          </w:p>
          <w:p w14:paraId="23345E79" w14:textId="77777777" w:rsidR="00022714" w:rsidRPr="00022714" w:rsidRDefault="00022714" w:rsidP="00022714">
            <w:pPr>
              <w:jc w:val="center"/>
              <w:rPr>
                <w:rFonts w:eastAsia="Times New Roman" w:cs="Times New Roman"/>
                <w:color w:val="auto"/>
                <w:sz w:val="20"/>
                <w:szCs w:val="20"/>
                <w:lang w:eastAsia="nl-NL"/>
              </w:rPr>
            </w:pPr>
            <w:r w:rsidRPr="00022714">
              <w:rPr>
                <w:rFonts w:eastAsia="Times New Roman" w:cs="Times New Roman"/>
                <w:color w:val="auto"/>
                <w:sz w:val="20"/>
                <w:szCs w:val="20"/>
                <w:lang w:eastAsia="nl-NL"/>
              </w:rPr>
              <w:t>(%)</w:t>
            </w:r>
          </w:p>
        </w:tc>
        <w:tc>
          <w:tcPr>
            <w:tcW w:w="1007" w:type="dxa"/>
            <w:tcBorders>
              <w:bottom w:val="single" w:sz="4" w:space="0" w:color="auto"/>
            </w:tcBorders>
          </w:tcPr>
          <w:p w14:paraId="2B191403" w14:textId="77777777" w:rsidR="00022714" w:rsidRPr="00022714" w:rsidRDefault="00022714" w:rsidP="00022714">
            <w:pPr>
              <w:jc w:val="center"/>
              <w:rPr>
                <w:rFonts w:eastAsia="Times New Roman" w:cs="Times New Roman"/>
                <w:color w:val="auto"/>
                <w:sz w:val="20"/>
                <w:szCs w:val="20"/>
                <w:lang w:eastAsia="nl-NL"/>
              </w:rPr>
            </w:pPr>
            <w:r w:rsidRPr="00022714">
              <w:rPr>
                <w:rFonts w:eastAsia="Times New Roman" w:cs="Times New Roman"/>
                <w:color w:val="auto"/>
                <w:sz w:val="20"/>
                <w:szCs w:val="20"/>
                <w:lang w:eastAsia="nl-NL"/>
              </w:rPr>
              <w:t>Omvang</w:t>
            </w:r>
          </w:p>
          <w:p w14:paraId="7C217893" w14:textId="77777777" w:rsidR="00022714" w:rsidRPr="00022714" w:rsidRDefault="00022714" w:rsidP="00022714">
            <w:pPr>
              <w:jc w:val="center"/>
              <w:rPr>
                <w:rFonts w:eastAsia="Times New Roman" w:cs="Times New Roman"/>
                <w:color w:val="auto"/>
                <w:sz w:val="20"/>
                <w:szCs w:val="20"/>
                <w:lang w:eastAsia="nl-NL"/>
              </w:rPr>
            </w:pPr>
            <w:r w:rsidRPr="00022714">
              <w:rPr>
                <w:rFonts w:eastAsia="Times New Roman" w:cs="Times New Roman"/>
                <w:color w:val="auto"/>
                <w:sz w:val="20"/>
                <w:szCs w:val="20"/>
                <w:lang w:eastAsia="nl-NL"/>
              </w:rPr>
              <w:t>(mil. ton)</w:t>
            </w:r>
          </w:p>
        </w:tc>
        <w:tc>
          <w:tcPr>
            <w:tcW w:w="1007" w:type="dxa"/>
            <w:tcBorders>
              <w:bottom w:val="single" w:sz="4" w:space="0" w:color="auto"/>
            </w:tcBorders>
          </w:tcPr>
          <w:p w14:paraId="2B1B962A" w14:textId="77777777" w:rsidR="00022714" w:rsidRPr="00022714" w:rsidRDefault="00022714" w:rsidP="00022714">
            <w:pPr>
              <w:jc w:val="center"/>
              <w:rPr>
                <w:rFonts w:eastAsia="Times New Roman" w:cs="Times New Roman"/>
                <w:color w:val="auto"/>
                <w:sz w:val="20"/>
                <w:szCs w:val="20"/>
                <w:lang w:eastAsia="nl-NL"/>
              </w:rPr>
            </w:pPr>
            <w:r w:rsidRPr="00022714">
              <w:rPr>
                <w:rFonts w:eastAsia="Times New Roman" w:cs="Times New Roman"/>
                <w:color w:val="auto"/>
                <w:sz w:val="20"/>
                <w:szCs w:val="20"/>
                <w:lang w:eastAsia="nl-NL"/>
              </w:rPr>
              <w:t>Aandeel</w:t>
            </w:r>
          </w:p>
          <w:p w14:paraId="5C5C9F59" w14:textId="77777777" w:rsidR="00022714" w:rsidRPr="00022714" w:rsidRDefault="00022714" w:rsidP="00022714">
            <w:pPr>
              <w:jc w:val="center"/>
              <w:rPr>
                <w:rFonts w:eastAsia="Times New Roman" w:cs="Times New Roman"/>
                <w:color w:val="auto"/>
                <w:sz w:val="20"/>
                <w:szCs w:val="20"/>
                <w:lang w:eastAsia="nl-NL"/>
              </w:rPr>
            </w:pPr>
            <w:r w:rsidRPr="00022714">
              <w:rPr>
                <w:rFonts w:eastAsia="Times New Roman" w:cs="Times New Roman"/>
                <w:color w:val="auto"/>
                <w:sz w:val="20"/>
                <w:szCs w:val="20"/>
                <w:lang w:eastAsia="nl-NL"/>
              </w:rPr>
              <w:t>(%)</w:t>
            </w:r>
          </w:p>
        </w:tc>
        <w:tc>
          <w:tcPr>
            <w:tcW w:w="1007" w:type="dxa"/>
            <w:tcBorders>
              <w:bottom w:val="single" w:sz="4" w:space="0" w:color="auto"/>
            </w:tcBorders>
          </w:tcPr>
          <w:p w14:paraId="685A0E38" w14:textId="77777777" w:rsidR="00022714" w:rsidRPr="00022714" w:rsidRDefault="00022714" w:rsidP="00022714">
            <w:pPr>
              <w:jc w:val="center"/>
              <w:rPr>
                <w:rFonts w:eastAsia="Times New Roman" w:cs="Times New Roman"/>
                <w:color w:val="auto"/>
                <w:sz w:val="20"/>
                <w:szCs w:val="20"/>
                <w:lang w:eastAsia="nl-NL"/>
              </w:rPr>
            </w:pPr>
            <w:r w:rsidRPr="00022714">
              <w:rPr>
                <w:rFonts w:eastAsia="Times New Roman" w:cs="Times New Roman"/>
                <w:color w:val="auto"/>
                <w:sz w:val="20"/>
                <w:szCs w:val="20"/>
                <w:lang w:eastAsia="nl-NL"/>
              </w:rPr>
              <w:t>Omvang</w:t>
            </w:r>
          </w:p>
          <w:p w14:paraId="61E061F8" w14:textId="77777777" w:rsidR="00022714" w:rsidRPr="00022714" w:rsidRDefault="00022714" w:rsidP="00022714">
            <w:pPr>
              <w:jc w:val="center"/>
              <w:rPr>
                <w:rFonts w:eastAsia="Times New Roman" w:cs="Times New Roman"/>
                <w:color w:val="auto"/>
                <w:sz w:val="20"/>
                <w:szCs w:val="20"/>
                <w:lang w:eastAsia="nl-NL"/>
              </w:rPr>
            </w:pPr>
            <w:r w:rsidRPr="00022714">
              <w:rPr>
                <w:rFonts w:eastAsia="Times New Roman" w:cs="Times New Roman"/>
                <w:color w:val="auto"/>
                <w:sz w:val="20"/>
                <w:szCs w:val="20"/>
                <w:lang w:eastAsia="nl-NL"/>
              </w:rPr>
              <w:t>(mil. ton)</w:t>
            </w:r>
          </w:p>
        </w:tc>
        <w:tc>
          <w:tcPr>
            <w:tcW w:w="1007" w:type="dxa"/>
            <w:tcBorders>
              <w:bottom w:val="single" w:sz="4" w:space="0" w:color="auto"/>
            </w:tcBorders>
          </w:tcPr>
          <w:p w14:paraId="781B48F2" w14:textId="77777777" w:rsidR="00022714" w:rsidRPr="00022714" w:rsidRDefault="00022714" w:rsidP="00022714">
            <w:pPr>
              <w:jc w:val="center"/>
              <w:rPr>
                <w:rFonts w:eastAsia="Times New Roman" w:cs="Times New Roman"/>
                <w:color w:val="auto"/>
                <w:sz w:val="20"/>
                <w:szCs w:val="20"/>
                <w:lang w:eastAsia="nl-NL"/>
              </w:rPr>
            </w:pPr>
            <w:r w:rsidRPr="00022714">
              <w:rPr>
                <w:rFonts w:eastAsia="Times New Roman" w:cs="Times New Roman"/>
                <w:color w:val="auto"/>
                <w:sz w:val="20"/>
                <w:szCs w:val="20"/>
                <w:lang w:eastAsia="nl-NL"/>
              </w:rPr>
              <w:t>Aandeel</w:t>
            </w:r>
          </w:p>
          <w:p w14:paraId="49CA74A8" w14:textId="77777777" w:rsidR="00022714" w:rsidRPr="00022714" w:rsidRDefault="00022714" w:rsidP="00022714">
            <w:pPr>
              <w:jc w:val="center"/>
              <w:rPr>
                <w:rFonts w:eastAsia="Times New Roman" w:cs="Times New Roman"/>
                <w:color w:val="auto"/>
                <w:sz w:val="20"/>
                <w:szCs w:val="20"/>
                <w:lang w:eastAsia="nl-NL"/>
              </w:rPr>
            </w:pPr>
            <w:r w:rsidRPr="00022714">
              <w:rPr>
                <w:rFonts w:eastAsia="Times New Roman" w:cs="Times New Roman"/>
                <w:color w:val="auto"/>
                <w:sz w:val="20"/>
                <w:szCs w:val="20"/>
                <w:lang w:eastAsia="nl-NL"/>
              </w:rPr>
              <w:t>(%)</w:t>
            </w:r>
          </w:p>
        </w:tc>
      </w:tr>
      <w:tr w:rsidR="00374FE4" w:rsidRPr="00022714" w14:paraId="07A0D3ED" w14:textId="77777777" w:rsidTr="000D2FB8">
        <w:tc>
          <w:tcPr>
            <w:tcW w:w="3114" w:type="dxa"/>
            <w:tcBorders>
              <w:bottom w:val="nil"/>
            </w:tcBorders>
          </w:tcPr>
          <w:p w14:paraId="13559DD6" w14:textId="77777777" w:rsidR="00022714" w:rsidRPr="00022714" w:rsidRDefault="00022714" w:rsidP="00022714">
            <w:pPr>
              <w:jc w:val="left"/>
              <w:rPr>
                <w:rFonts w:eastAsia="Times New Roman" w:cs="Times New Roman"/>
                <w:color w:val="auto"/>
                <w:sz w:val="20"/>
                <w:szCs w:val="20"/>
                <w:lang w:eastAsia="nl-NL"/>
              </w:rPr>
            </w:pPr>
            <w:r w:rsidRPr="00022714">
              <w:rPr>
                <w:rFonts w:eastAsia="Times New Roman" w:cs="Times New Roman"/>
                <w:color w:val="auto"/>
                <w:sz w:val="20"/>
                <w:szCs w:val="20"/>
                <w:lang w:eastAsia="nl-NL"/>
              </w:rPr>
              <w:t>Delfstoffen (ijzererts, zand, grind)</w:t>
            </w:r>
          </w:p>
        </w:tc>
        <w:tc>
          <w:tcPr>
            <w:tcW w:w="992" w:type="dxa"/>
            <w:tcBorders>
              <w:bottom w:val="nil"/>
            </w:tcBorders>
          </w:tcPr>
          <w:p w14:paraId="5694E931" w14:textId="77777777" w:rsidR="00022714" w:rsidRPr="00022714" w:rsidRDefault="00022714" w:rsidP="007B7E4B">
            <w:pPr>
              <w:pStyle w:val="tabelNummers"/>
            </w:pPr>
            <w:r w:rsidRPr="00022714">
              <w:t>11,9</w:t>
            </w:r>
          </w:p>
        </w:tc>
        <w:tc>
          <w:tcPr>
            <w:tcW w:w="928" w:type="dxa"/>
            <w:tcBorders>
              <w:bottom w:val="nil"/>
            </w:tcBorders>
          </w:tcPr>
          <w:p w14:paraId="29C2DD76" w14:textId="77777777" w:rsidR="00022714" w:rsidRPr="00022714" w:rsidRDefault="00022714" w:rsidP="007B7E4B">
            <w:pPr>
              <w:pStyle w:val="tabelNummers"/>
            </w:pPr>
            <w:r w:rsidRPr="00022714">
              <w:t>19,6</w:t>
            </w:r>
          </w:p>
        </w:tc>
        <w:tc>
          <w:tcPr>
            <w:tcW w:w="1007" w:type="dxa"/>
            <w:tcBorders>
              <w:bottom w:val="nil"/>
            </w:tcBorders>
          </w:tcPr>
          <w:p w14:paraId="33B6B77B" w14:textId="77777777" w:rsidR="00022714" w:rsidRPr="00022714" w:rsidRDefault="00022714" w:rsidP="007B7E4B">
            <w:pPr>
              <w:pStyle w:val="tabelNummers"/>
            </w:pPr>
            <w:r w:rsidRPr="00022714">
              <w:t>33,1</w:t>
            </w:r>
          </w:p>
        </w:tc>
        <w:tc>
          <w:tcPr>
            <w:tcW w:w="1007" w:type="dxa"/>
            <w:tcBorders>
              <w:bottom w:val="nil"/>
            </w:tcBorders>
          </w:tcPr>
          <w:p w14:paraId="03A9CBB2" w14:textId="77777777" w:rsidR="00022714" w:rsidRPr="00022714" w:rsidRDefault="00022714" w:rsidP="007B7E4B">
            <w:pPr>
              <w:pStyle w:val="tabelNummers"/>
            </w:pPr>
            <w:r w:rsidRPr="00022714">
              <w:t>26,4</w:t>
            </w:r>
          </w:p>
        </w:tc>
        <w:tc>
          <w:tcPr>
            <w:tcW w:w="1007" w:type="dxa"/>
            <w:tcBorders>
              <w:bottom w:val="nil"/>
            </w:tcBorders>
          </w:tcPr>
          <w:p w14:paraId="23F80F42" w14:textId="77777777" w:rsidR="00022714" w:rsidRPr="00022714" w:rsidRDefault="00022714" w:rsidP="007B7E4B">
            <w:pPr>
              <w:pStyle w:val="tabelNummers"/>
            </w:pPr>
            <w:r w:rsidRPr="00022714">
              <w:t>45,0</w:t>
            </w:r>
          </w:p>
        </w:tc>
        <w:tc>
          <w:tcPr>
            <w:tcW w:w="1007" w:type="dxa"/>
            <w:tcBorders>
              <w:bottom w:val="nil"/>
            </w:tcBorders>
          </w:tcPr>
          <w:p w14:paraId="7E6E152A" w14:textId="77777777" w:rsidR="00022714" w:rsidRPr="00022714" w:rsidRDefault="00022714" w:rsidP="007B7E4B">
            <w:pPr>
              <w:pStyle w:val="tabelNummers"/>
            </w:pPr>
            <w:r w:rsidRPr="00022714">
              <w:t>24,2</w:t>
            </w:r>
          </w:p>
        </w:tc>
      </w:tr>
      <w:tr w:rsidR="00374FE4" w:rsidRPr="00022714" w14:paraId="6AD1F514" w14:textId="77777777" w:rsidTr="000D2FB8">
        <w:tc>
          <w:tcPr>
            <w:tcW w:w="3114" w:type="dxa"/>
            <w:tcBorders>
              <w:top w:val="nil"/>
              <w:bottom w:val="nil"/>
            </w:tcBorders>
          </w:tcPr>
          <w:p w14:paraId="01D38C65" w14:textId="77777777" w:rsidR="00022714" w:rsidRPr="00022714" w:rsidRDefault="00022714" w:rsidP="00022714">
            <w:pPr>
              <w:jc w:val="left"/>
              <w:rPr>
                <w:rFonts w:eastAsia="Times New Roman" w:cs="Times New Roman"/>
                <w:color w:val="auto"/>
                <w:sz w:val="20"/>
                <w:szCs w:val="20"/>
                <w:lang w:eastAsia="nl-NL"/>
              </w:rPr>
            </w:pPr>
            <w:r w:rsidRPr="00022714">
              <w:rPr>
                <w:rFonts w:eastAsia="Times New Roman" w:cs="Times New Roman"/>
                <w:color w:val="auto"/>
                <w:sz w:val="20"/>
                <w:szCs w:val="20"/>
                <w:lang w:eastAsia="nl-NL"/>
              </w:rPr>
              <w:t>Chemische producten</w:t>
            </w:r>
          </w:p>
        </w:tc>
        <w:tc>
          <w:tcPr>
            <w:tcW w:w="992" w:type="dxa"/>
            <w:tcBorders>
              <w:top w:val="nil"/>
              <w:bottom w:val="nil"/>
            </w:tcBorders>
          </w:tcPr>
          <w:p w14:paraId="2BBDBCBC" w14:textId="77777777" w:rsidR="00022714" w:rsidRPr="00022714" w:rsidRDefault="00022714" w:rsidP="007B7E4B">
            <w:pPr>
              <w:pStyle w:val="tabelNummers"/>
            </w:pPr>
            <w:r w:rsidRPr="00022714">
              <w:t>14,7</w:t>
            </w:r>
          </w:p>
        </w:tc>
        <w:tc>
          <w:tcPr>
            <w:tcW w:w="928" w:type="dxa"/>
            <w:tcBorders>
              <w:top w:val="nil"/>
              <w:bottom w:val="nil"/>
            </w:tcBorders>
          </w:tcPr>
          <w:p w14:paraId="28FE3B10" w14:textId="77777777" w:rsidR="00022714" w:rsidRPr="00022714" w:rsidRDefault="00022714" w:rsidP="007B7E4B">
            <w:pPr>
              <w:pStyle w:val="tabelNummers"/>
            </w:pPr>
            <w:r w:rsidRPr="00022714">
              <w:t>24,2</w:t>
            </w:r>
          </w:p>
        </w:tc>
        <w:tc>
          <w:tcPr>
            <w:tcW w:w="1007" w:type="dxa"/>
            <w:tcBorders>
              <w:top w:val="nil"/>
              <w:bottom w:val="nil"/>
            </w:tcBorders>
          </w:tcPr>
          <w:p w14:paraId="3C2C9939" w14:textId="77777777" w:rsidR="00022714" w:rsidRPr="00022714" w:rsidRDefault="00022714" w:rsidP="007B7E4B">
            <w:pPr>
              <w:pStyle w:val="tabelNummers"/>
            </w:pPr>
            <w:r w:rsidRPr="00022714">
              <w:t>20,9</w:t>
            </w:r>
          </w:p>
        </w:tc>
        <w:tc>
          <w:tcPr>
            <w:tcW w:w="1007" w:type="dxa"/>
            <w:tcBorders>
              <w:top w:val="nil"/>
              <w:bottom w:val="nil"/>
            </w:tcBorders>
          </w:tcPr>
          <w:p w14:paraId="15FEF354" w14:textId="77777777" w:rsidR="00022714" w:rsidRPr="00022714" w:rsidRDefault="00022714" w:rsidP="007B7E4B">
            <w:pPr>
              <w:pStyle w:val="tabelNummers"/>
            </w:pPr>
            <w:r w:rsidRPr="00022714">
              <w:t>16,7</w:t>
            </w:r>
          </w:p>
        </w:tc>
        <w:tc>
          <w:tcPr>
            <w:tcW w:w="1007" w:type="dxa"/>
            <w:tcBorders>
              <w:top w:val="nil"/>
              <w:bottom w:val="nil"/>
            </w:tcBorders>
          </w:tcPr>
          <w:p w14:paraId="70C9AC43" w14:textId="77777777" w:rsidR="00022714" w:rsidRPr="00022714" w:rsidRDefault="00022714" w:rsidP="007B7E4B">
            <w:pPr>
              <w:pStyle w:val="tabelNummers"/>
            </w:pPr>
            <w:r w:rsidRPr="00022714">
              <w:t>35,5</w:t>
            </w:r>
          </w:p>
        </w:tc>
        <w:tc>
          <w:tcPr>
            <w:tcW w:w="1007" w:type="dxa"/>
            <w:tcBorders>
              <w:top w:val="nil"/>
              <w:bottom w:val="nil"/>
            </w:tcBorders>
          </w:tcPr>
          <w:p w14:paraId="03E282E0" w14:textId="77777777" w:rsidR="00022714" w:rsidRPr="00022714" w:rsidRDefault="00022714" w:rsidP="007B7E4B">
            <w:pPr>
              <w:pStyle w:val="tabelNummers"/>
            </w:pPr>
            <w:r w:rsidRPr="00022714">
              <w:t>19,1</w:t>
            </w:r>
          </w:p>
        </w:tc>
      </w:tr>
      <w:tr w:rsidR="00374FE4" w:rsidRPr="00022714" w14:paraId="2639ABAD" w14:textId="77777777" w:rsidTr="000D2FB8">
        <w:tc>
          <w:tcPr>
            <w:tcW w:w="3114" w:type="dxa"/>
            <w:tcBorders>
              <w:top w:val="nil"/>
              <w:bottom w:val="nil"/>
            </w:tcBorders>
          </w:tcPr>
          <w:p w14:paraId="1D454A1D" w14:textId="77777777" w:rsidR="00022714" w:rsidRPr="00022714" w:rsidRDefault="00022714" w:rsidP="00022714">
            <w:pPr>
              <w:jc w:val="left"/>
              <w:rPr>
                <w:rFonts w:eastAsia="Times New Roman" w:cs="Times New Roman"/>
                <w:color w:val="auto"/>
                <w:sz w:val="20"/>
                <w:szCs w:val="20"/>
                <w:lang w:eastAsia="nl-NL"/>
              </w:rPr>
            </w:pPr>
            <w:r w:rsidRPr="00022714">
              <w:rPr>
                <w:rFonts w:eastAsia="Times New Roman" w:cs="Times New Roman"/>
                <w:color w:val="auto"/>
                <w:sz w:val="20"/>
                <w:szCs w:val="20"/>
                <w:lang w:eastAsia="nl-NL"/>
              </w:rPr>
              <w:t>Aardolieproducten en cokes</w:t>
            </w:r>
          </w:p>
        </w:tc>
        <w:tc>
          <w:tcPr>
            <w:tcW w:w="992" w:type="dxa"/>
            <w:tcBorders>
              <w:top w:val="nil"/>
              <w:bottom w:val="nil"/>
            </w:tcBorders>
          </w:tcPr>
          <w:p w14:paraId="0638EE2A" w14:textId="77777777" w:rsidR="00022714" w:rsidRPr="00022714" w:rsidRDefault="00022714" w:rsidP="007B7E4B">
            <w:pPr>
              <w:pStyle w:val="tabelNummers"/>
            </w:pPr>
            <w:r w:rsidRPr="00022714">
              <w:t>11,3</w:t>
            </w:r>
          </w:p>
        </w:tc>
        <w:tc>
          <w:tcPr>
            <w:tcW w:w="928" w:type="dxa"/>
            <w:tcBorders>
              <w:top w:val="nil"/>
              <w:bottom w:val="nil"/>
            </w:tcBorders>
          </w:tcPr>
          <w:p w14:paraId="51157A81" w14:textId="77777777" w:rsidR="00022714" w:rsidRPr="00022714" w:rsidRDefault="00022714" w:rsidP="007B7E4B">
            <w:pPr>
              <w:pStyle w:val="tabelNummers"/>
            </w:pPr>
            <w:r w:rsidRPr="00022714">
              <w:t>18,6</w:t>
            </w:r>
          </w:p>
        </w:tc>
        <w:tc>
          <w:tcPr>
            <w:tcW w:w="1007" w:type="dxa"/>
            <w:tcBorders>
              <w:top w:val="nil"/>
              <w:bottom w:val="nil"/>
            </w:tcBorders>
          </w:tcPr>
          <w:p w14:paraId="40097803" w14:textId="77777777" w:rsidR="00022714" w:rsidRPr="00022714" w:rsidRDefault="00022714" w:rsidP="007B7E4B">
            <w:pPr>
              <w:pStyle w:val="tabelNummers"/>
            </w:pPr>
            <w:r w:rsidRPr="00022714">
              <w:t>21,6</w:t>
            </w:r>
          </w:p>
        </w:tc>
        <w:tc>
          <w:tcPr>
            <w:tcW w:w="1007" w:type="dxa"/>
            <w:tcBorders>
              <w:top w:val="nil"/>
              <w:bottom w:val="nil"/>
            </w:tcBorders>
          </w:tcPr>
          <w:p w14:paraId="464DDA10" w14:textId="77777777" w:rsidR="00022714" w:rsidRPr="00022714" w:rsidRDefault="00022714" w:rsidP="007B7E4B">
            <w:pPr>
              <w:pStyle w:val="tabelNummers"/>
            </w:pPr>
            <w:r w:rsidRPr="00022714">
              <w:t>17,3</w:t>
            </w:r>
          </w:p>
        </w:tc>
        <w:tc>
          <w:tcPr>
            <w:tcW w:w="1007" w:type="dxa"/>
            <w:tcBorders>
              <w:top w:val="nil"/>
              <w:bottom w:val="nil"/>
            </w:tcBorders>
          </w:tcPr>
          <w:p w14:paraId="33B382E3" w14:textId="77777777" w:rsidR="00022714" w:rsidRPr="00022714" w:rsidRDefault="00022714" w:rsidP="007B7E4B">
            <w:pPr>
              <w:pStyle w:val="tabelNummers"/>
            </w:pPr>
            <w:r w:rsidRPr="00022714">
              <w:t>32,9</w:t>
            </w:r>
          </w:p>
        </w:tc>
        <w:tc>
          <w:tcPr>
            <w:tcW w:w="1007" w:type="dxa"/>
            <w:tcBorders>
              <w:top w:val="nil"/>
              <w:bottom w:val="nil"/>
            </w:tcBorders>
          </w:tcPr>
          <w:p w14:paraId="08B10799" w14:textId="77777777" w:rsidR="00022714" w:rsidRPr="00022714" w:rsidRDefault="00022714" w:rsidP="007B7E4B">
            <w:pPr>
              <w:pStyle w:val="tabelNummers"/>
            </w:pPr>
            <w:r w:rsidRPr="00022714">
              <w:t>17,7</w:t>
            </w:r>
          </w:p>
        </w:tc>
      </w:tr>
      <w:tr w:rsidR="00374FE4" w:rsidRPr="00022714" w14:paraId="7F637925" w14:textId="77777777" w:rsidTr="000D2FB8">
        <w:tc>
          <w:tcPr>
            <w:tcW w:w="3114" w:type="dxa"/>
            <w:tcBorders>
              <w:top w:val="nil"/>
              <w:bottom w:val="nil"/>
            </w:tcBorders>
          </w:tcPr>
          <w:p w14:paraId="00ADFA81" w14:textId="77777777" w:rsidR="00022714" w:rsidRPr="00022714" w:rsidRDefault="00022714" w:rsidP="00022714">
            <w:pPr>
              <w:jc w:val="left"/>
              <w:rPr>
                <w:rFonts w:eastAsia="Times New Roman" w:cs="Times New Roman"/>
                <w:color w:val="auto"/>
                <w:sz w:val="20"/>
                <w:szCs w:val="20"/>
                <w:lang w:eastAsia="nl-NL"/>
              </w:rPr>
            </w:pPr>
            <w:r w:rsidRPr="00022714">
              <w:rPr>
                <w:rFonts w:eastAsia="Times New Roman" w:cs="Times New Roman"/>
                <w:color w:val="auto"/>
                <w:sz w:val="20"/>
                <w:szCs w:val="20"/>
                <w:lang w:eastAsia="nl-NL"/>
              </w:rPr>
              <w:lastRenderedPageBreak/>
              <w:t>Steenkolen en ruwe aardolie</w:t>
            </w:r>
          </w:p>
        </w:tc>
        <w:tc>
          <w:tcPr>
            <w:tcW w:w="992" w:type="dxa"/>
            <w:tcBorders>
              <w:top w:val="nil"/>
              <w:bottom w:val="nil"/>
            </w:tcBorders>
          </w:tcPr>
          <w:p w14:paraId="2D6FC7E8" w14:textId="77777777" w:rsidR="00022714" w:rsidRPr="00022714" w:rsidRDefault="00022714" w:rsidP="007B7E4B">
            <w:pPr>
              <w:pStyle w:val="tabelNummers"/>
            </w:pPr>
            <w:r w:rsidRPr="00022714">
              <w:t>0,9</w:t>
            </w:r>
          </w:p>
        </w:tc>
        <w:tc>
          <w:tcPr>
            <w:tcW w:w="928" w:type="dxa"/>
            <w:tcBorders>
              <w:top w:val="nil"/>
              <w:bottom w:val="nil"/>
            </w:tcBorders>
          </w:tcPr>
          <w:p w14:paraId="3454ED18" w14:textId="77777777" w:rsidR="00022714" w:rsidRPr="00022714" w:rsidRDefault="00022714" w:rsidP="007B7E4B">
            <w:pPr>
              <w:pStyle w:val="tabelNummers"/>
            </w:pPr>
            <w:r w:rsidRPr="00022714">
              <w:t>1,5</w:t>
            </w:r>
          </w:p>
        </w:tc>
        <w:tc>
          <w:tcPr>
            <w:tcW w:w="1007" w:type="dxa"/>
            <w:tcBorders>
              <w:top w:val="nil"/>
              <w:bottom w:val="nil"/>
            </w:tcBorders>
          </w:tcPr>
          <w:p w14:paraId="39188095" w14:textId="77777777" w:rsidR="00022714" w:rsidRPr="00022714" w:rsidRDefault="00022714" w:rsidP="007B7E4B">
            <w:pPr>
              <w:pStyle w:val="tabelNummers"/>
            </w:pPr>
            <w:r w:rsidRPr="00022714">
              <w:t>25,9</w:t>
            </w:r>
          </w:p>
        </w:tc>
        <w:tc>
          <w:tcPr>
            <w:tcW w:w="1007" w:type="dxa"/>
            <w:tcBorders>
              <w:top w:val="nil"/>
              <w:bottom w:val="nil"/>
            </w:tcBorders>
          </w:tcPr>
          <w:p w14:paraId="7C09A190" w14:textId="77777777" w:rsidR="00022714" w:rsidRPr="00022714" w:rsidRDefault="00022714" w:rsidP="007B7E4B">
            <w:pPr>
              <w:pStyle w:val="tabelNummers"/>
            </w:pPr>
            <w:r w:rsidRPr="00022714">
              <w:t>20,7</w:t>
            </w:r>
          </w:p>
        </w:tc>
        <w:tc>
          <w:tcPr>
            <w:tcW w:w="1007" w:type="dxa"/>
            <w:tcBorders>
              <w:top w:val="nil"/>
              <w:bottom w:val="nil"/>
            </w:tcBorders>
          </w:tcPr>
          <w:p w14:paraId="18881A22" w14:textId="77777777" w:rsidR="00022714" w:rsidRPr="00022714" w:rsidRDefault="00022714" w:rsidP="007B7E4B">
            <w:pPr>
              <w:pStyle w:val="tabelNummers"/>
            </w:pPr>
            <w:r w:rsidRPr="00022714">
              <w:t>26,8</w:t>
            </w:r>
          </w:p>
        </w:tc>
        <w:tc>
          <w:tcPr>
            <w:tcW w:w="1007" w:type="dxa"/>
            <w:tcBorders>
              <w:top w:val="nil"/>
              <w:bottom w:val="nil"/>
            </w:tcBorders>
          </w:tcPr>
          <w:p w14:paraId="385F57E7" w14:textId="77777777" w:rsidR="00022714" w:rsidRPr="00022714" w:rsidRDefault="00022714" w:rsidP="007B7E4B">
            <w:pPr>
              <w:pStyle w:val="tabelNummers"/>
            </w:pPr>
            <w:r w:rsidRPr="00022714">
              <w:t>14,4</w:t>
            </w:r>
          </w:p>
        </w:tc>
      </w:tr>
      <w:tr w:rsidR="00374FE4" w:rsidRPr="00022714" w14:paraId="242767EE" w14:textId="77777777" w:rsidTr="000D2FB8">
        <w:tc>
          <w:tcPr>
            <w:tcW w:w="3114" w:type="dxa"/>
            <w:tcBorders>
              <w:top w:val="nil"/>
              <w:bottom w:val="nil"/>
            </w:tcBorders>
          </w:tcPr>
          <w:p w14:paraId="16258E48" w14:textId="77777777" w:rsidR="00022714" w:rsidRPr="00022714" w:rsidRDefault="00022714" w:rsidP="00022714">
            <w:pPr>
              <w:jc w:val="left"/>
              <w:rPr>
                <w:rFonts w:eastAsia="Times New Roman" w:cs="Times New Roman"/>
                <w:color w:val="auto"/>
                <w:sz w:val="20"/>
                <w:szCs w:val="20"/>
                <w:lang w:eastAsia="nl-NL"/>
              </w:rPr>
            </w:pPr>
            <w:r w:rsidRPr="00022714">
              <w:rPr>
                <w:rFonts w:eastAsia="Times New Roman" w:cs="Times New Roman"/>
                <w:color w:val="auto"/>
                <w:sz w:val="20"/>
                <w:szCs w:val="20"/>
                <w:lang w:eastAsia="nl-NL"/>
              </w:rPr>
              <w:t>Containers</w:t>
            </w:r>
          </w:p>
        </w:tc>
        <w:tc>
          <w:tcPr>
            <w:tcW w:w="992" w:type="dxa"/>
            <w:tcBorders>
              <w:top w:val="nil"/>
              <w:bottom w:val="nil"/>
            </w:tcBorders>
          </w:tcPr>
          <w:p w14:paraId="39D0174E" w14:textId="77777777" w:rsidR="00022714" w:rsidRPr="00022714" w:rsidRDefault="00022714" w:rsidP="007B7E4B">
            <w:pPr>
              <w:pStyle w:val="tabelNummers"/>
            </w:pPr>
            <w:r w:rsidRPr="00022714">
              <w:t>7,3</w:t>
            </w:r>
          </w:p>
        </w:tc>
        <w:tc>
          <w:tcPr>
            <w:tcW w:w="928" w:type="dxa"/>
            <w:tcBorders>
              <w:top w:val="nil"/>
              <w:bottom w:val="nil"/>
            </w:tcBorders>
          </w:tcPr>
          <w:p w14:paraId="7F1AD92F" w14:textId="77777777" w:rsidR="00022714" w:rsidRPr="00022714" w:rsidRDefault="00022714" w:rsidP="007B7E4B">
            <w:pPr>
              <w:pStyle w:val="tabelNummers"/>
            </w:pPr>
            <w:r w:rsidRPr="00022714">
              <w:t>12,0</w:t>
            </w:r>
          </w:p>
        </w:tc>
        <w:tc>
          <w:tcPr>
            <w:tcW w:w="1007" w:type="dxa"/>
            <w:tcBorders>
              <w:top w:val="nil"/>
              <w:bottom w:val="nil"/>
            </w:tcBorders>
          </w:tcPr>
          <w:p w14:paraId="440AD5B6" w14:textId="77777777" w:rsidR="00022714" w:rsidRPr="00022714" w:rsidRDefault="00022714" w:rsidP="007B7E4B">
            <w:pPr>
              <w:pStyle w:val="tabelNummers"/>
            </w:pPr>
            <w:r w:rsidRPr="00022714">
              <w:t>9,1</w:t>
            </w:r>
          </w:p>
        </w:tc>
        <w:tc>
          <w:tcPr>
            <w:tcW w:w="1007" w:type="dxa"/>
            <w:tcBorders>
              <w:top w:val="nil"/>
              <w:bottom w:val="nil"/>
            </w:tcBorders>
          </w:tcPr>
          <w:p w14:paraId="6EB587D9" w14:textId="77777777" w:rsidR="00022714" w:rsidRPr="00022714" w:rsidRDefault="00022714" w:rsidP="007B7E4B">
            <w:pPr>
              <w:pStyle w:val="tabelNummers"/>
            </w:pPr>
            <w:r w:rsidRPr="00022714">
              <w:t>7,3</w:t>
            </w:r>
          </w:p>
        </w:tc>
        <w:tc>
          <w:tcPr>
            <w:tcW w:w="1007" w:type="dxa"/>
            <w:tcBorders>
              <w:top w:val="nil"/>
              <w:bottom w:val="nil"/>
            </w:tcBorders>
          </w:tcPr>
          <w:p w14:paraId="45297CC7" w14:textId="77777777" w:rsidR="00022714" w:rsidRPr="00022714" w:rsidRDefault="00022714" w:rsidP="007B7E4B">
            <w:pPr>
              <w:pStyle w:val="tabelNummers"/>
            </w:pPr>
            <w:r w:rsidRPr="00022714">
              <w:t>16,4</w:t>
            </w:r>
          </w:p>
        </w:tc>
        <w:tc>
          <w:tcPr>
            <w:tcW w:w="1007" w:type="dxa"/>
            <w:tcBorders>
              <w:top w:val="nil"/>
              <w:bottom w:val="nil"/>
            </w:tcBorders>
          </w:tcPr>
          <w:p w14:paraId="63A4BC53" w14:textId="77777777" w:rsidR="00022714" w:rsidRPr="00022714" w:rsidRDefault="00022714" w:rsidP="007B7E4B">
            <w:pPr>
              <w:pStyle w:val="tabelNummers"/>
            </w:pPr>
            <w:r w:rsidRPr="00022714">
              <w:t>8,8</w:t>
            </w:r>
          </w:p>
        </w:tc>
      </w:tr>
      <w:tr w:rsidR="00374FE4" w:rsidRPr="00022714" w14:paraId="0C8858AF" w14:textId="77777777" w:rsidTr="000D2FB8">
        <w:tc>
          <w:tcPr>
            <w:tcW w:w="3114" w:type="dxa"/>
            <w:tcBorders>
              <w:top w:val="nil"/>
              <w:bottom w:val="nil"/>
            </w:tcBorders>
          </w:tcPr>
          <w:p w14:paraId="58DF6372" w14:textId="77777777" w:rsidR="00022714" w:rsidRPr="00022714" w:rsidRDefault="00022714" w:rsidP="00022714">
            <w:pPr>
              <w:jc w:val="left"/>
              <w:rPr>
                <w:rFonts w:eastAsia="Times New Roman" w:cs="Times New Roman"/>
                <w:color w:val="auto"/>
                <w:sz w:val="20"/>
                <w:szCs w:val="20"/>
                <w:lang w:eastAsia="nl-NL"/>
              </w:rPr>
            </w:pPr>
            <w:r w:rsidRPr="00022714">
              <w:rPr>
                <w:rFonts w:eastAsia="Times New Roman" w:cs="Times New Roman"/>
                <w:color w:val="auto"/>
                <w:sz w:val="20"/>
                <w:szCs w:val="20"/>
                <w:lang w:eastAsia="nl-NL"/>
              </w:rPr>
              <w:t>Voedingsmiddelen (veevoer)</w:t>
            </w:r>
          </w:p>
        </w:tc>
        <w:tc>
          <w:tcPr>
            <w:tcW w:w="992" w:type="dxa"/>
            <w:tcBorders>
              <w:top w:val="nil"/>
              <w:bottom w:val="nil"/>
            </w:tcBorders>
          </w:tcPr>
          <w:p w14:paraId="0CF6EF9F" w14:textId="77777777" w:rsidR="00022714" w:rsidRPr="00022714" w:rsidRDefault="00022714" w:rsidP="007B7E4B">
            <w:pPr>
              <w:pStyle w:val="tabelNummers"/>
            </w:pPr>
            <w:r w:rsidRPr="00022714">
              <w:t>3,2</w:t>
            </w:r>
          </w:p>
        </w:tc>
        <w:tc>
          <w:tcPr>
            <w:tcW w:w="928" w:type="dxa"/>
            <w:tcBorders>
              <w:top w:val="nil"/>
              <w:bottom w:val="nil"/>
            </w:tcBorders>
          </w:tcPr>
          <w:p w14:paraId="78536D1E" w14:textId="77777777" w:rsidR="00022714" w:rsidRPr="00022714" w:rsidRDefault="00022714" w:rsidP="007B7E4B">
            <w:pPr>
              <w:pStyle w:val="tabelNummers"/>
            </w:pPr>
            <w:r w:rsidRPr="00022714">
              <w:t>5,2</w:t>
            </w:r>
          </w:p>
        </w:tc>
        <w:tc>
          <w:tcPr>
            <w:tcW w:w="1007" w:type="dxa"/>
            <w:tcBorders>
              <w:top w:val="nil"/>
              <w:bottom w:val="nil"/>
            </w:tcBorders>
          </w:tcPr>
          <w:p w14:paraId="338E073E" w14:textId="77777777" w:rsidR="00022714" w:rsidRPr="00022714" w:rsidRDefault="00022714" w:rsidP="007B7E4B">
            <w:pPr>
              <w:pStyle w:val="tabelNummers"/>
            </w:pPr>
            <w:r w:rsidRPr="00022714">
              <w:t>5,4</w:t>
            </w:r>
          </w:p>
        </w:tc>
        <w:tc>
          <w:tcPr>
            <w:tcW w:w="1007" w:type="dxa"/>
            <w:tcBorders>
              <w:top w:val="nil"/>
              <w:bottom w:val="nil"/>
            </w:tcBorders>
          </w:tcPr>
          <w:p w14:paraId="6AB8AC5D" w14:textId="77777777" w:rsidR="00022714" w:rsidRPr="00022714" w:rsidRDefault="00022714" w:rsidP="007B7E4B">
            <w:pPr>
              <w:pStyle w:val="tabelNummers"/>
            </w:pPr>
            <w:r w:rsidRPr="00022714">
              <w:t>4.3</w:t>
            </w:r>
          </w:p>
        </w:tc>
        <w:tc>
          <w:tcPr>
            <w:tcW w:w="1007" w:type="dxa"/>
            <w:tcBorders>
              <w:top w:val="nil"/>
              <w:bottom w:val="nil"/>
            </w:tcBorders>
          </w:tcPr>
          <w:p w14:paraId="49B959A1" w14:textId="77777777" w:rsidR="00022714" w:rsidRPr="00022714" w:rsidRDefault="00022714" w:rsidP="007B7E4B">
            <w:pPr>
              <w:pStyle w:val="tabelNummers"/>
            </w:pPr>
            <w:r w:rsidRPr="00022714">
              <w:t>8,6</w:t>
            </w:r>
          </w:p>
        </w:tc>
        <w:tc>
          <w:tcPr>
            <w:tcW w:w="1007" w:type="dxa"/>
            <w:tcBorders>
              <w:top w:val="nil"/>
              <w:bottom w:val="nil"/>
            </w:tcBorders>
          </w:tcPr>
          <w:p w14:paraId="66B05A44" w14:textId="77777777" w:rsidR="00022714" w:rsidRPr="00022714" w:rsidRDefault="00022714" w:rsidP="007B7E4B">
            <w:pPr>
              <w:pStyle w:val="tabelNummers"/>
            </w:pPr>
            <w:r w:rsidRPr="00022714">
              <w:t>4,6</w:t>
            </w:r>
          </w:p>
        </w:tc>
      </w:tr>
      <w:tr w:rsidR="00374FE4" w:rsidRPr="00022714" w14:paraId="5272D660" w14:textId="77777777" w:rsidTr="000D2FB8">
        <w:tc>
          <w:tcPr>
            <w:tcW w:w="3114" w:type="dxa"/>
            <w:tcBorders>
              <w:top w:val="nil"/>
              <w:bottom w:val="nil"/>
            </w:tcBorders>
          </w:tcPr>
          <w:p w14:paraId="58A83DDD" w14:textId="77777777" w:rsidR="00022714" w:rsidRPr="00022714" w:rsidRDefault="00022714" w:rsidP="00022714">
            <w:pPr>
              <w:jc w:val="left"/>
              <w:rPr>
                <w:rFonts w:eastAsia="Times New Roman" w:cs="Times New Roman"/>
                <w:color w:val="auto"/>
                <w:sz w:val="20"/>
                <w:szCs w:val="20"/>
                <w:lang w:eastAsia="nl-NL"/>
              </w:rPr>
            </w:pPr>
            <w:r w:rsidRPr="00022714">
              <w:rPr>
                <w:rFonts w:eastAsia="Times New Roman" w:cs="Times New Roman"/>
                <w:color w:val="auto"/>
                <w:sz w:val="20"/>
                <w:szCs w:val="20"/>
                <w:lang w:eastAsia="nl-NL"/>
              </w:rPr>
              <w:t>Metaal en metaalproducten</w:t>
            </w:r>
          </w:p>
        </w:tc>
        <w:tc>
          <w:tcPr>
            <w:tcW w:w="992" w:type="dxa"/>
            <w:tcBorders>
              <w:top w:val="nil"/>
              <w:bottom w:val="nil"/>
            </w:tcBorders>
          </w:tcPr>
          <w:p w14:paraId="495A25D8" w14:textId="77777777" w:rsidR="00022714" w:rsidRPr="00022714" w:rsidRDefault="00022714" w:rsidP="007B7E4B">
            <w:pPr>
              <w:pStyle w:val="tabelNummers"/>
            </w:pPr>
            <w:r w:rsidRPr="00022714">
              <w:t>3,0</w:t>
            </w:r>
          </w:p>
        </w:tc>
        <w:tc>
          <w:tcPr>
            <w:tcW w:w="928" w:type="dxa"/>
            <w:tcBorders>
              <w:top w:val="nil"/>
              <w:bottom w:val="nil"/>
            </w:tcBorders>
          </w:tcPr>
          <w:p w14:paraId="226AB227" w14:textId="77777777" w:rsidR="00022714" w:rsidRPr="00022714" w:rsidRDefault="00022714" w:rsidP="007B7E4B">
            <w:pPr>
              <w:pStyle w:val="tabelNummers"/>
            </w:pPr>
            <w:r w:rsidRPr="00022714">
              <w:t>4,9</w:t>
            </w:r>
          </w:p>
        </w:tc>
        <w:tc>
          <w:tcPr>
            <w:tcW w:w="1007" w:type="dxa"/>
            <w:tcBorders>
              <w:top w:val="nil"/>
              <w:bottom w:val="nil"/>
            </w:tcBorders>
          </w:tcPr>
          <w:p w14:paraId="72413E1C" w14:textId="77777777" w:rsidR="00022714" w:rsidRPr="00022714" w:rsidRDefault="00022714" w:rsidP="007B7E4B">
            <w:pPr>
              <w:pStyle w:val="tabelNummers"/>
            </w:pPr>
            <w:r w:rsidRPr="00022714">
              <w:t>3,8</w:t>
            </w:r>
          </w:p>
        </w:tc>
        <w:tc>
          <w:tcPr>
            <w:tcW w:w="1007" w:type="dxa"/>
            <w:tcBorders>
              <w:top w:val="nil"/>
              <w:bottom w:val="nil"/>
            </w:tcBorders>
          </w:tcPr>
          <w:p w14:paraId="4BF89E00" w14:textId="77777777" w:rsidR="00022714" w:rsidRPr="00022714" w:rsidRDefault="00022714" w:rsidP="007B7E4B">
            <w:pPr>
              <w:pStyle w:val="tabelNummers"/>
            </w:pPr>
            <w:r w:rsidRPr="00022714">
              <w:t>3,0</w:t>
            </w:r>
          </w:p>
        </w:tc>
        <w:tc>
          <w:tcPr>
            <w:tcW w:w="1007" w:type="dxa"/>
            <w:tcBorders>
              <w:top w:val="nil"/>
              <w:bottom w:val="nil"/>
            </w:tcBorders>
          </w:tcPr>
          <w:p w14:paraId="1BD23A26" w14:textId="77777777" w:rsidR="00022714" w:rsidRPr="00022714" w:rsidRDefault="00022714" w:rsidP="007B7E4B">
            <w:pPr>
              <w:pStyle w:val="tabelNummers"/>
            </w:pPr>
            <w:r w:rsidRPr="00022714">
              <w:t>6,9</w:t>
            </w:r>
          </w:p>
        </w:tc>
        <w:tc>
          <w:tcPr>
            <w:tcW w:w="1007" w:type="dxa"/>
            <w:tcBorders>
              <w:top w:val="nil"/>
              <w:bottom w:val="nil"/>
            </w:tcBorders>
          </w:tcPr>
          <w:p w14:paraId="6B0D769B" w14:textId="77777777" w:rsidR="00022714" w:rsidRPr="00022714" w:rsidRDefault="00022714" w:rsidP="007B7E4B">
            <w:pPr>
              <w:pStyle w:val="tabelNummers"/>
            </w:pPr>
            <w:r w:rsidRPr="00022714">
              <w:t>3,7</w:t>
            </w:r>
          </w:p>
        </w:tc>
      </w:tr>
      <w:tr w:rsidR="00374FE4" w:rsidRPr="00022714" w14:paraId="25B3EF75" w14:textId="77777777" w:rsidTr="000D2FB8">
        <w:tc>
          <w:tcPr>
            <w:tcW w:w="3114" w:type="dxa"/>
            <w:tcBorders>
              <w:top w:val="nil"/>
              <w:bottom w:val="nil"/>
            </w:tcBorders>
          </w:tcPr>
          <w:p w14:paraId="5AB5A376" w14:textId="77777777" w:rsidR="00022714" w:rsidRPr="00022714" w:rsidRDefault="00022714" w:rsidP="00022714">
            <w:pPr>
              <w:jc w:val="left"/>
              <w:rPr>
                <w:rFonts w:eastAsia="Times New Roman" w:cs="Times New Roman"/>
                <w:color w:val="auto"/>
                <w:sz w:val="20"/>
                <w:szCs w:val="20"/>
                <w:lang w:eastAsia="nl-NL"/>
              </w:rPr>
            </w:pPr>
            <w:r w:rsidRPr="00022714">
              <w:rPr>
                <w:rFonts w:eastAsia="Times New Roman" w:cs="Times New Roman"/>
                <w:color w:val="auto"/>
                <w:sz w:val="20"/>
                <w:szCs w:val="20"/>
                <w:lang w:eastAsia="nl-NL"/>
              </w:rPr>
              <w:t>Landbouwproducten</w:t>
            </w:r>
          </w:p>
        </w:tc>
        <w:tc>
          <w:tcPr>
            <w:tcW w:w="992" w:type="dxa"/>
            <w:tcBorders>
              <w:top w:val="nil"/>
              <w:bottom w:val="nil"/>
            </w:tcBorders>
          </w:tcPr>
          <w:p w14:paraId="054CDE22" w14:textId="77777777" w:rsidR="00022714" w:rsidRPr="00022714" w:rsidRDefault="00022714" w:rsidP="007B7E4B">
            <w:pPr>
              <w:pStyle w:val="tabelNummers"/>
            </w:pPr>
            <w:r w:rsidRPr="00022714">
              <w:t>3,9</w:t>
            </w:r>
          </w:p>
        </w:tc>
        <w:tc>
          <w:tcPr>
            <w:tcW w:w="928" w:type="dxa"/>
            <w:tcBorders>
              <w:top w:val="nil"/>
              <w:bottom w:val="nil"/>
            </w:tcBorders>
          </w:tcPr>
          <w:p w14:paraId="70F25FEB" w14:textId="77777777" w:rsidR="00022714" w:rsidRPr="00022714" w:rsidRDefault="00022714" w:rsidP="007B7E4B">
            <w:pPr>
              <w:pStyle w:val="tabelNummers"/>
            </w:pPr>
            <w:r w:rsidRPr="00022714">
              <w:t>6,4</w:t>
            </w:r>
          </w:p>
        </w:tc>
        <w:tc>
          <w:tcPr>
            <w:tcW w:w="1007" w:type="dxa"/>
            <w:tcBorders>
              <w:top w:val="nil"/>
              <w:bottom w:val="nil"/>
            </w:tcBorders>
          </w:tcPr>
          <w:p w14:paraId="1D56A299" w14:textId="77777777" w:rsidR="00022714" w:rsidRPr="00022714" w:rsidRDefault="00022714" w:rsidP="007B7E4B">
            <w:pPr>
              <w:pStyle w:val="tabelNummers"/>
            </w:pPr>
            <w:r w:rsidRPr="00022714">
              <w:t>0,8</w:t>
            </w:r>
          </w:p>
        </w:tc>
        <w:tc>
          <w:tcPr>
            <w:tcW w:w="1007" w:type="dxa"/>
            <w:tcBorders>
              <w:top w:val="nil"/>
              <w:bottom w:val="nil"/>
            </w:tcBorders>
          </w:tcPr>
          <w:p w14:paraId="1FA89489" w14:textId="77777777" w:rsidR="00022714" w:rsidRPr="00022714" w:rsidRDefault="00022714" w:rsidP="007B7E4B">
            <w:pPr>
              <w:pStyle w:val="tabelNummers"/>
            </w:pPr>
            <w:r w:rsidRPr="00022714">
              <w:t>0,6</w:t>
            </w:r>
          </w:p>
        </w:tc>
        <w:tc>
          <w:tcPr>
            <w:tcW w:w="1007" w:type="dxa"/>
            <w:tcBorders>
              <w:top w:val="nil"/>
              <w:bottom w:val="nil"/>
            </w:tcBorders>
          </w:tcPr>
          <w:p w14:paraId="21571427" w14:textId="77777777" w:rsidR="00022714" w:rsidRPr="00022714" w:rsidRDefault="00022714" w:rsidP="007B7E4B">
            <w:pPr>
              <w:pStyle w:val="tabelNummers"/>
            </w:pPr>
            <w:r w:rsidRPr="00022714">
              <w:t>4,6</w:t>
            </w:r>
          </w:p>
        </w:tc>
        <w:tc>
          <w:tcPr>
            <w:tcW w:w="1007" w:type="dxa"/>
            <w:tcBorders>
              <w:top w:val="nil"/>
              <w:bottom w:val="nil"/>
            </w:tcBorders>
          </w:tcPr>
          <w:p w14:paraId="24ACE17B" w14:textId="77777777" w:rsidR="00022714" w:rsidRPr="00022714" w:rsidRDefault="00022714" w:rsidP="007B7E4B">
            <w:pPr>
              <w:pStyle w:val="tabelNummers"/>
            </w:pPr>
            <w:r w:rsidRPr="00022714">
              <w:t>2,5</w:t>
            </w:r>
          </w:p>
        </w:tc>
      </w:tr>
      <w:tr w:rsidR="00374FE4" w:rsidRPr="00022714" w14:paraId="68751A0D" w14:textId="77777777" w:rsidTr="000D2FB8">
        <w:tc>
          <w:tcPr>
            <w:tcW w:w="3114" w:type="dxa"/>
            <w:tcBorders>
              <w:top w:val="nil"/>
            </w:tcBorders>
          </w:tcPr>
          <w:p w14:paraId="6161D867" w14:textId="77777777" w:rsidR="00022714" w:rsidRPr="00022714" w:rsidRDefault="00022714" w:rsidP="00022714">
            <w:pPr>
              <w:jc w:val="left"/>
              <w:rPr>
                <w:rFonts w:eastAsia="Times New Roman" w:cs="Times New Roman"/>
                <w:color w:val="auto"/>
                <w:sz w:val="20"/>
                <w:szCs w:val="20"/>
                <w:lang w:eastAsia="nl-NL"/>
              </w:rPr>
            </w:pPr>
            <w:r w:rsidRPr="00022714">
              <w:rPr>
                <w:rFonts w:eastAsia="Times New Roman" w:cs="Times New Roman"/>
                <w:color w:val="auto"/>
                <w:sz w:val="20"/>
                <w:szCs w:val="20"/>
                <w:lang w:eastAsia="nl-NL"/>
              </w:rPr>
              <w:t>Overige</w:t>
            </w:r>
          </w:p>
        </w:tc>
        <w:tc>
          <w:tcPr>
            <w:tcW w:w="992" w:type="dxa"/>
            <w:tcBorders>
              <w:top w:val="nil"/>
            </w:tcBorders>
          </w:tcPr>
          <w:p w14:paraId="01B7C216" w14:textId="77777777" w:rsidR="00022714" w:rsidRPr="00022714" w:rsidRDefault="00022714" w:rsidP="007B7E4B">
            <w:pPr>
              <w:pStyle w:val="tabelNummers"/>
            </w:pPr>
            <w:r w:rsidRPr="00022714">
              <w:t>4,6</w:t>
            </w:r>
          </w:p>
        </w:tc>
        <w:tc>
          <w:tcPr>
            <w:tcW w:w="928" w:type="dxa"/>
            <w:tcBorders>
              <w:top w:val="nil"/>
            </w:tcBorders>
          </w:tcPr>
          <w:p w14:paraId="019D713B" w14:textId="77777777" w:rsidR="00022714" w:rsidRPr="00022714" w:rsidRDefault="00022714" w:rsidP="007B7E4B">
            <w:pPr>
              <w:pStyle w:val="tabelNummers"/>
            </w:pPr>
            <w:r w:rsidRPr="00022714">
              <w:t>7,6</w:t>
            </w:r>
          </w:p>
        </w:tc>
        <w:tc>
          <w:tcPr>
            <w:tcW w:w="1007" w:type="dxa"/>
            <w:tcBorders>
              <w:top w:val="nil"/>
            </w:tcBorders>
          </w:tcPr>
          <w:p w14:paraId="100D907F" w14:textId="77777777" w:rsidR="00022714" w:rsidRPr="00022714" w:rsidRDefault="00022714" w:rsidP="007B7E4B">
            <w:pPr>
              <w:pStyle w:val="tabelNummers"/>
            </w:pPr>
            <w:r w:rsidRPr="00022714">
              <w:t>4,6</w:t>
            </w:r>
          </w:p>
        </w:tc>
        <w:tc>
          <w:tcPr>
            <w:tcW w:w="1007" w:type="dxa"/>
            <w:tcBorders>
              <w:top w:val="nil"/>
            </w:tcBorders>
          </w:tcPr>
          <w:p w14:paraId="736D1B1D" w14:textId="77777777" w:rsidR="00022714" w:rsidRPr="00022714" w:rsidRDefault="00022714" w:rsidP="007B7E4B">
            <w:pPr>
              <w:pStyle w:val="tabelNummers"/>
            </w:pPr>
            <w:r w:rsidRPr="00022714">
              <w:t>3,7</w:t>
            </w:r>
          </w:p>
        </w:tc>
        <w:tc>
          <w:tcPr>
            <w:tcW w:w="1007" w:type="dxa"/>
            <w:tcBorders>
              <w:top w:val="nil"/>
            </w:tcBorders>
          </w:tcPr>
          <w:p w14:paraId="3BB62373" w14:textId="77777777" w:rsidR="00022714" w:rsidRPr="00022714" w:rsidRDefault="00022714" w:rsidP="007B7E4B">
            <w:pPr>
              <w:pStyle w:val="tabelNummers"/>
            </w:pPr>
            <w:r w:rsidRPr="00022714">
              <w:t>9,3</w:t>
            </w:r>
          </w:p>
        </w:tc>
        <w:tc>
          <w:tcPr>
            <w:tcW w:w="1007" w:type="dxa"/>
            <w:tcBorders>
              <w:top w:val="nil"/>
            </w:tcBorders>
          </w:tcPr>
          <w:p w14:paraId="557ABED4" w14:textId="77777777" w:rsidR="00022714" w:rsidRPr="00022714" w:rsidRDefault="00022714" w:rsidP="007B7E4B">
            <w:pPr>
              <w:pStyle w:val="tabelNummers"/>
            </w:pPr>
            <w:r w:rsidRPr="00022714">
              <w:t>5,0</w:t>
            </w:r>
          </w:p>
        </w:tc>
      </w:tr>
      <w:tr w:rsidR="00374FE4" w:rsidRPr="00022714" w14:paraId="5BA8A549" w14:textId="77777777" w:rsidTr="000D2FB8">
        <w:tc>
          <w:tcPr>
            <w:tcW w:w="3114" w:type="dxa"/>
          </w:tcPr>
          <w:p w14:paraId="1995BF0D" w14:textId="77777777" w:rsidR="00022714" w:rsidRPr="00022714" w:rsidRDefault="00022714" w:rsidP="00022714">
            <w:pPr>
              <w:jc w:val="center"/>
              <w:rPr>
                <w:rFonts w:eastAsia="Times New Roman" w:cs="Times New Roman"/>
                <w:color w:val="auto"/>
                <w:sz w:val="20"/>
                <w:szCs w:val="20"/>
                <w:lang w:eastAsia="nl-NL"/>
              </w:rPr>
            </w:pPr>
          </w:p>
        </w:tc>
        <w:tc>
          <w:tcPr>
            <w:tcW w:w="992" w:type="dxa"/>
          </w:tcPr>
          <w:p w14:paraId="20CF0561" w14:textId="77777777" w:rsidR="00022714" w:rsidRPr="00022714" w:rsidRDefault="00022714" w:rsidP="007B7E4B">
            <w:pPr>
              <w:pStyle w:val="tabelNummers"/>
            </w:pPr>
            <w:r w:rsidRPr="00022714">
              <w:t>60,8</w:t>
            </w:r>
          </w:p>
        </w:tc>
        <w:tc>
          <w:tcPr>
            <w:tcW w:w="928" w:type="dxa"/>
          </w:tcPr>
          <w:p w14:paraId="410E21CC" w14:textId="77777777" w:rsidR="00022714" w:rsidRPr="00022714" w:rsidRDefault="00022714" w:rsidP="007B7E4B">
            <w:pPr>
              <w:pStyle w:val="tabelNummers"/>
            </w:pPr>
            <w:r w:rsidRPr="00022714">
              <w:t>100,0</w:t>
            </w:r>
          </w:p>
        </w:tc>
        <w:tc>
          <w:tcPr>
            <w:tcW w:w="1007" w:type="dxa"/>
          </w:tcPr>
          <w:p w14:paraId="5633547E" w14:textId="77777777" w:rsidR="00022714" w:rsidRPr="00022714" w:rsidRDefault="00022714" w:rsidP="007B7E4B">
            <w:pPr>
              <w:pStyle w:val="tabelNummers"/>
            </w:pPr>
            <w:r w:rsidRPr="00022714">
              <w:t>125,2</w:t>
            </w:r>
          </w:p>
        </w:tc>
        <w:tc>
          <w:tcPr>
            <w:tcW w:w="1007" w:type="dxa"/>
          </w:tcPr>
          <w:p w14:paraId="0A3D4742" w14:textId="1DDC3B81" w:rsidR="00022714" w:rsidRPr="00022714" w:rsidRDefault="00022714" w:rsidP="007B7E4B">
            <w:pPr>
              <w:pStyle w:val="tabelNummers"/>
            </w:pPr>
            <w:r w:rsidRPr="00022714">
              <w:t>100</w:t>
            </w:r>
            <w:r w:rsidR="009D4356">
              <w:t>,</w:t>
            </w:r>
            <w:r w:rsidRPr="00022714">
              <w:t>0</w:t>
            </w:r>
          </w:p>
        </w:tc>
        <w:tc>
          <w:tcPr>
            <w:tcW w:w="1007" w:type="dxa"/>
          </w:tcPr>
          <w:p w14:paraId="6BE36E83" w14:textId="77777777" w:rsidR="00022714" w:rsidRPr="00022714" w:rsidRDefault="00022714" w:rsidP="007B7E4B">
            <w:pPr>
              <w:pStyle w:val="tabelNummers"/>
            </w:pPr>
            <w:r w:rsidRPr="00022714">
              <w:t>186,0</w:t>
            </w:r>
          </w:p>
        </w:tc>
        <w:tc>
          <w:tcPr>
            <w:tcW w:w="1007" w:type="dxa"/>
          </w:tcPr>
          <w:p w14:paraId="0F1398FF" w14:textId="77777777" w:rsidR="00022714" w:rsidRPr="00022714" w:rsidRDefault="00022714" w:rsidP="007B7E4B">
            <w:pPr>
              <w:pStyle w:val="tabelNummers"/>
            </w:pPr>
            <w:r w:rsidRPr="00022714">
              <w:t>100,0</w:t>
            </w:r>
          </w:p>
        </w:tc>
      </w:tr>
    </w:tbl>
    <w:p w14:paraId="3F261862" w14:textId="77777777" w:rsidR="00022714" w:rsidRPr="00022714" w:rsidRDefault="00022714" w:rsidP="00022714">
      <w:pPr>
        <w:spacing w:line="240" w:lineRule="auto"/>
        <w:jc w:val="left"/>
        <w:rPr>
          <w:rFonts w:eastAsia="Times New Roman" w:cs="Times New Roman"/>
          <w:color w:val="auto"/>
          <w:szCs w:val="24"/>
          <w:lang w:eastAsia="nl-NL"/>
        </w:rPr>
      </w:pPr>
    </w:p>
    <w:p w14:paraId="25A56E47" w14:textId="64A53BEE" w:rsidR="00022714" w:rsidRPr="00516744" w:rsidRDefault="00022714" w:rsidP="00022714">
      <w:pPr>
        <w:spacing w:line="240" w:lineRule="auto"/>
        <w:jc w:val="left"/>
        <w:rPr>
          <w:rFonts w:eastAsia="Times New Roman" w:cs="Times New Roman"/>
          <w:i/>
          <w:iCs/>
          <w:color w:val="auto"/>
          <w:szCs w:val="24"/>
          <w:lang w:eastAsia="nl-NL"/>
        </w:rPr>
      </w:pPr>
      <w:r w:rsidRPr="00022714">
        <w:rPr>
          <w:rFonts w:eastAsia="Times New Roman" w:cs="Times New Roman"/>
          <w:i/>
          <w:iCs/>
          <w:color w:val="auto"/>
          <w:szCs w:val="24"/>
          <w:lang w:eastAsia="nl-NL"/>
        </w:rPr>
        <w:t>Tabel 5</w:t>
      </w:r>
      <w:r w:rsidR="00A93A4C">
        <w:rPr>
          <w:rFonts w:eastAsia="Times New Roman" w:cs="Times New Roman"/>
          <w:i/>
          <w:iCs/>
          <w:color w:val="auto"/>
          <w:szCs w:val="24"/>
          <w:lang w:eastAsia="nl-NL"/>
        </w:rPr>
        <w:t>:</w:t>
      </w:r>
      <w:r w:rsidRPr="00022714">
        <w:rPr>
          <w:rFonts w:eastAsia="Times New Roman" w:cs="Times New Roman"/>
          <w:i/>
          <w:iCs/>
          <w:color w:val="auto"/>
          <w:szCs w:val="24"/>
          <w:lang w:eastAsia="nl-NL"/>
        </w:rPr>
        <w:t xml:space="preserve"> Internationaal vervoer per binnenschip in 2022</w:t>
      </w:r>
      <w:r w:rsidR="00601C00">
        <w:rPr>
          <w:rFonts w:eastAsia="Times New Roman" w:cs="Times New Roman"/>
          <w:i/>
          <w:iCs/>
          <w:color w:val="auto"/>
          <w:szCs w:val="24"/>
          <w:lang w:eastAsia="nl-NL"/>
        </w:rPr>
        <w:t>.</w:t>
      </w:r>
      <w:r w:rsidRPr="00022714">
        <w:rPr>
          <w:rFonts w:eastAsia="Times New Roman" w:cs="Times New Roman"/>
          <w:color w:val="auto"/>
          <w:szCs w:val="24"/>
          <w:vertAlign w:val="superscript"/>
          <w:lang w:eastAsia="nl-NL"/>
        </w:rPr>
        <w:endnoteReference w:id="31"/>
      </w:r>
    </w:p>
    <w:p w14:paraId="7CD663E1" w14:textId="57E12326" w:rsidR="00A40673" w:rsidRDefault="00A40673" w:rsidP="00DE08B1">
      <w:pPr>
        <w:jc w:val="left"/>
        <w:rPr>
          <w:lang w:eastAsia="nl-NL"/>
        </w:rPr>
      </w:pPr>
    </w:p>
    <w:p w14:paraId="14668001" w14:textId="77777777" w:rsidR="00A77BF9" w:rsidRPr="00A77BF9" w:rsidRDefault="00A77BF9" w:rsidP="00A77BF9">
      <w:pPr>
        <w:spacing w:line="240" w:lineRule="auto"/>
        <w:jc w:val="left"/>
        <w:rPr>
          <w:rFonts w:eastAsia="Times New Roman" w:cs="Times New Roman"/>
          <w:color w:val="auto"/>
          <w:szCs w:val="24"/>
          <w:lang w:eastAsia="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387"/>
        <w:gridCol w:w="1410"/>
        <w:gridCol w:w="1650"/>
        <w:gridCol w:w="1718"/>
        <w:gridCol w:w="1492"/>
      </w:tblGrid>
      <w:tr w:rsidR="00A77BF9" w:rsidRPr="00A77BF9" w14:paraId="50F85F34" w14:textId="77777777" w:rsidTr="000D2FB8">
        <w:trPr>
          <w:trHeight w:val="567"/>
        </w:trPr>
        <w:tc>
          <w:tcPr>
            <w:tcW w:w="1405" w:type="dxa"/>
            <w:vMerge w:val="restart"/>
          </w:tcPr>
          <w:p w14:paraId="3B495A84" w14:textId="77777777" w:rsidR="00A77BF9" w:rsidRPr="005272EA" w:rsidRDefault="00A77BF9" w:rsidP="00A77BF9">
            <w:pPr>
              <w:spacing w:line="240" w:lineRule="auto"/>
              <w:jc w:val="center"/>
              <w:rPr>
                <w:rFonts w:eastAsia="Times New Roman" w:cs="Times New Roman"/>
                <w:b/>
                <w:color w:val="auto"/>
                <w:sz w:val="20"/>
                <w:szCs w:val="20"/>
                <w:lang w:eastAsia="nl-NL"/>
              </w:rPr>
            </w:pPr>
            <w:r w:rsidRPr="005272EA">
              <w:rPr>
                <w:rFonts w:eastAsia="Times New Roman" w:cs="Times New Roman"/>
                <w:b/>
                <w:color w:val="auto"/>
                <w:sz w:val="20"/>
                <w:szCs w:val="20"/>
                <w:lang w:eastAsia="nl-NL"/>
              </w:rPr>
              <w:t>Jaar</w:t>
            </w:r>
          </w:p>
        </w:tc>
        <w:tc>
          <w:tcPr>
            <w:tcW w:w="6165" w:type="dxa"/>
            <w:gridSpan w:val="4"/>
          </w:tcPr>
          <w:p w14:paraId="08223D9E" w14:textId="77777777" w:rsidR="00A77BF9" w:rsidRPr="005272EA" w:rsidRDefault="00A77BF9" w:rsidP="00995EA3">
            <w:pPr>
              <w:pStyle w:val="tabelKop"/>
              <w:rPr>
                <w:lang w:eastAsia="nl-NL"/>
              </w:rPr>
            </w:pPr>
            <w:r w:rsidRPr="005272EA">
              <w:rPr>
                <w:lang w:eastAsia="nl-NL"/>
              </w:rPr>
              <w:t>Internationaal vervoer</w:t>
            </w:r>
          </w:p>
          <w:p w14:paraId="24A28AB3" w14:textId="13729CBC" w:rsidR="00A77BF9" w:rsidRPr="005272EA" w:rsidRDefault="00A77BF9" w:rsidP="00995EA3">
            <w:pPr>
              <w:pStyle w:val="tabelKop"/>
              <w:rPr>
                <w:lang w:eastAsia="nl-NL"/>
              </w:rPr>
            </w:pPr>
            <w:r w:rsidRPr="005272EA">
              <w:rPr>
                <w:lang w:eastAsia="nl-NL"/>
              </w:rPr>
              <w:t>(x 1</w:t>
            </w:r>
            <w:r w:rsidR="00106D73">
              <w:rPr>
                <w:lang w:eastAsia="nl-NL"/>
              </w:rPr>
              <w:t>.</w:t>
            </w:r>
            <w:r w:rsidRPr="005272EA">
              <w:rPr>
                <w:lang w:eastAsia="nl-NL"/>
              </w:rPr>
              <w:t>000 TEU*)</w:t>
            </w:r>
          </w:p>
        </w:tc>
        <w:tc>
          <w:tcPr>
            <w:tcW w:w="1492" w:type="dxa"/>
            <w:vMerge w:val="restart"/>
          </w:tcPr>
          <w:p w14:paraId="0AAFC6A1" w14:textId="77777777" w:rsidR="00A77BF9" w:rsidRPr="005272EA" w:rsidRDefault="00A77BF9" w:rsidP="00995EA3">
            <w:pPr>
              <w:pStyle w:val="tabelKop"/>
              <w:rPr>
                <w:lang w:eastAsia="nl-NL"/>
              </w:rPr>
            </w:pPr>
            <w:r w:rsidRPr="005272EA">
              <w:rPr>
                <w:lang w:eastAsia="nl-NL"/>
              </w:rPr>
              <w:t>Binnenlands vervoer</w:t>
            </w:r>
          </w:p>
          <w:p w14:paraId="1463BA8D" w14:textId="2EF38E79" w:rsidR="00A77BF9" w:rsidRPr="005272EA" w:rsidRDefault="00A77BF9" w:rsidP="00995EA3">
            <w:pPr>
              <w:pStyle w:val="tabelKop"/>
              <w:rPr>
                <w:lang w:eastAsia="nl-NL"/>
              </w:rPr>
            </w:pPr>
            <w:r w:rsidRPr="005272EA">
              <w:rPr>
                <w:lang w:eastAsia="nl-NL"/>
              </w:rPr>
              <w:t>(x 1</w:t>
            </w:r>
            <w:r w:rsidR="00106D73">
              <w:rPr>
                <w:lang w:eastAsia="nl-NL"/>
              </w:rPr>
              <w:t>.</w:t>
            </w:r>
            <w:r w:rsidRPr="005272EA">
              <w:rPr>
                <w:lang w:eastAsia="nl-NL"/>
              </w:rPr>
              <w:t>000 TEU*)</w:t>
            </w:r>
          </w:p>
        </w:tc>
      </w:tr>
      <w:tr w:rsidR="00A77BF9" w:rsidRPr="00A77BF9" w14:paraId="4DDB9F37" w14:textId="77777777" w:rsidTr="000D2FB8">
        <w:trPr>
          <w:trHeight w:val="567"/>
        </w:trPr>
        <w:tc>
          <w:tcPr>
            <w:tcW w:w="1405" w:type="dxa"/>
            <w:vMerge/>
            <w:tcBorders>
              <w:bottom w:val="single" w:sz="4" w:space="0" w:color="auto"/>
            </w:tcBorders>
          </w:tcPr>
          <w:p w14:paraId="63693FA1" w14:textId="77777777" w:rsidR="00A77BF9" w:rsidRPr="00A77BF9" w:rsidRDefault="00A77BF9" w:rsidP="00A77BF9">
            <w:pPr>
              <w:spacing w:line="240" w:lineRule="auto"/>
              <w:jc w:val="center"/>
              <w:rPr>
                <w:rFonts w:eastAsia="Times New Roman" w:cs="Times New Roman"/>
                <w:color w:val="auto"/>
                <w:sz w:val="20"/>
                <w:szCs w:val="20"/>
                <w:lang w:eastAsia="nl-NL"/>
              </w:rPr>
            </w:pPr>
          </w:p>
        </w:tc>
        <w:tc>
          <w:tcPr>
            <w:tcW w:w="1387" w:type="dxa"/>
            <w:tcBorders>
              <w:bottom w:val="single" w:sz="4" w:space="0" w:color="auto"/>
            </w:tcBorders>
          </w:tcPr>
          <w:p w14:paraId="57BAF959" w14:textId="77777777" w:rsidR="00A77BF9" w:rsidRPr="00A77BF9" w:rsidRDefault="00A77BF9" w:rsidP="00A77BF9">
            <w:pPr>
              <w:spacing w:line="240" w:lineRule="auto"/>
              <w:jc w:val="center"/>
              <w:rPr>
                <w:rFonts w:eastAsia="Times New Roman" w:cs="Times New Roman"/>
                <w:color w:val="auto"/>
                <w:sz w:val="20"/>
                <w:szCs w:val="20"/>
                <w:lang w:eastAsia="nl-NL"/>
              </w:rPr>
            </w:pPr>
            <w:r w:rsidRPr="00A77BF9">
              <w:rPr>
                <w:rFonts w:eastAsia="Times New Roman" w:cs="Times New Roman"/>
                <w:color w:val="auto"/>
                <w:sz w:val="20"/>
                <w:szCs w:val="20"/>
                <w:lang w:eastAsia="nl-NL"/>
              </w:rPr>
              <w:t>Totaal</w:t>
            </w:r>
          </w:p>
        </w:tc>
        <w:tc>
          <w:tcPr>
            <w:tcW w:w="1410" w:type="dxa"/>
            <w:tcBorders>
              <w:bottom w:val="single" w:sz="4" w:space="0" w:color="auto"/>
            </w:tcBorders>
          </w:tcPr>
          <w:p w14:paraId="3AFCC0D2" w14:textId="77777777" w:rsidR="00A77BF9" w:rsidRPr="00A77BF9" w:rsidRDefault="00A77BF9" w:rsidP="00A77BF9">
            <w:pPr>
              <w:spacing w:line="240" w:lineRule="auto"/>
              <w:jc w:val="center"/>
              <w:rPr>
                <w:rFonts w:eastAsia="Times New Roman" w:cs="Times New Roman"/>
                <w:color w:val="auto"/>
                <w:sz w:val="20"/>
                <w:szCs w:val="20"/>
                <w:lang w:eastAsia="nl-NL"/>
              </w:rPr>
            </w:pPr>
            <w:r w:rsidRPr="00A77BF9">
              <w:rPr>
                <w:rFonts w:eastAsia="Times New Roman" w:cs="Times New Roman"/>
                <w:color w:val="auto"/>
                <w:sz w:val="20"/>
                <w:szCs w:val="20"/>
                <w:lang w:eastAsia="nl-NL"/>
              </w:rPr>
              <w:t>Geladen in Nederland</w:t>
            </w:r>
          </w:p>
        </w:tc>
        <w:tc>
          <w:tcPr>
            <w:tcW w:w="1650" w:type="dxa"/>
            <w:tcBorders>
              <w:bottom w:val="single" w:sz="4" w:space="0" w:color="auto"/>
            </w:tcBorders>
          </w:tcPr>
          <w:p w14:paraId="0D7E0AF0" w14:textId="77777777" w:rsidR="00A77BF9" w:rsidRPr="00A77BF9" w:rsidRDefault="00A77BF9" w:rsidP="00A77BF9">
            <w:pPr>
              <w:spacing w:line="240" w:lineRule="auto"/>
              <w:jc w:val="center"/>
              <w:rPr>
                <w:rFonts w:eastAsia="Times New Roman" w:cs="Times New Roman"/>
                <w:color w:val="auto"/>
                <w:sz w:val="20"/>
                <w:szCs w:val="20"/>
                <w:lang w:eastAsia="nl-NL"/>
              </w:rPr>
            </w:pPr>
            <w:r w:rsidRPr="00A77BF9">
              <w:rPr>
                <w:rFonts w:eastAsia="Times New Roman" w:cs="Times New Roman"/>
                <w:color w:val="auto"/>
                <w:sz w:val="20"/>
                <w:szCs w:val="20"/>
                <w:lang w:eastAsia="nl-NL"/>
              </w:rPr>
              <w:t xml:space="preserve">Gelost in </w:t>
            </w:r>
          </w:p>
          <w:p w14:paraId="37765A14" w14:textId="77777777" w:rsidR="00A77BF9" w:rsidRPr="00A77BF9" w:rsidRDefault="00A77BF9" w:rsidP="00A77BF9">
            <w:pPr>
              <w:spacing w:line="240" w:lineRule="auto"/>
              <w:jc w:val="center"/>
              <w:rPr>
                <w:rFonts w:eastAsia="Times New Roman" w:cs="Times New Roman"/>
                <w:color w:val="auto"/>
                <w:sz w:val="20"/>
                <w:szCs w:val="20"/>
                <w:lang w:eastAsia="nl-NL"/>
              </w:rPr>
            </w:pPr>
            <w:r w:rsidRPr="00A77BF9">
              <w:rPr>
                <w:rFonts w:eastAsia="Times New Roman" w:cs="Times New Roman"/>
                <w:color w:val="auto"/>
                <w:sz w:val="20"/>
                <w:szCs w:val="20"/>
                <w:lang w:eastAsia="nl-NL"/>
              </w:rPr>
              <w:t>Nederland</w:t>
            </w:r>
          </w:p>
        </w:tc>
        <w:tc>
          <w:tcPr>
            <w:tcW w:w="1718" w:type="dxa"/>
            <w:tcBorders>
              <w:bottom w:val="single" w:sz="4" w:space="0" w:color="auto"/>
            </w:tcBorders>
          </w:tcPr>
          <w:p w14:paraId="526A7048" w14:textId="77777777" w:rsidR="00A77BF9" w:rsidRPr="00A77BF9" w:rsidRDefault="00A77BF9" w:rsidP="00A77BF9">
            <w:pPr>
              <w:spacing w:line="240" w:lineRule="auto"/>
              <w:jc w:val="center"/>
              <w:rPr>
                <w:rFonts w:eastAsia="Times New Roman" w:cs="Times New Roman"/>
                <w:color w:val="auto"/>
                <w:sz w:val="20"/>
                <w:szCs w:val="20"/>
                <w:lang w:eastAsia="nl-NL"/>
              </w:rPr>
            </w:pPr>
            <w:r w:rsidRPr="00A77BF9">
              <w:rPr>
                <w:rFonts w:eastAsia="Times New Roman" w:cs="Times New Roman"/>
                <w:color w:val="auto"/>
                <w:sz w:val="20"/>
                <w:szCs w:val="20"/>
                <w:lang w:eastAsia="nl-NL"/>
              </w:rPr>
              <w:t>Doorvoer</w:t>
            </w:r>
          </w:p>
        </w:tc>
        <w:tc>
          <w:tcPr>
            <w:tcW w:w="1492" w:type="dxa"/>
            <w:vMerge/>
            <w:tcBorders>
              <w:bottom w:val="single" w:sz="4" w:space="0" w:color="auto"/>
            </w:tcBorders>
          </w:tcPr>
          <w:p w14:paraId="58624AC7" w14:textId="77777777" w:rsidR="00A77BF9" w:rsidRPr="00A77BF9" w:rsidRDefault="00A77BF9" w:rsidP="00A77BF9">
            <w:pPr>
              <w:spacing w:line="240" w:lineRule="auto"/>
              <w:jc w:val="center"/>
              <w:rPr>
                <w:rFonts w:eastAsia="Times New Roman" w:cs="Times New Roman"/>
                <w:color w:val="auto"/>
                <w:sz w:val="20"/>
                <w:szCs w:val="20"/>
                <w:lang w:eastAsia="nl-NL"/>
              </w:rPr>
            </w:pPr>
          </w:p>
        </w:tc>
      </w:tr>
      <w:tr w:rsidR="00A77BF9" w:rsidRPr="00A77BF9" w14:paraId="64B27E3B" w14:textId="77777777" w:rsidTr="000D2FB8">
        <w:tc>
          <w:tcPr>
            <w:tcW w:w="1405" w:type="dxa"/>
            <w:tcBorders>
              <w:bottom w:val="nil"/>
            </w:tcBorders>
          </w:tcPr>
          <w:p w14:paraId="7D77E289" w14:textId="77777777" w:rsidR="00A77BF9" w:rsidRPr="00A77BF9" w:rsidRDefault="00A77BF9" w:rsidP="00A77BF9">
            <w:pPr>
              <w:spacing w:line="240" w:lineRule="auto"/>
              <w:jc w:val="center"/>
              <w:rPr>
                <w:rFonts w:eastAsia="Times New Roman" w:cs="Times New Roman"/>
                <w:color w:val="auto"/>
                <w:sz w:val="20"/>
                <w:szCs w:val="20"/>
                <w:lang w:eastAsia="nl-NL"/>
              </w:rPr>
            </w:pPr>
            <w:r w:rsidRPr="00A77BF9">
              <w:rPr>
                <w:rFonts w:eastAsia="Times New Roman" w:cs="Times New Roman"/>
                <w:color w:val="auto"/>
                <w:sz w:val="20"/>
                <w:szCs w:val="20"/>
                <w:lang w:eastAsia="nl-NL"/>
              </w:rPr>
              <w:t>1980</w:t>
            </w:r>
          </w:p>
        </w:tc>
        <w:tc>
          <w:tcPr>
            <w:tcW w:w="1387" w:type="dxa"/>
            <w:tcBorders>
              <w:bottom w:val="nil"/>
            </w:tcBorders>
          </w:tcPr>
          <w:p w14:paraId="7B3A8EA3" w14:textId="77777777" w:rsidR="00A77BF9" w:rsidRPr="00A77BF9" w:rsidRDefault="00A77BF9" w:rsidP="00FC4711">
            <w:pPr>
              <w:pStyle w:val="tabelNummers"/>
            </w:pPr>
            <w:r w:rsidRPr="00A77BF9">
              <w:t>60</w:t>
            </w:r>
          </w:p>
        </w:tc>
        <w:tc>
          <w:tcPr>
            <w:tcW w:w="1410" w:type="dxa"/>
            <w:tcBorders>
              <w:bottom w:val="nil"/>
            </w:tcBorders>
          </w:tcPr>
          <w:p w14:paraId="107F0093" w14:textId="4CD260B1" w:rsidR="00A77BF9" w:rsidRPr="00A77BF9" w:rsidRDefault="00F2206B" w:rsidP="00FC4711">
            <w:pPr>
              <w:pStyle w:val="tabelNummers"/>
            </w:pPr>
            <w:r>
              <w:t>-</w:t>
            </w:r>
          </w:p>
        </w:tc>
        <w:tc>
          <w:tcPr>
            <w:tcW w:w="1650" w:type="dxa"/>
            <w:tcBorders>
              <w:bottom w:val="nil"/>
            </w:tcBorders>
          </w:tcPr>
          <w:p w14:paraId="7345B688" w14:textId="337E481A" w:rsidR="00A77BF9" w:rsidRPr="00A77BF9" w:rsidRDefault="00F2206B" w:rsidP="00FC4711">
            <w:pPr>
              <w:pStyle w:val="tabelNummers"/>
            </w:pPr>
            <w:r>
              <w:t>-</w:t>
            </w:r>
          </w:p>
        </w:tc>
        <w:tc>
          <w:tcPr>
            <w:tcW w:w="1718" w:type="dxa"/>
            <w:tcBorders>
              <w:bottom w:val="nil"/>
            </w:tcBorders>
          </w:tcPr>
          <w:p w14:paraId="547862E9" w14:textId="77777777" w:rsidR="00A77BF9" w:rsidRPr="00A77BF9" w:rsidRDefault="00A77BF9" w:rsidP="00FC4711">
            <w:pPr>
              <w:pStyle w:val="tabelNummers"/>
            </w:pPr>
            <w:r w:rsidRPr="00A77BF9">
              <w:t>-</w:t>
            </w:r>
          </w:p>
        </w:tc>
        <w:tc>
          <w:tcPr>
            <w:tcW w:w="1492" w:type="dxa"/>
            <w:tcBorders>
              <w:bottom w:val="nil"/>
            </w:tcBorders>
          </w:tcPr>
          <w:p w14:paraId="297766E1" w14:textId="77777777" w:rsidR="00A77BF9" w:rsidRPr="00A77BF9" w:rsidRDefault="00A77BF9" w:rsidP="00FC4711">
            <w:pPr>
              <w:pStyle w:val="tabelNummers"/>
            </w:pPr>
            <w:r w:rsidRPr="00A77BF9">
              <w:t>-</w:t>
            </w:r>
          </w:p>
        </w:tc>
      </w:tr>
      <w:tr w:rsidR="00A77BF9" w:rsidRPr="00A77BF9" w14:paraId="3F9659C4" w14:textId="77777777" w:rsidTr="000D2FB8">
        <w:tc>
          <w:tcPr>
            <w:tcW w:w="1405" w:type="dxa"/>
            <w:tcBorders>
              <w:top w:val="nil"/>
              <w:bottom w:val="nil"/>
            </w:tcBorders>
          </w:tcPr>
          <w:p w14:paraId="2EA19BFD" w14:textId="77777777" w:rsidR="00A77BF9" w:rsidRPr="00A77BF9" w:rsidRDefault="00A77BF9" w:rsidP="00A77BF9">
            <w:pPr>
              <w:spacing w:line="240" w:lineRule="auto"/>
              <w:jc w:val="center"/>
              <w:rPr>
                <w:rFonts w:eastAsia="Times New Roman" w:cs="Times New Roman"/>
                <w:color w:val="auto"/>
                <w:sz w:val="20"/>
                <w:szCs w:val="20"/>
                <w:lang w:eastAsia="nl-NL"/>
              </w:rPr>
            </w:pPr>
            <w:r w:rsidRPr="00A77BF9">
              <w:rPr>
                <w:rFonts w:eastAsia="Times New Roman" w:cs="Times New Roman"/>
                <w:color w:val="auto"/>
                <w:sz w:val="20"/>
                <w:szCs w:val="20"/>
                <w:lang w:eastAsia="nl-NL"/>
              </w:rPr>
              <w:t>1994</w:t>
            </w:r>
          </w:p>
        </w:tc>
        <w:tc>
          <w:tcPr>
            <w:tcW w:w="1387" w:type="dxa"/>
            <w:tcBorders>
              <w:top w:val="nil"/>
              <w:bottom w:val="nil"/>
            </w:tcBorders>
          </w:tcPr>
          <w:p w14:paraId="08EA0ABC" w14:textId="77777777" w:rsidR="00A77BF9" w:rsidRPr="00A77BF9" w:rsidRDefault="00A77BF9" w:rsidP="00FC4711">
            <w:pPr>
              <w:pStyle w:val="tabelNummers"/>
            </w:pPr>
            <w:r w:rsidRPr="00A77BF9">
              <w:t>820</w:t>
            </w:r>
          </w:p>
        </w:tc>
        <w:tc>
          <w:tcPr>
            <w:tcW w:w="1410" w:type="dxa"/>
            <w:tcBorders>
              <w:top w:val="nil"/>
              <w:bottom w:val="nil"/>
            </w:tcBorders>
          </w:tcPr>
          <w:p w14:paraId="15AA8F43" w14:textId="151A5AD2" w:rsidR="00A77BF9" w:rsidRPr="00A77BF9" w:rsidRDefault="00F2206B" w:rsidP="00FC4711">
            <w:pPr>
              <w:pStyle w:val="tabelNummers"/>
            </w:pPr>
            <w:r>
              <w:t>-</w:t>
            </w:r>
          </w:p>
        </w:tc>
        <w:tc>
          <w:tcPr>
            <w:tcW w:w="1650" w:type="dxa"/>
            <w:tcBorders>
              <w:top w:val="nil"/>
              <w:bottom w:val="nil"/>
            </w:tcBorders>
          </w:tcPr>
          <w:p w14:paraId="4B46C353" w14:textId="4CB63A20" w:rsidR="00A77BF9" w:rsidRPr="00A77BF9" w:rsidRDefault="00F2206B" w:rsidP="00FC4711">
            <w:pPr>
              <w:pStyle w:val="tabelNummers"/>
            </w:pPr>
            <w:r>
              <w:t>-</w:t>
            </w:r>
          </w:p>
        </w:tc>
        <w:tc>
          <w:tcPr>
            <w:tcW w:w="1718" w:type="dxa"/>
            <w:tcBorders>
              <w:top w:val="nil"/>
              <w:bottom w:val="nil"/>
            </w:tcBorders>
          </w:tcPr>
          <w:p w14:paraId="74C013A7" w14:textId="77777777" w:rsidR="00A77BF9" w:rsidRPr="00A77BF9" w:rsidRDefault="00A77BF9" w:rsidP="00FC4711">
            <w:pPr>
              <w:pStyle w:val="tabelNummers"/>
            </w:pPr>
            <w:r w:rsidRPr="00A77BF9">
              <w:t>180</w:t>
            </w:r>
          </w:p>
        </w:tc>
        <w:tc>
          <w:tcPr>
            <w:tcW w:w="1492" w:type="dxa"/>
            <w:tcBorders>
              <w:top w:val="nil"/>
              <w:bottom w:val="nil"/>
            </w:tcBorders>
          </w:tcPr>
          <w:p w14:paraId="07BED8F8" w14:textId="77777777" w:rsidR="00A77BF9" w:rsidRPr="00A77BF9" w:rsidRDefault="00A77BF9" w:rsidP="00FC4711">
            <w:pPr>
              <w:pStyle w:val="tabelNummers"/>
            </w:pPr>
            <w:r w:rsidRPr="00A77BF9">
              <w:t>70</w:t>
            </w:r>
          </w:p>
        </w:tc>
      </w:tr>
      <w:tr w:rsidR="00A77BF9" w:rsidRPr="00A77BF9" w14:paraId="0C1B1414" w14:textId="77777777" w:rsidTr="000D2FB8">
        <w:tc>
          <w:tcPr>
            <w:tcW w:w="1405" w:type="dxa"/>
            <w:tcBorders>
              <w:top w:val="nil"/>
              <w:bottom w:val="nil"/>
            </w:tcBorders>
          </w:tcPr>
          <w:p w14:paraId="05FE8C79" w14:textId="77777777" w:rsidR="00A77BF9" w:rsidRPr="00A77BF9" w:rsidRDefault="00A77BF9" w:rsidP="00A77BF9">
            <w:pPr>
              <w:spacing w:line="240" w:lineRule="auto"/>
              <w:jc w:val="center"/>
              <w:rPr>
                <w:rFonts w:eastAsia="Times New Roman" w:cs="Times New Roman"/>
                <w:color w:val="auto"/>
                <w:sz w:val="20"/>
                <w:szCs w:val="20"/>
                <w:lang w:eastAsia="nl-NL"/>
              </w:rPr>
            </w:pPr>
            <w:r w:rsidRPr="00A77BF9">
              <w:rPr>
                <w:rFonts w:eastAsia="Times New Roman" w:cs="Times New Roman"/>
                <w:color w:val="auto"/>
                <w:sz w:val="20"/>
                <w:szCs w:val="20"/>
                <w:lang w:eastAsia="nl-NL"/>
              </w:rPr>
              <w:t>2000</w:t>
            </w:r>
          </w:p>
        </w:tc>
        <w:tc>
          <w:tcPr>
            <w:tcW w:w="1387" w:type="dxa"/>
            <w:tcBorders>
              <w:top w:val="nil"/>
              <w:bottom w:val="nil"/>
            </w:tcBorders>
          </w:tcPr>
          <w:p w14:paraId="115FB063" w14:textId="74AD9645" w:rsidR="00A77BF9" w:rsidRPr="00A77BF9" w:rsidRDefault="00A77BF9" w:rsidP="00FC4711">
            <w:pPr>
              <w:pStyle w:val="tabelNummers"/>
            </w:pPr>
            <w:r w:rsidRPr="00A77BF9">
              <w:t>2</w:t>
            </w:r>
            <w:r w:rsidR="000E59EF">
              <w:t>.</w:t>
            </w:r>
            <w:r w:rsidRPr="00A77BF9">
              <w:t>692</w:t>
            </w:r>
          </w:p>
        </w:tc>
        <w:tc>
          <w:tcPr>
            <w:tcW w:w="1410" w:type="dxa"/>
            <w:tcBorders>
              <w:top w:val="nil"/>
              <w:bottom w:val="nil"/>
            </w:tcBorders>
          </w:tcPr>
          <w:p w14:paraId="1EFE82CF" w14:textId="50AD77F2" w:rsidR="00A77BF9" w:rsidRPr="00A77BF9" w:rsidRDefault="00A77BF9" w:rsidP="00FC4711">
            <w:pPr>
              <w:pStyle w:val="tabelNummers"/>
            </w:pPr>
            <w:r w:rsidRPr="00A77BF9">
              <w:t>1</w:t>
            </w:r>
            <w:r w:rsidR="00106D73">
              <w:t>.</w:t>
            </w:r>
            <w:r w:rsidRPr="00A77BF9">
              <w:t>125</w:t>
            </w:r>
          </w:p>
        </w:tc>
        <w:tc>
          <w:tcPr>
            <w:tcW w:w="1650" w:type="dxa"/>
            <w:tcBorders>
              <w:top w:val="nil"/>
              <w:bottom w:val="nil"/>
            </w:tcBorders>
          </w:tcPr>
          <w:p w14:paraId="24ED058F" w14:textId="77777777" w:rsidR="00A77BF9" w:rsidRPr="00A77BF9" w:rsidRDefault="00A77BF9" w:rsidP="00FC4711">
            <w:pPr>
              <w:pStyle w:val="tabelNummers"/>
            </w:pPr>
            <w:r w:rsidRPr="00A77BF9">
              <w:t>978</w:t>
            </w:r>
          </w:p>
        </w:tc>
        <w:tc>
          <w:tcPr>
            <w:tcW w:w="1718" w:type="dxa"/>
            <w:tcBorders>
              <w:top w:val="nil"/>
              <w:bottom w:val="nil"/>
            </w:tcBorders>
          </w:tcPr>
          <w:p w14:paraId="33FB07EE" w14:textId="77777777" w:rsidR="00A77BF9" w:rsidRPr="00A77BF9" w:rsidRDefault="00A77BF9" w:rsidP="00FC4711">
            <w:pPr>
              <w:pStyle w:val="tabelNummers"/>
            </w:pPr>
            <w:r w:rsidRPr="00A77BF9">
              <w:t>589</w:t>
            </w:r>
          </w:p>
        </w:tc>
        <w:tc>
          <w:tcPr>
            <w:tcW w:w="1492" w:type="dxa"/>
            <w:tcBorders>
              <w:top w:val="nil"/>
              <w:bottom w:val="nil"/>
            </w:tcBorders>
          </w:tcPr>
          <w:p w14:paraId="406C0C27" w14:textId="77777777" w:rsidR="00A77BF9" w:rsidRPr="00A77BF9" w:rsidRDefault="00A77BF9" w:rsidP="00FC4711">
            <w:pPr>
              <w:pStyle w:val="tabelNummers"/>
            </w:pPr>
            <w:r w:rsidRPr="00A77BF9">
              <w:t>598</w:t>
            </w:r>
          </w:p>
        </w:tc>
      </w:tr>
      <w:tr w:rsidR="00A77BF9" w:rsidRPr="00A77BF9" w14:paraId="44738836" w14:textId="77777777" w:rsidTr="000D2FB8">
        <w:tc>
          <w:tcPr>
            <w:tcW w:w="1405" w:type="dxa"/>
            <w:tcBorders>
              <w:top w:val="nil"/>
              <w:bottom w:val="nil"/>
            </w:tcBorders>
          </w:tcPr>
          <w:p w14:paraId="05DE09ED" w14:textId="77777777" w:rsidR="00A77BF9" w:rsidRPr="00A77BF9" w:rsidRDefault="00A77BF9" w:rsidP="00A77BF9">
            <w:pPr>
              <w:spacing w:line="240" w:lineRule="auto"/>
              <w:jc w:val="center"/>
              <w:rPr>
                <w:rFonts w:eastAsia="Times New Roman" w:cs="Times New Roman"/>
                <w:color w:val="auto"/>
                <w:sz w:val="20"/>
                <w:szCs w:val="20"/>
                <w:lang w:eastAsia="nl-NL"/>
              </w:rPr>
            </w:pPr>
            <w:r w:rsidRPr="00A77BF9">
              <w:rPr>
                <w:rFonts w:eastAsia="Times New Roman" w:cs="Times New Roman"/>
                <w:color w:val="auto"/>
                <w:sz w:val="20"/>
                <w:szCs w:val="20"/>
                <w:lang w:eastAsia="nl-NL"/>
              </w:rPr>
              <w:t>2010</w:t>
            </w:r>
          </w:p>
        </w:tc>
        <w:tc>
          <w:tcPr>
            <w:tcW w:w="1387" w:type="dxa"/>
            <w:tcBorders>
              <w:top w:val="nil"/>
              <w:bottom w:val="nil"/>
            </w:tcBorders>
          </w:tcPr>
          <w:p w14:paraId="322F8797" w14:textId="426AC409" w:rsidR="00A77BF9" w:rsidRPr="00A77BF9" w:rsidRDefault="00A77BF9" w:rsidP="00FC4711">
            <w:pPr>
              <w:pStyle w:val="tabelNummers"/>
            </w:pPr>
            <w:r w:rsidRPr="00A77BF9">
              <w:t>2</w:t>
            </w:r>
            <w:r w:rsidR="000E59EF">
              <w:t>.</w:t>
            </w:r>
            <w:r w:rsidRPr="00A77BF9">
              <w:t>801</w:t>
            </w:r>
          </w:p>
        </w:tc>
        <w:tc>
          <w:tcPr>
            <w:tcW w:w="1410" w:type="dxa"/>
            <w:tcBorders>
              <w:top w:val="nil"/>
              <w:bottom w:val="nil"/>
            </w:tcBorders>
          </w:tcPr>
          <w:p w14:paraId="64717210" w14:textId="29DF5D66" w:rsidR="00A77BF9" w:rsidRPr="00A77BF9" w:rsidRDefault="00A77BF9" w:rsidP="00FC4711">
            <w:pPr>
              <w:pStyle w:val="tabelNummers"/>
            </w:pPr>
            <w:r w:rsidRPr="00A77BF9">
              <w:t>1</w:t>
            </w:r>
            <w:r w:rsidR="00106D73">
              <w:t>.</w:t>
            </w:r>
            <w:r w:rsidRPr="00A77BF9">
              <w:t>112</w:t>
            </w:r>
          </w:p>
        </w:tc>
        <w:tc>
          <w:tcPr>
            <w:tcW w:w="1650" w:type="dxa"/>
            <w:tcBorders>
              <w:top w:val="nil"/>
              <w:bottom w:val="nil"/>
            </w:tcBorders>
          </w:tcPr>
          <w:p w14:paraId="6F31B137" w14:textId="77777777" w:rsidR="00A77BF9" w:rsidRPr="00A77BF9" w:rsidRDefault="00A77BF9" w:rsidP="00FC4711">
            <w:pPr>
              <w:pStyle w:val="tabelNummers"/>
            </w:pPr>
            <w:r w:rsidRPr="00A77BF9">
              <w:t>986</w:t>
            </w:r>
          </w:p>
        </w:tc>
        <w:tc>
          <w:tcPr>
            <w:tcW w:w="1718" w:type="dxa"/>
            <w:tcBorders>
              <w:top w:val="nil"/>
              <w:bottom w:val="nil"/>
            </w:tcBorders>
          </w:tcPr>
          <w:p w14:paraId="60689047" w14:textId="77777777" w:rsidR="00A77BF9" w:rsidRPr="00A77BF9" w:rsidRDefault="00A77BF9" w:rsidP="00FC4711">
            <w:pPr>
              <w:pStyle w:val="tabelNummers"/>
            </w:pPr>
            <w:r w:rsidRPr="00A77BF9">
              <w:t>703</w:t>
            </w:r>
          </w:p>
        </w:tc>
        <w:tc>
          <w:tcPr>
            <w:tcW w:w="1492" w:type="dxa"/>
            <w:tcBorders>
              <w:top w:val="nil"/>
              <w:bottom w:val="nil"/>
            </w:tcBorders>
          </w:tcPr>
          <w:p w14:paraId="2673D307" w14:textId="3F64AE11" w:rsidR="00A77BF9" w:rsidRPr="00A77BF9" w:rsidRDefault="00A77BF9" w:rsidP="00FC4711">
            <w:pPr>
              <w:pStyle w:val="tabelNummers"/>
            </w:pPr>
            <w:r w:rsidRPr="00A77BF9">
              <w:t>1</w:t>
            </w:r>
            <w:r w:rsidR="000E59EF">
              <w:t>.</w:t>
            </w:r>
            <w:r w:rsidRPr="00A77BF9">
              <w:t>520</w:t>
            </w:r>
          </w:p>
        </w:tc>
      </w:tr>
      <w:tr w:rsidR="00A77BF9" w:rsidRPr="00A77BF9" w14:paraId="47D268C0" w14:textId="77777777" w:rsidTr="000D2FB8">
        <w:tc>
          <w:tcPr>
            <w:tcW w:w="1405" w:type="dxa"/>
            <w:tcBorders>
              <w:top w:val="nil"/>
              <w:bottom w:val="single" w:sz="4" w:space="0" w:color="auto"/>
            </w:tcBorders>
          </w:tcPr>
          <w:p w14:paraId="1F3D6333" w14:textId="77777777" w:rsidR="00A77BF9" w:rsidRPr="00A77BF9" w:rsidRDefault="00A77BF9" w:rsidP="00A77BF9">
            <w:pPr>
              <w:spacing w:line="240" w:lineRule="auto"/>
              <w:jc w:val="center"/>
              <w:rPr>
                <w:rFonts w:eastAsia="Times New Roman" w:cs="Times New Roman"/>
                <w:color w:val="auto"/>
                <w:sz w:val="20"/>
                <w:szCs w:val="20"/>
                <w:lang w:eastAsia="nl-NL"/>
              </w:rPr>
            </w:pPr>
            <w:r w:rsidRPr="00A77BF9">
              <w:rPr>
                <w:rFonts w:eastAsia="Times New Roman" w:cs="Times New Roman"/>
                <w:color w:val="auto"/>
                <w:sz w:val="20"/>
                <w:szCs w:val="20"/>
                <w:lang w:eastAsia="nl-NL"/>
              </w:rPr>
              <w:t>2022</w:t>
            </w:r>
          </w:p>
        </w:tc>
        <w:tc>
          <w:tcPr>
            <w:tcW w:w="1387" w:type="dxa"/>
            <w:tcBorders>
              <w:top w:val="nil"/>
              <w:bottom w:val="single" w:sz="4" w:space="0" w:color="auto"/>
            </w:tcBorders>
          </w:tcPr>
          <w:p w14:paraId="11135E5E" w14:textId="14EF6790" w:rsidR="00A77BF9" w:rsidRPr="00A77BF9" w:rsidRDefault="00A77BF9" w:rsidP="00FC4711">
            <w:pPr>
              <w:pStyle w:val="tabelNummers"/>
            </w:pPr>
            <w:r w:rsidRPr="00A77BF9">
              <w:t>2</w:t>
            </w:r>
            <w:r w:rsidR="000E59EF">
              <w:t>.</w:t>
            </w:r>
            <w:r w:rsidRPr="00A77BF9">
              <w:t>775</w:t>
            </w:r>
          </w:p>
        </w:tc>
        <w:tc>
          <w:tcPr>
            <w:tcW w:w="1410" w:type="dxa"/>
            <w:tcBorders>
              <w:top w:val="nil"/>
              <w:bottom w:val="single" w:sz="4" w:space="0" w:color="auto"/>
            </w:tcBorders>
          </w:tcPr>
          <w:p w14:paraId="2F17F086" w14:textId="790EEDC4" w:rsidR="00A77BF9" w:rsidRPr="00A77BF9" w:rsidRDefault="00A77BF9" w:rsidP="00FC4711">
            <w:pPr>
              <w:pStyle w:val="tabelNummers"/>
            </w:pPr>
            <w:r w:rsidRPr="00A77BF9">
              <w:t>1</w:t>
            </w:r>
            <w:r w:rsidR="00106D73">
              <w:t>.</w:t>
            </w:r>
            <w:r w:rsidRPr="00A77BF9">
              <w:t>103</w:t>
            </w:r>
          </w:p>
        </w:tc>
        <w:tc>
          <w:tcPr>
            <w:tcW w:w="1650" w:type="dxa"/>
            <w:tcBorders>
              <w:top w:val="nil"/>
              <w:bottom w:val="single" w:sz="4" w:space="0" w:color="auto"/>
            </w:tcBorders>
          </w:tcPr>
          <w:p w14:paraId="44731D3F" w14:textId="77777777" w:rsidR="00A77BF9" w:rsidRPr="00A77BF9" w:rsidRDefault="00A77BF9" w:rsidP="00FC4711">
            <w:pPr>
              <w:pStyle w:val="tabelNummers"/>
            </w:pPr>
            <w:r w:rsidRPr="00A77BF9">
              <w:t>705</w:t>
            </w:r>
          </w:p>
        </w:tc>
        <w:tc>
          <w:tcPr>
            <w:tcW w:w="1718" w:type="dxa"/>
            <w:tcBorders>
              <w:top w:val="nil"/>
              <w:bottom w:val="single" w:sz="4" w:space="0" w:color="auto"/>
            </w:tcBorders>
          </w:tcPr>
          <w:p w14:paraId="0F35C831" w14:textId="77777777" w:rsidR="00A77BF9" w:rsidRPr="00A77BF9" w:rsidRDefault="00A77BF9" w:rsidP="00FC4711">
            <w:pPr>
              <w:pStyle w:val="tabelNummers"/>
            </w:pPr>
            <w:r w:rsidRPr="00A77BF9">
              <w:t>966</w:t>
            </w:r>
          </w:p>
        </w:tc>
        <w:tc>
          <w:tcPr>
            <w:tcW w:w="1492" w:type="dxa"/>
            <w:tcBorders>
              <w:top w:val="nil"/>
              <w:bottom w:val="single" w:sz="4" w:space="0" w:color="auto"/>
            </w:tcBorders>
          </w:tcPr>
          <w:p w14:paraId="1D4DAC29" w14:textId="1476A935" w:rsidR="00A77BF9" w:rsidRPr="00A77BF9" w:rsidRDefault="00A77BF9" w:rsidP="00FC4711">
            <w:pPr>
              <w:pStyle w:val="tabelNummers"/>
            </w:pPr>
            <w:r w:rsidRPr="00A77BF9">
              <w:t>2</w:t>
            </w:r>
            <w:r w:rsidR="000E59EF">
              <w:t>.</w:t>
            </w:r>
            <w:r w:rsidRPr="00A77BF9">
              <w:t>303</w:t>
            </w:r>
          </w:p>
        </w:tc>
      </w:tr>
    </w:tbl>
    <w:p w14:paraId="6E096F01" w14:textId="77777777" w:rsidR="00A77BF9" w:rsidRPr="00A77BF9" w:rsidRDefault="00A77BF9" w:rsidP="00A77BF9">
      <w:pPr>
        <w:spacing w:line="240" w:lineRule="auto"/>
        <w:jc w:val="left"/>
        <w:rPr>
          <w:rFonts w:eastAsia="Times New Roman" w:cs="Times New Roman"/>
          <w:color w:val="auto"/>
          <w:szCs w:val="24"/>
          <w:lang w:eastAsia="nl-NL"/>
        </w:rPr>
      </w:pPr>
    </w:p>
    <w:p w14:paraId="11451D92" w14:textId="45BDCF72" w:rsidR="00A77BF9" w:rsidRPr="005272EA" w:rsidRDefault="00A77BF9" w:rsidP="00A77BF9">
      <w:pPr>
        <w:spacing w:line="240" w:lineRule="auto"/>
        <w:jc w:val="left"/>
        <w:rPr>
          <w:rFonts w:eastAsia="Times New Roman" w:cs="Times New Roman"/>
          <w:color w:val="auto"/>
          <w:sz w:val="20"/>
          <w:szCs w:val="20"/>
          <w:lang w:eastAsia="nl-NL"/>
        </w:rPr>
      </w:pPr>
      <w:r w:rsidRPr="0071059A">
        <w:rPr>
          <w:rFonts w:eastAsia="Times New Roman" w:cs="Times New Roman"/>
          <w:i/>
          <w:iCs/>
          <w:color w:val="auto"/>
          <w:sz w:val="20"/>
          <w:szCs w:val="20"/>
          <w:lang w:eastAsia="nl-NL"/>
        </w:rPr>
        <w:t>Tabel</w:t>
      </w:r>
      <w:r w:rsidR="00A93A4C" w:rsidRPr="0071059A">
        <w:rPr>
          <w:rFonts w:eastAsia="Times New Roman" w:cs="Times New Roman"/>
          <w:i/>
          <w:iCs/>
          <w:color w:val="auto"/>
          <w:sz w:val="20"/>
          <w:szCs w:val="20"/>
          <w:lang w:eastAsia="nl-NL"/>
        </w:rPr>
        <w:t xml:space="preserve"> 6: </w:t>
      </w:r>
      <w:r w:rsidRPr="0071059A">
        <w:rPr>
          <w:rFonts w:eastAsia="Times New Roman" w:cs="Times New Roman"/>
          <w:i/>
          <w:iCs/>
          <w:color w:val="auto"/>
          <w:sz w:val="20"/>
          <w:szCs w:val="20"/>
          <w:lang w:eastAsia="nl-NL"/>
        </w:rPr>
        <w:t>O</w:t>
      </w:r>
      <w:r w:rsidRPr="005272EA">
        <w:rPr>
          <w:rFonts w:eastAsia="Times New Roman" w:cs="Times New Roman"/>
          <w:i/>
          <w:iCs/>
          <w:color w:val="auto"/>
          <w:sz w:val="20"/>
          <w:szCs w:val="20"/>
          <w:lang w:eastAsia="nl-NL"/>
        </w:rPr>
        <w:t xml:space="preserve">ntwikkeling van het containervervoer per binnenschip </w:t>
      </w:r>
      <w:r w:rsidRPr="005272EA">
        <w:rPr>
          <w:rFonts w:eastAsia="Times New Roman" w:cs="Times New Roman"/>
          <w:color w:val="auto"/>
          <w:sz w:val="20"/>
          <w:szCs w:val="20"/>
          <w:lang w:eastAsia="nl-NL"/>
        </w:rPr>
        <w:t>(1980-2022).</w:t>
      </w:r>
      <w:r w:rsidRPr="005272EA">
        <w:rPr>
          <w:rFonts w:eastAsia="Times New Roman" w:cs="Times New Roman"/>
          <w:color w:val="auto"/>
          <w:sz w:val="20"/>
          <w:szCs w:val="20"/>
          <w:vertAlign w:val="superscript"/>
          <w:lang w:eastAsia="nl-NL"/>
        </w:rPr>
        <w:endnoteReference w:id="32"/>
      </w:r>
      <w:r w:rsidR="007B4148">
        <w:rPr>
          <w:rFonts w:eastAsia="Times New Roman" w:cs="Times New Roman"/>
          <w:color w:val="auto"/>
          <w:sz w:val="20"/>
          <w:szCs w:val="20"/>
          <w:lang w:eastAsia="nl-NL"/>
        </w:rPr>
        <w:br/>
      </w:r>
      <w:r w:rsidRPr="005272EA">
        <w:rPr>
          <w:rFonts w:eastAsia="Times New Roman" w:cs="Times New Roman"/>
          <w:color w:val="auto"/>
          <w:sz w:val="20"/>
          <w:szCs w:val="20"/>
          <w:lang w:eastAsia="nl-NL"/>
        </w:rPr>
        <w:t>* TEU is een aanduiding voor de omvang van het containervervoer</w:t>
      </w:r>
      <w:r w:rsidR="00F46328" w:rsidRPr="005272EA">
        <w:rPr>
          <w:rFonts w:eastAsia="Times New Roman" w:cs="Times New Roman"/>
          <w:color w:val="auto"/>
          <w:sz w:val="20"/>
          <w:szCs w:val="20"/>
          <w:lang w:eastAsia="nl-NL"/>
        </w:rPr>
        <w:t>.</w:t>
      </w:r>
    </w:p>
    <w:p w14:paraId="238C3545" w14:textId="77777777" w:rsidR="00A77BF9" w:rsidRPr="005272EA" w:rsidRDefault="00A77BF9" w:rsidP="00A77BF9">
      <w:pPr>
        <w:spacing w:line="240" w:lineRule="auto"/>
        <w:jc w:val="left"/>
        <w:rPr>
          <w:rFonts w:eastAsia="Times New Roman" w:cs="Times New Roman"/>
          <w:color w:val="auto"/>
          <w:sz w:val="20"/>
          <w:szCs w:val="20"/>
          <w:lang w:eastAsia="nl-NL"/>
        </w:rPr>
      </w:pPr>
    </w:p>
    <w:p w14:paraId="21D164BC" w14:textId="77777777" w:rsidR="00374FE4" w:rsidRPr="005272EA" w:rsidRDefault="00374FE4" w:rsidP="00374FE4">
      <w:pPr>
        <w:rPr>
          <w:rFonts w:cs="Times New Roman"/>
          <w:color w:val="2E74B5" w:themeColor="accent5" w:themeShade="BF"/>
          <w:sz w:val="20"/>
          <w:szCs w:val="20"/>
          <w:lang w:eastAsia="nl-NL"/>
        </w:rPr>
      </w:pPr>
    </w:p>
    <w:tbl>
      <w:tblPr>
        <w:tblStyle w:val="TableGrid"/>
        <w:tblW w:w="0" w:type="auto"/>
        <w:tblLook w:val="04A0" w:firstRow="1" w:lastRow="0" w:firstColumn="1" w:lastColumn="0" w:noHBand="0" w:noVBand="1"/>
      </w:tblPr>
      <w:tblGrid>
        <w:gridCol w:w="1413"/>
        <w:gridCol w:w="1276"/>
        <w:gridCol w:w="1275"/>
        <w:gridCol w:w="1276"/>
        <w:gridCol w:w="1276"/>
        <w:gridCol w:w="1251"/>
        <w:gridCol w:w="1295"/>
      </w:tblGrid>
      <w:tr w:rsidR="005272EA" w:rsidRPr="005272EA" w14:paraId="0A7D6FDD" w14:textId="77777777" w:rsidTr="000D2FB8">
        <w:trPr>
          <w:trHeight w:val="567"/>
        </w:trPr>
        <w:tc>
          <w:tcPr>
            <w:tcW w:w="1413" w:type="dxa"/>
            <w:vMerge w:val="restart"/>
          </w:tcPr>
          <w:p w14:paraId="79123A23" w14:textId="77777777" w:rsidR="00374FE4" w:rsidRPr="005272EA" w:rsidRDefault="00374FE4" w:rsidP="000D2FB8">
            <w:pPr>
              <w:rPr>
                <w:rFonts w:cs="Times New Roman"/>
                <w:b/>
                <w:color w:val="auto"/>
                <w:sz w:val="20"/>
                <w:szCs w:val="20"/>
                <w:lang w:eastAsia="nl-NL"/>
              </w:rPr>
            </w:pPr>
            <w:r w:rsidRPr="005272EA">
              <w:rPr>
                <w:rFonts w:cs="Times New Roman"/>
                <w:b/>
                <w:color w:val="auto"/>
                <w:sz w:val="20"/>
                <w:szCs w:val="20"/>
                <w:lang w:eastAsia="nl-NL"/>
              </w:rPr>
              <w:t>Vervoerwijze</w:t>
            </w:r>
          </w:p>
        </w:tc>
        <w:tc>
          <w:tcPr>
            <w:tcW w:w="2551" w:type="dxa"/>
            <w:gridSpan w:val="2"/>
          </w:tcPr>
          <w:p w14:paraId="71738A1D" w14:textId="27ED255D" w:rsidR="00374FE4" w:rsidRPr="005272EA" w:rsidRDefault="00374FE4" w:rsidP="00996C5E">
            <w:pPr>
              <w:pStyle w:val="tabelKop"/>
              <w:rPr>
                <w:lang w:eastAsia="nl-NL"/>
              </w:rPr>
            </w:pPr>
            <w:r w:rsidRPr="005272EA">
              <w:rPr>
                <w:lang w:eastAsia="nl-NL"/>
              </w:rPr>
              <w:t>Binnenlands vervoer</w:t>
            </w:r>
            <w:r w:rsidR="00996C5E">
              <w:rPr>
                <w:lang w:eastAsia="nl-NL"/>
              </w:rPr>
              <w:t xml:space="preserve"> </w:t>
            </w:r>
            <w:r w:rsidRPr="005272EA">
              <w:rPr>
                <w:lang w:eastAsia="nl-NL"/>
              </w:rPr>
              <w:t>(mln. ton)</w:t>
            </w:r>
          </w:p>
        </w:tc>
        <w:tc>
          <w:tcPr>
            <w:tcW w:w="2552" w:type="dxa"/>
            <w:gridSpan w:val="2"/>
          </w:tcPr>
          <w:p w14:paraId="55159260" w14:textId="74DFED50" w:rsidR="00374FE4" w:rsidRPr="005272EA" w:rsidRDefault="00374FE4" w:rsidP="00996C5E">
            <w:pPr>
              <w:pStyle w:val="tabelKop"/>
              <w:rPr>
                <w:lang w:eastAsia="nl-NL"/>
              </w:rPr>
            </w:pPr>
            <w:r w:rsidRPr="005272EA">
              <w:rPr>
                <w:lang w:eastAsia="nl-NL"/>
              </w:rPr>
              <w:t>Grensoverschrijdend vervoer</w:t>
            </w:r>
            <w:r w:rsidR="00996C5E">
              <w:rPr>
                <w:lang w:eastAsia="nl-NL"/>
              </w:rPr>
              <w:t xml:space="preserve"> </w:t>
            </w:r>
            <w:r w:rsidRPr="005272EA">
              <w:rPr>
                <w:lang w:eastAsia="nl-NL"/>
              </w:rPr>
              <w:t>(exclusief doorvoer)</w:t>
            </w:r>
            <w:r w:rsidR="00996C5E">
              <w:rPr>
                <w:lang w:eastAsia="nl-NL"/>
              </w:rPr>
              <w:t xml:space="preserve"> </w:t>
            </w:r>
            <w:r w:rsidRPr="005272EA">
              <w:rPr>
                <w:lang w:eastAsia="nl-NL"/>
              </w:rPr>
              <w:t>(mln. ton)</w:t>
            </w:r>
          </w:p>
        </w:tc>
        <w:tc>
          <w:tcPr>
            <w:tcW w:w="2546" w:type="dxa"/>
            <w:gridSpan w:val="2"/>
          </w:tcPr>
          <w:p w14:paraId="28E23E51" w14:textId="46BA8B53" w:rsidR="00374FE4" w:rsidRPr="005272EA" w:rsidRDefault="00374FE4" w:rsidP="00996C5E">
            <w:pPr>
              <w:pStyle w:val="tabelKop"/>
              <w:rPr>
                <w:lang w:eastAsia="nl-NL"/>
              </w:rPr>
            </w:pPr>
            <w:r w:rsidRPr="005272EA">
              <w:rPr>
                <w:lang w:eastAsia="nl-NL"/>
              </w:rPr>
              <w:t>Totaal vervoer</w:t>
            </w:r>
            <w:r w:rsidR="00996C5E">
              <w:rPr>
                <w:lang w:eastAsia="nl-NL"/>
              </w:rPr>
              <w:t xml:space="preserve"> </w:t>
            </w:r>
            <w:r w:rsidRPr="005272EA">
              <w:rPr>
                <w:lang w:eastAsia="nl-NL"/>
              </w:rPr>
              <w:t>(mln. ton)</w:t>
            </w:r>
          </w:p>
        </w:tc>
      </w:tr>
      <w:tr w:rsidR="005272EA" w:rsidRPr="005272EA" w14:paraId="2D06EBDE" w14:textId="77777777" w:rsidTr="000D2FB8">
        <w:tc>
          <w:tcPr>
            <w:tcW w:w="1413" w:type="dxa"/>
            <w:vMerge/>
            <w:tcBorders>
              <w:bottom w:val="single" w:sz="4" w:space="0" w:color="auto"/>
            </w:tcBorders>
          </w:tcPr>
          <w:p w14:paraId="09391AE0" w14:textId="77777777" w:rsidR="00374FE4" w:rsidRPr="005272EA" w:rsidRDefault="00374FE4" w:rsidP="000D2FB8">
            <w:pPr>
              <w:rPr>
                <w:rFonts w:cs="Times New Roman"/>
                <w:color w:val="auto"/>
                <w:sz w:val="20"/>
                <w:szCs w:val="20"/>
                <w:lang w:eastAsia="nl-NL"/>
              </w:rPr>
            </w:pPr>
          </w:p>
        </w:tc>
        <w:tc>
          <w:tcPr>
            <w:tcW w:w="1276" w:type="dxa"/>
            <w:tcBorders>
              <w:bottom w:val="single" w:sz="4" w:space="0" w:color="auto"/>
            </w:tcBorders>
          </w:tcPr>
          <w:p w14:paraId="6EC8AF95" w14:textId="77777777" w:rsidR="00374FE4" w:rsidRPr="005272EA" w:rsidRDefault="00374FE4" w:rsidP="000D2FB8">
            <w:pPr>
              <w:jc w:val="center"/>
              <w:rPr>
                <w:rFonts w:cs="Times New Roman"/>
                <w:color w:val="auto"/>
                <w:sz w:val="20"/>
                <w:szCs w:val="20"/>
                <w:lang w:eastAsia="nl-NL"/>
              </w:rPr>
            </w:pPr>
            <w:r w:rsidRPr="005272EA">
              <w:rPr>
                <w:rFonts w:cs="Times New Roman"/>
                <w:color w:val="auto"/>
                <w:sz w:val="20"/>
                <w:szCs w:val="20"/>
                <w:lang w:eastAsia="nl-NL"/>
              </w:rPr>
              <w:t>2000</w:t>
            </w:r>
          </w:p>
        </w:tc>
        <w:tc>
          <w:tcPr>
            <w:tcW w:w="1275" w:type="dxa"/>
            <w:tcBorders>
              <w:bottom w:val="single" w:sz="4" w:space="0" w:color="auto"/>
            </w:tcBorders>
          </w:tcPr>
          <w:p w14:paraId="2404C76A" w14:textId="77777777" w:rsidR="00374FE4" w:rsidRPr="005272EA" w:rsidRDefault="00374FE4" w:rsidP="000D2FB8">
            <w:pPr>
              <w:jc w:val="center"/>
              <w:rPr>
                <w:rFonts w:cs="Times New Roman"/>
                <w:color w:val="auto"/>
                <w:sz w:val="20"/>
                <w:szCs w:val="20"/>
                <w:lang w:eastAsia="nl-NL"/>
              </w:rPr>
            </w:pPr>
            <w:r w:rsidRPr="005272EA">
              <w:rPr>
                <w:rFonts w:cs="Times New Roman"/>
                <w:color w:val="auto"/>
                <w:sz w:val="20"/>
                <w:szCs w:val="20"/>
                <w:lang w:eastAsia="nl-NL"/>
              </w:rPr>
              <w:t>2021</w:t>
            </w:r>
          </w:p>
        </w:tc>
        <w:tc>
          <w:tcPr>
            <w:tcW w:w="1276" w:type="dxa"/>
            <w:tcBorders>
              <w:bottom w:val="single" w:sz="4" w:space="0" w:color="auto"/>
            </w:tcBorders>
          </w:tcPr>
          <w:p w14:paraId="6662F0B7" w14:textId="77777777" w:rsidR="00374FE4" w:rsidRPr="005272EA" w:rsidRDefault="00374FE4" w:rsidP="000D2FB8">
            <w:pPr>
              <w:jc w:val="center"/>
              <w:rPr>
                <w:rFonts w:cs="Times New Roman"/>
                <w:color w:val="auto"/>
                <w:sz w:val="20"/>
                <w:szCs w:val="20"/>
                <w:lang w:eastAsia="nl-NL"/>
              </w:rPr>
            </w:pPr>
            <w:r w:rsidRPr="005272EA">
              <w:rPr>
                <w:rFonts w:cs="Times New Roman"/>
                <w:color w:val="auto"/>
                <w:sz w:val="20"/>
                <w:szCs w:val="20"/>
                <w:lang w:eastAsia="nl-NL"/>
              </w:rPr>
              <w:t>2000</w:t>
            </w:r>
          </w:p>
        </w:tc>
        <w:tc>
          <w:tcPr>
            <w:tcW w:w="1276" w:type="dxa"/>
            <w:tcBorders>
              <w:bottom w:val="single" w:sz="4" w:space="0" w:color="auto"/>
            </w:tcBorders>
          </w:tcPr>
          <w:p w14:paraId="7CB99A0F" w14:textId="77777777" w:rsidR="00374FE4" w:rsidRPr="005272EA" w:rsidRDefault="00374FE4" w:rsidP="000D2FB8">
            <w:pPr>
              <w:jc w:val="center"/>
              <w:rPr>
                <w:rFonts w:cs="Times New Roman"/>
                <w:color w:val="auto"/>
                <w:sz w:val="20"/>
                <w:szCs w:val="20"/>
                <w:lang w:eastAsia="nl-NL"/>
              </w:rPr>
            </w:pPr>
            <w:r w:rsidRPr="005272EA">
              <w:rPr>
                <w:rFonts w:cs="Times New Roman"/>
                <w:color w:val="auto"/>
                <w:sz w:val="20"/>
                <w:szCs w:val="20"/>
                <w:lang w:eastAsia="nl-NL"/>
              </w:rPr>
              <w:t>2021</w:t>
            </w:r>
          </w:p>
        </w:tc>
        <w:tc>
          <w:tcPr>
            <w:tcW w:w="1251" w:type="dxa"/>
            <w:tcBorders>
              <w:bottom w:val="single" w:sz="4" w:space="0" w:color="auto"/>
            </w:tcBorders>
          </w:tcPr>
          <w:p w14:paraId="77581BC5" w14:textId="77777777" w:rsidR="00374FE4" w:rsidRPr="005272EA" w:rsidRDefault="00374FE4" w:rsidP="000D2FB8">
            <w:pPr>
              <w:jc w:val="center"/>
              <w:rPr>
                <w:rFonts w:cs="Times New Roman"/>
                <w:color w:val="auto"/>
                <w:sz w:val="20"/>
                <w:szCs w:val="20"/>
                <w:lang w:eastAsia="nl-NL"/>
              </w:rPr>
            </w:pPr>
            <w:r w:rsidRPr="005272EA">
              <w:rPr>
                <w:rFonts w:cs="Times New Roman"/>
                <w:color w:val="auto"/>
                <w:sz w:val="20"/>
                <w:szCs w:val="20"/>
                <w:lang w:eastAsia="nl-NL"/>
              </w:rPr>
              <w:t>2000</w:t>
            </w:r>
          </w:p>
        </w:tc>
        <w:tc>
          <w:tcPr>
            <w:tcW w:w="1295" w:type="dxa"/>
            <w:tcBorders>
              <w:bottom w:val="single" w:sz="4" w:space="0" w:color="auto"/>
            </w:tcBorders>
          </w:tcPr>
          <w:p w14:paraId="0A2E4B2E" w14:textId="77777777" w:rsidR="00374FE4" w:rsidRPr="005272EA" w:rsidRDefault="00374FE4" w:rsidP="000D2FB8">
            <w:pPr>
              <w:jc w:val="center"/>
              <w:rPr>
                <w:rFonts w:cs="Times New Roman"/>
                <w:color w:val="auto"/>
                <w:sz w:val="20"/>
                <w:szCs w:val="20"/>
                <w:lang w:eastAsia="nl-NL"/>
              </w:rPr>
            </w:pPr>
            <w:r w:rsidRPr="005272EA">
              <w:rPr>
                <w:rFonts w:cs="Times New Roman"/>
                <w:color w:val="auto"/>
                <w:sz w:val="20"/>
                <w:szCs w:val="20"/>
                <w:lang w:eastAsia="nl-NL"/>
              </w:rPr>
              <w:t>2021</w:t>
            </w:r>
          </w:p>
        </w:tc>
      </w:tr>
      <w:tr w:rsidR="005272EA" w:rsidRPr="005272EA" w14:paraId="3126B3B9" w14:textId="77777777" w:rsidTr="000D2FB8">
        <w:tc>
          <w:tcPr>
            <w:tcW w:w="1413" w:type="dxa"/>
            <w:tcBorders>
              <w:bottom w:val="nil"/>
            </w:tcBorders>
          </w:tcPr>
          <w:p w14:paraId="7D937A69" w14:textId="77777777" w:rsidR="00374FE4" w:rsidRPr="005272EA" w:rsidRDefault="00374FE4" w:rsidP="000D2FB8">
            <w:pPr>
              <w:rPr>
                <w:rFonts w:cs="Times New Roman"/>
                <w:color w:val="auto"/>
                <w:sz w:val="20"/>
                <w:szCs w:val="20"/>
                <w:lang w:eastAsia="nl-NL"/>
              </w:rPr>
            </w:pPr>
            <w:r w:rsidRPr="005272EA">
              <w:rPr>
                <w:rFonts w:cs="Times New Roman"/>
                <w:color w:val="auto"/>
                <w:sz w:val="20"/>
                <w:szCs w:val="20"/>
                <w:lang w:eastAsia="nl-NL"/>
              </w:rPr>
              <w:t>Wegvervoer</w:t>
            </w:r>
          </w:p>
        </w:tc>
        <w:tc>
          <w:tcPr>
            <w:tcW w:w="1276" w:type="dxa"/>
            <w:tcBorders>
              <w:bottom w:val="nil"/>
            </w:tcBorders>
          </w:tcPr>
          <w:p w14:paraId="1DCC1B63" w14:textId="77777777" w:rsidR="00374FE4" w:rsidRPr="005272EA" w:rsidRDefault="00374FE4" w:rsidP="00995EA3">
            <w:pPr>
              <w:pStyle w:val="tabelNummers"/>
            </w:pPr>
            <w:r w:rsidRPr="005272EA">
              <w:t>506</w:t>
            </w:r>
          </w:p>
        </w:tc>
        <w:tc>
          <w:tcPr>
            <w:tcW w:w="1275" w:type="dxa"/>
            <w:tcBorders>
              <w:bottom w:val="nil"/>
            </w:tcBorders>
          </w:tcPr>
          <w:p w14:paraId="3A436794" w14:textId="77777777" w:rsidR="00374FE4" w:rsidRPr="005272EA" w:rsidRDefault="00374FE4" w:rsidP="00995EA3">
            <w:pPr>
              <w:pStyle w:val="tabelNummers"/>
            </w:pPr>
            <w:r w:rsidRPr="005272EA">
              <w:t>580</w:t>
            </w:r>
          </w:p>
        </w:tc>
        <w:tc>
          <w:tcPr>
            <w:tcW w:w="1276" w:type="dxa"/>
            <w:tcBorders>
              <w:bottom w:val="nil"/>
            </w:tcBorders>
          </w:tcPr>
          <w:p w14:paraId="46E95E99" w14:textId="77777777" w:rsidR="00374FE4" w:rsidRPr="005272EA" w:rsidRDefault="00374FE4" w:rsidP="00995EA3">
            <w:pPr>
              <w:pStyle w:val="tabelNummers"/>
            </w:pPr>
            <w:r w:rsidRPr="005272EA">
              <w:t>164</w:t>
            </w:r>
          </w:p>
        </w:tc>
        <w:tc>
          <w:tcPr>
            <w:tcW w:w="1276" w:type="dxa"/>
            <w:tcBorders>
              <w:bottom w:val="nil"/>
            </w:tcBorders>
          </w:tcPr>
          <w:p w14:paraId="01DEF884" w14:textId="77777777" w:rsidR="00374FE4" w:rsidRPr="005272EA" w:rsidRDefault="00374FE4" w:rsidP="00995EA3">
            <w:pPr>
              <w:pStyle w:val="tabelNummers"/>
            </w:pPr>
            <w:r w:rsidRPr="005272EA">
              <w:t>207</w:t>
            </w:r>
          </w:p>
        </w:tc>
        <w:tc>
          <w:tcPr>
            <w:tcW w:w="1251" w:type="dxa"/>
            <w:tcBorders>
              <w:bottom w:val="nil"/>
            </w:tcBorders>
          </w:tcPr>
          <w:p w14:paraId="61F086C4" w14:textId="77777777" w:rsidR="00374FE4" w:rsidRPr="005272EA" w:rsidRDefault="00374FE4" w:rsidP="00995EA3">
            <w:pPr>
              <w:pStyle w:val="tabelNummers"/>
            </w:pPr>
            <w:r w:rsidRPr="005272EA">
              <w:t>669</w:t>
            </w:r>
          </w:p>
        </w:tc>
        <w:tc>
          <w:tcPr>
            <w:tcW w:w="1295" w:type="dxa"/>
            <w:tcBorders>
              <w:bottom w:val="nil"/>
            </w:tcBorders>
          </w:tcPr>
          <w:p w14:paraId="636EEA7D" w14:textId="77777777" w:rsidR="00374FE4" w:rsidRPr="005272EA" w:rsidRDefault="00374FE4" w:rsidP="00995EA3">
            <w:pPr>
              <w:pStyle w:val="tabelNummers"/>
            </w:pPr>
            <w:r w:rsidRPr="005272EA">
              <w:t>787</w:t>
            </w:r>
          </w:p>
        </w:tc>
      </w:tr>
      <w:tr w:rsidR="005272EA" w:rsidRPr="005272EA" w14:paraId="054CED01" w14:textId="77777777" w:rsidTr="000D2FB8">
        <w:tc>
          <w:tcPr>
            <w:tcW w:w="1413" w:type="dxa"/>
            <w:tcBorders>
              <w:top w:val="nil"/>
              <w:bottom w:val="nil"/>
            </w:tcBorders>
          </w:tcPr>
          <w:p w14:paraId="34C992C7" w14:textId="77777777" w:rsidR="00374FE4" w:rsidRPr="005272EA" w:rsidRDefault="00374FE4" w:rsidP="000D2FB8">
            <w:pPr>
              <w:rPr>
                <w:rFonts w:cs="Times New Roman"/>
                <w:color w:val="auto"/>
                <w:sz w:val="20"/>
                <w:szCs w:val="20"/>
                <w:lang w:eastAsia="nl-NL"/>
              </w:rPr>
            </w:pPr>
            <w:r w:rsidRPr="005272EA">
              <w:rPr>
                <w:rFonts w:cs="Times New Roman"/>
                <w:color w:val="auto"/>
                <w:sz w:val="20"/>
                <w:szCs w:val="20"/>
                <w:lang w:eastAsia="nl-NL"/>
              </w:rPr>
              <w:t>Binnenvaart</w:t>
            </w:r>
          </w:p>
        </w:tc>
        <w:tc>
          <w:tcPr>
            <w:tcW w:w="1276" w:type="dxa"/>
            <w:tcBorders>
              <w:top w:val="nil"/>
              <w:bottom w:val="nil"/>
            </w:tcBorders>
          </w:tcPr>
          <w:p w14:paraId="3410BC94" w14:textId="77777777" w:rsidR="00374FE4" w:rsidRPr="005272EA" w:rsidRDefault="00374FE4" w:rsidP="00995EA3">
            <w:pPr>
              <w:pStyle w:val="tabelNummers"/>
            </w:pPr>
            <w:r w:rsidRPr="005272EA">
              <w:t>102</w:t>
            </w:r>
          </w:p>
        </w:tc>
        <w:tc>
          <w:tcPr>
            <w:tcW w:w="1275" w:type="dxa"/>
            <w:tcBorders>
              <w:top w:val="nil"/>
              <w:bottom w:val="nil"/>
            </w:tcBorders>
          </w:tcPr>
          <w:p w14:paraId="011F3CE8" w14:textId="77777777" w:rsidR="00374FE4" w:rsidRPr="005272EA" w:rsidRDefault="00374FE4" w:rsidP="00995EA3">
            <w:pPr>
              <w:pStyle w:val="tabelNummers"/>
            </w:pPr>
            <w:r w:rsidRPr="005272EA">
              <w:t>124</w:t>
            </w:r>
          </w:p>
        </w:tc>
        <w:tc>
          <w:tcPr>
            <w:tcW w:w="1276" w:type="dxa"/>
            <w:tcBorders>
              <w:top w:val="nil"/>
              <w:bottom w:val="nil"/>
            </w:tcBorders>
          </w:tcPr>
          <w:p w14:paraId="26703A2B" w14:textId="77777777" w:rsidR="00374FE4" w:rsidRPr="005272EA" w:rsidRDefault="00374FE4" w:rsidP="00995EA3">
            <w:pPr>
              <w:pStyle w:val="tabelNummers"/>
            </w:pPr>
            <w:r w:rsidRPr="005272EA">
              <w:t>173</w:t>
            </w:r>
          </w:p>
        </w:tc>
        <w:tc>
          <w:tcPr>
            <w:tcW w:w="1276" w:type="dxa"/>
            <w:tcBorders>
              <w:top w:val="nil"/>
              <w:bottom w:val="nil"/>
            </w:tcBorders>
          </w:tcPr>
          <w:p w14:paraId="3A744BB4" w14:textId="77777777" w:rsidR="00374FE4" w:rsidRPr="005272EA" w:rsidRDefault="00374FE4" w:rsidP="00995EA3">
            <w:pPr>
              <w:pStyle w:val="tabelNummers"/>
            </w:pPr>
            <w:r w:rsidRPr="005272EA">
              <w:t>200</w:t>
            </w:r>
          </w:p>
        </w:tc>
        <w:tc>
          <w:tcPr>
            <w:tcW w:w="1251" w:type="dxa"/>
            <w:tcBorders>
              <w:top w:val="nil"/>
              <w:bottom w:val="nil"/>
            </w:tcBorders>
          </w:tcPr>
          <w:p w14:paraId="1A8913B2" w14:textId="77777777" w:rsidR="00374FE4" w:rsidRPr="005272EA" w:rsidRDefault="00374FE4" w:rsidP="00995EA3">
            <w:pPr>
              <w:pStyle w:val="tabelNummers"/>
            </w:pPr>
            <w:r w:rsidRPr="005272EA">
              <w:t>275</w:t>
            </w:r>
          </w:p>
        </w:tc>
        <w:tc>
          <w:tcPr>
            <w:tcW w:w="1295" w:type="dxa"/>
            <w:tcBorders>
              <w:top w:val="nil"/>
              <w:bottom w:val="nil"/>
            </w:tcBorders>
          </w:tcPr>
          <w:p w14:paraId="17C540A0" w14:textId="77777777" w:rsidR="00374FE4" w:rsidRPr="005272EA" w:rsidRDefault="00374FE4" w:rsidP="00995EA3">
            <w:pPr>
              <w:pStyle w:val="tabelNummers"/>
            </w:pPr>
            <w:r w:rsidRPr="005272EA">
              <w:t>324</w:t>
            </w:r>
          </w:p>
        </w:tc>
      </w:tr>
      <w:tr w:rsidR="005272EA" w:rsidRPr="005272EA" w14:paraId="71EF36CC" w14:textId="77777777" w:rsidTr="000D2FB8">
        <w:tc>
          <w:tcPr>
            <w:tcW w:w="1413" w:type="dxa"/>
            <w:tcBorders>
              <w:top w:val="nil"/>
            </w:tcBorders>
          </w:tcPr>
          <w:p w14:paraId="732CFFA6" w14:textId="77777777" w:rsidR="00374FE4" w:rsidRPr="005272EA" w:rsidRDefault="00374FE4" w:rsidP="000D2FB8">
            <w:pPr>
              <w:rPr>
                <w:rFonts w:cs="Times New Roman"/>
                <w:color w:val="auto"/>
                <w:sz w:val="20"/>
                <w:szCs w:val="20"/>
                <w:lang w:eastAsia="nl-NL"/>
              </w:rPr>
            </w:pPr>
            <w:r w:rsidRPr="005272EA">
              <w:rPr>
                <w:rFonts w:cs="Times New Roman"/>
                <w:color w:val="auto"/>
                <w:sz w:val="20"/>
                <w:szCs w:val="20"/>
                <w:lang w:eastAsia="nl-NL"/>
              </w:rPr>
              <w:t>Spoorwegen</w:t>
            </w:r>
          </w:p>
        </w:tc>
        <w:tc>
          <w:tcPr>
            <w:tcW w:w="1276" w:type="dxa"/>
            <w:tcBorders>
              <w:top w:val="nil"/>
            </w:tcBorders>
          </w:tcPr>
          <w:p w14:paraId="20587DAA" w14:textId="77777777" w:rsidR="00374FE4" w:rsidRPr="005272EA" w:rsidRDefault="00374FE4" w:rsidP="00995EA3">
            <w:pPr>
              <w:pStyle w:val="tabelNummers"/>
            </w:pPr>
            <w:r w:rsidRPr="005272EA">
              <w:t>5</w:t>
            </w:r>
          </w:p>
        </w:tc>
        <w:tc>
          <w:tcPr>
            <w:tcW w:w="1275" w:type="dxa"/>
            <w:tcBorders>
              <w:top w:val="nil"/>
            </w:tcBorders>
          </w:tcPr>
          <w:p w14:paraId="7DD9AE0F" w14:textId="77777777" w:rsidR="00374FE4" w:rsidRPr="005272EA" w:rsidRDefault="00374FE4" w:rsidP="00995EA3">
            <w:pPr>
              <w:pStyle w:val="tabelNummers"/>
            </w:pPr>
            <w:r w:rsidRPr="005272EA">
              <w:t>3</w:t>
            </w:r>
          </w:p>
        </w:tc>
        <w:tc>
          <w:tcPr>
            <w:tcW w:w="1276" w:type="dxa"/>
            <w:tcBorders>
              <w:top w:val="nil"/>
            </w:tcBorders>
          </w:tcPr>
          <w:p w14:paraId="22F76458" w14:textId="77777777" w:rsidR="00374FE4" w:rsidRPr="005272EA" w:rsidRDefault="00374FE4" w:rsidP="00995EA3">
            <w:pPr>
              <w:pStyle w:val="tabelNummers"/>
            </w:pPr>
            <w:r w:rsidRPr="005272EA">
              <w:t>23</w:t>
            </w:r>
          </w:p>
        </w:tc>
        <w:tc>
          <w:tcPr>
            <w:tcW w:w="1276" w:type="dxa"/>
            <w:tcBorders>
              <w:top w:val="nil"/>
            </w:tcBorders>
          </w:tcPr>
          <w:p w14:paraId="07D15738" w14:textId="77777777" w:rsidR="00374FE4" w:rsidRPr="005272EA" w:rsidRDefault="00374FE4" w:rsidP="00995EA3">
            <w:pPr>
              <w:pStyle w:val="tabelNummers"/>
            </w:pPr>
            <w:r w:rsidRPr="005272EA">
              <w:t>36</w:t>
            </w:r>
          </w:p>
        </w:tc>
        <w:tc>
          <w:tcPr>
            <w:tcW w:w="1251" w:type="dxa"/>
            <w:tcBorders>
              <w:top w:val="nil"/>
            </w:tcBorders>
          </w:tcPr>
          <w:p w14:paraId="050BAB41" w14:textId="77777777" w:rsidR="00374FE4" w:rsidRPr="005272EA" w:rsidRDefault="00374FE4" w:rsidP="00995EA3">
            <w:pPr>
              <w:pStyle w:val="tabelNummers"/>
            </w:pPr>
            <w:r w:rsidRPr="005272EA">
              <w:t>28</w:t>
            </w:r>
          </w:p>
        </w:tc>
        <w:tc>
          <w:tcPr>
            <w:tcW w:w="1295" w:type="dxa"/>
            <w:tcBorders>
              <w:top w:val="nil"/>
            </w:tcBorders>
          </w:tcPr>
          <w:p w14:paraId="2BB5A106" w14:textId="77777777" w:rsidR="00374FE4" w:rsidRPr="005272EA" w:rsidRDefault="00374FE4" w:rsidP="00995EA3">
            <w:pPr>
              <w:pStyle w:val="tabelNummers"/>
            </w:pPr>
            <w:r w:rsidRPr="005272EA">
              <w:t>39</w:t>
            </w:r>
          </w:p>
        </w:tc>
      </w:tr>
      <w:tr w:rsidR="00374FE4" w:rsidRPr="005272EA" w14:paraId="5468F35D" w14:textId="77777777" w:rsidTr="000D2FB8">
        <w:tc>
          <w:tcPr>
            <w:tcW w:w="1413" w:type="dxa"/>
          </w:tcPr>
          <w:p w14:paraId="0116253A" w14:textId="77777777" w:rsidR="00374FE4" w:rsidRPr="005272EA" w:rsidRDefault="00374FE4" w:rsidP="00106D73">
            <w:pPr>
              <w:rPr>
                <w:rFonts w:cs="Times New Roman"/>
                <w:color w:val="auto"/>
                <w:sz w:val="20"/>
                <w:szCs w:val="20"/>
                <w:lang w:eastAsia="nl-NL"/>
              </w:rPr>
            </w:pPr>
            <w:r w:rsidRPr="005272EA">
              <w:rPr>
                <w:rFonts w:cs="Times New Roman"/>
                <w:color w:val="auto"/>
                <w:sz w:val="20"/>
                <w:szCs w:val="20"/>
                <w:lang w:eastAsia="nl-NL"/>
              </w:rPr>
              <w:t>Totaal</w:t>
            </w:r>
          </w:p>
        </w:tc>
        <w:tc>
          <w:tcPr>
            <w:tcW w:w="1276" w:type="dxa"/>
          </w:tcPr>
          <w:p w14:paraId="499ED1F3" w14:textId="77777777" w:rsidR="00374FE4" w:rsidRPr="005272EA" w:rsidRDefault="00374FE4" w:rsidP="00995EA3">
            <w:pPr>
              <w:pStyle w:val="tabelNummers"/>
            </w:pPr>
            <w:r w:rsidRPr="005272EA">
              <w:t>613</w:t>
            </w:r>
          </w:p>
        </w:tc>
        <w:tc>
          <w:tcPr>
            <w:tcW w:w="1275" w:type="dxa"/>
          </w:tcPr>
          <w:p w14:paraId="6CE933BD" w14:textId="77777777" w:rsidR="00374FE4" w:rsidRPr="005272EA" w:rsidRDefault="00374FE4" w:rsidP="00995EA3">
            <w:pPr>
              <w:pStyle w:val="tabelNummers"/>
            </w:pPr>
            <w:r w:rsidRPr="005272EA">
              <w:t>707</w:t>
            </w:r>
          </w:p>
        </w:tc>
        <w:tc>
          <w:tcPr>
            <w:tcW w:w="1276" w:type="dxa"/>
          </w:tcPr>
          <w:p w14:paraId="4972C482" w14:textId="77777777" w:rsidR="00374FE4" w:rsidRPr="005272EA" w:rsidRDefault="00374FE4" w:rsidP="00995EA3">
            <w:pPr>
              <w:pStyle w:val="tabelNummers"/>
            </w:pPr>
            <w:r w:rsidRPr="005272EA">
              <w:t>360</w:t>
            </w:r>
          </w:p>
        </w:tc>
        <w:tc>
          <w:tcPr>
            <w:tcW w:w="1276" w:type="dxa"/>
          </w:tcPr>
          <w:p w14:paraId="52E989F7" w14:textId="77777777" w:rsidR="00374FE4" w:rsidRPr="005272EA" w:rsidRDefault="00374FE4" w:rsidP="00995EA3">
            <w:pPr>
              <w:pStyle w:val="tabelNummers"/>
            </w:pPr>
            <w:r w:rsidRPr="005272EA">
              <w:t>443</w:t>
            </w:r>
          </w:p>
        </w:tc>
        <w:tc>
          <w:tcPr>
            <w:tcW w:w="1251" w:type="dxa"/>
          </w:tcPr>
          <w:p w14:paraId="645EA14B" w14:textId="77777777" w:rsidR="00374FE4" w:rsidRPr="005272EA" w:rsidRDefault="00374FE4" w:rsidP="00995EA3">
            <w:pPr>
              <w:pStyle w:val="tabelNummers"/>
            </w:pPr>
            <w:r w:rsidRPr="005272EA">
              <w:t>907</w:t>
            </w:r>
          </w:p>
        </w:tc>
        <w:tc>
          <w:tcPr>
            <w:tcW w:w="1295" w:type="dxa"/>
          </w:tcPr>
          <w:p w14:paraId="1D5EAEE9" w14:textId="2746005E" w:rsidR="00374FE4" w:rsidRPr="005272EA" w:rsidRDefault="00374FE4" w:rsidP="00995EA3">
            <w:pPr>
              <w:pStyle w:val="tabelNummers"/>
            </w:pPr>
            <w:r w:rsidRPr="005272EA">
              <w:t>1</w:t>
            </w:r>
            <w:r w:rsidR="000E59EF">
              <w:t>.</w:t>
            </w:r>
            <w:r w:rsidRPr="005272EA">
              <w:t>150</w:t>
            </w:r>
          </w:p>
        </w:tc>
      </w:tr>
    </w:tbl>
    <w:p w14:paraId="594D2501" w14:textId="77777777" w:rsidR="00374FE4" w:rsidRPr="005272EA" w:rsidRDefault="00374FE4" w:rsidP="00374FE4">
      <w:pPr>
        <w:rPr>
          <w:rFonts w:cs="Times New Roman"/>
          <w:color w:val="auto"/>
          <w:sz w:val="20"/>
          <w:szCs w:val="20"/>
          <w:lang w:eastAsia="nl-NL"/>
        </w:rPr>
      </w:pPr>
    </w:p>
    <w:p w14:paraId="7F91789E" w14:textId="43D299EC" w:rsidR="00374FE4" w:rsidRPr="005272EA" w:rsidRDefault="00374FE4" w:rsidP="00CA2CE4">
      <w:pPr>
        <w:tabs>
          <w:tab w:val="left" w:pos="6453"/>
        </w:tabs>
        <w:rPr>
          <w:rFonts w:cs="Times New Roman"/>
          <w:color w:val="auto"/>
          <w:sz w:val="20"/>
          <w:szCs w:val="20"/>
          <w:lang w:eastAsia="nl-NL"/>
        </w:rPr>
      </w:pPr>
      <w:r w:rsidRPr="005272EA">
        <w:rPr>
          <w:rFonts w:cs="Times New Roman"/>
          <w:i/>
          <w:iCs/>
          <w:color w:val="auto"/>
          <w:sz w:val="20"/>
          <w:szCs w:val="20"/>
          <w:lang w:eastAsia="nl-NL"/>
        </w:rPr>
        <w:t>Tabel 7</w:t>
      </w:r>
      <w:r w:rsidR="00A93A4C" w:rsidRPr="005272EA">
        <w:rPr>
          <w:rFonts w:cs="Times New Roman"/>
          <w:i/>
          <w:iCs/>
          <w:color w:val="auto"/>
          <w:sz w:val="20"/>
          <w:szCs w:val="20"/>
          <w:lang w:eastAsia="nl-NL"/>
        </w:rPr>
        <w:t>:</w:t>
      </w:r>
      <w:r w:rsidRPr="005272EA">
        <w:rPr>
          <w:rFonts w:cs="Times New Roman"/>
          <w:i/>
          <w:iCs/>
          <w:color w:val="auto"/>
          <w:sz w:val="20"/>
          <w:szCs w:val="20"/>
          <w:lang w:eastAsia="nl-NL"/>
        </w:rPr>
        <w:t xml:space="preserve"> Ontwikkeling van het goederenvervoer (2000-2021)</w:t>
      </w:r>
      <w:r w:rsidR="006E39D6">
        <w:rPr>
          <w:rFonts w:cs="Times New Roman"/>
          <w:i/>
          <w:iCs/>
          <w:color w:val="auto"/>
          <w:sz w:val="20"/>
          <w:szCs w:val="20"/>
          <w:lang w:eastAsia="nl-NL"/>
        </w:rPr>
        <w:t>.</w:t>
      </w:r>
      <w:r w:rsidRPr="006E39D6">
        <w:rPr>
          <w:rStyle w:val="EndnoteReference"/>
          <w:rFonts w:cs="Times New Roman"/>
          <w:iCs/>
          <w:color w:val="auto"/>
          <w:sz w:val="20"/>
          <w:szCs w:val="20"/>
          <w:lang w:eastAsia="nl-NL"/>
        </w:rPr>
        <w:endnoteReference w:id="33"/>
      </w:r>
      <w:r w:rsidR="00CA2CE4" w:rsidRPr="005272EA">
        <w:rPr>
          <w:rFonts w:cs="Times New Roman"/>
          <w:i/>
          <w:iCs/>
          <w:color w:val="auto"/>
          <w:sz w:val="20"/>
          <w:szCs w:val="20"/>
          <w:lang w:eastAsia="nl-NL"/>
        </w:rPr>
        <w:t xml:space="preserve"> </w:t>
      </w:r>
    </w:p>
    <w:p w14:paraId="14E5555E" w14:textId="77777777" w:rsidR="001063F1" w:rsidRDefault="001063F1" w:rsidP="00374FE4"/>
    <w:p w14:paraId="1777D696" w14:textId="55786A78" w:rsidR="001063F1" w:rsidRPr="001063F1" w:rsidRDefault="001063F1" w:rsidP="001063F1">
      <w:pPr>
        <w:rPr>
          <w:color w:val="ED7D31" w:themeColor="accent2"/>
        </w:rPr>
      </w:pPr>
      <w:r w:rsidRPr="001B2C5D">
        <w:rPr>
          <w:rFonts w:ascii="Calibri" w:eastAsia="Times New Roman" w:hAnsi="Calibri" w:cs="Calibri"/>
          <w:color w:val="FF0000"/>
          <w:szCs w:val="24"/>
          <w:shd w:val="clear" w:color="auto" w:fill="FFFFFF"/>
          <w:lang w:eastAsia="nl-NL"/>
        </w:rPr>
        <w:t>@i@</w:t>
      </w:r>
      <w:r w:rsidRPr="001B2C5D">
        <w:rPr>
          <w:rFonts w:eastAsia="Times New Roman" w:cs="Times New Roman"/>
          <w:color w:val="FF0000"/>
          <w:szCs w:val="24"/>
          <w:lang w:eastAsia="nl-NL"/>
        </w:rPr>
        <w:t>[[[</w:t>
      </w:r>
      <w:r>
        <w:rPr>
          <w:bCs/>
          <w:color w:val="FF0000"/>
        </w:rPr>
        <w:t>1</w:t>
      </w:r>
      <w:r w:rsidR="004C23FE">
        <w:rPr>
          <w:bCs/>
          <w:color w:val="FF0000"/>
        </w:rPr>
        <w:t>7</w:t>
      </w:r>
      <w:r>
        <w:rPr>
          <w:bCs/>
          <w:color w:val="FF0000"/>
        </w:rPr>
        <w:t>-</w:t>
      </w:r>
      <w:r w:rsidRPr="002F7571">
        <w:rPr>
          <w:bCs/>
          <w:color w:val="FF0000"/>
        </w:rPr>
        <w:t>32_</w:t>
      </w:r>
      <w:r>
        <w:rPr>
          <w:bCs/>
          <w:color w:val="FF0000"/>
        </w:rPr>
        <w:t>3containerschepen.jpg</w:t>
      </w:r>
      <w:r w:rsidRPr="001B2C5D">
        <w:rPr>
          <w:rFonts w:cstheme="minorHAnsi"/>
          <w:color w:val="FF0000"/>
        </w:rPr>
        <w:t>]]]</w:t>
      </w:r>
      <w:r w:rsidRPr="001B2C5D">
        <w:rPr>
          <w:rFonts w:ascii="Calibri" w:eastAsia="Times New Roman" w:hAnsi="Calibri" w:cs="Calibri"/>
          <w:color w:val="FF0000"/>
          <w:szCs w:val="24"/>
          <w:shd w:val="clear" w:color="auto" w:fill="FFFFFF"/>
          <w:lang w:eastAsia="nl-NL"/>
        </w:rPr>
        <w:t xml:space="preserve">@/i@​  </w:t>
      </w:r>
    </w:p>
    <w:p w14:paraId="545BEDCA" w14:textId="476DBC04" w:rsidR="00122016" w:rsidRDefault="00122016" w:rsidP="00DE08B1">
      <w:pPr>
        <w:jc w:val="left"/>
        <w:rPr>
          <w:lang w:eastAsia="nl-NL"/>
        </w:rPr>
      </w:pPr>
    </w:p>
    <w:p w14:paraId="08A4B12E" w14:textId="77777777" w:rsidR="00CA2A88" w:rsidRDefault="00CA2A88" w:rsidP="00DE08B1">
      <w:pPr>
        <w:jc w:val="left"/>
        <w:rPr>
          <w:lang w:eastAsia="nl-NL"/>
        </w:rPr>
      </w:pPr>
    </w:p>
    <w:p w14:paraId="44100593" w14:textId="6ACE479E" w:rsidR="00964F51" w:rsidRDefault="00964F51" w:rsidP="00054BD9">
      <w:pPr>
        <w:pStyle w:val="Heading2"/>
        <w:rPr>
          <w:rFonts w:eastAsia="Times New Roman"/>
          <w:lang w:eastAsia="nl-NL"/>
        </w:rPr>
      </w:pPr>
      <w:r>
        <w:rPr>
          <w:rFonts w:eastAsia="Times New Roman"/>
          <w:lang w:eastAsia="nl-NL"/>
        </w:rPr>
        <w:t>Het binnenlandse vervoer</w:t>
      </w:r>
      <w:r w:rsidR="00961720">
        <w:rPr>
          <w:rFonts w:eastAsia="Times New Roman"/>
          <w:lang w:eastAsia="nl-NL"/>
        </w:rPr>
        <w:t xml:space="preserve"> </w:t>
      </w:r>
    </w:p>
    <w:p w14:paraId="6BCD1DA1" w14:textId="37FCCEA6" w:rsidR="008F4615" w:rsidRDefault="00254658" w:rsidP="00DE08B1">
      <w:pPr>
        <w:jc w:val="left"/>
      </w:pPr>
      <w:r>
        <w:rPr>
          <w:rFonts w:eastAsia="Times New Roman" w:cs="Times New Roman"/>
          <w:color w:val="auto"/>
          <w:szCs w:val="24"/>
          <w:lang w:eastAsia="nl-NL"/>
        </w:rPr>
        <w:br/>
      </w:r>
      <w:r w:rsidR="00B32A01">
        <w:rPr>
          <w:rFonts w:eastAsia="Times New Roman" w:cs="Times New Roman"/>
          <w:color w:val="auto"/>
          <w:szCs w:val="24"/>
          <w:lang w:eastAsia="nl-NL"/>
        </w:rPr>
        <w:t xml:space="preserve">De </w:t>
      </w:r>
      <w:r w:rsidR="00F07EBA">
        <w:rPr>
          <w:rFonts w:eastAsia="Times New Roman" w:cs="Times New Roman"/>
          <w:color w:val="auto"/>
          <w:szCs w:val="24"/>
          <w:lang w:eastAsia="nl-NL"/>
        </w:rPr>
        <w:t>binnenlandse scheepvaa</w:t>
      </w:r>
      <w:r w:rsidR="007C34F9">
        <w:rPr>
          <w:rFonts w:eastAsia="Times New Roman" w:cs="Times New Roman"/>
          <w:color w:val="auto"/>
          <w:szCs w:val="24"/>
          <w:lang w:eastAsia="nl-NL"/>
        </w:rPr>
        <w:t>r</w:t>
      </w:r>
      <w:r w:rsidR="00F07EBA">
        <w:rPr>
          <w:rFonts w:eastAsia="Times New Roman" w:cs="Times New Roman"/>
          <w:color w:val="auto"/>
          <w:szCs w:val="24"/>
          <w:lang w:eastAsia="nl-NL"/>
        </w:rPr>
        <w:t xml:space="preserve">t herstelde zich na de oorlog </w:t>
      </w:r>
      <w:r w:rsidR="0094376F">
        <w:rPr>
          <w:rFonts w:eastAsia="Times New Roman" w:cs="Times New Roman"/>
          <w:color w:val="auto"/>
          <w:szCs w:val="24"/>
          <w:lang w:eastAsia="nl-NL"/>
        </w:rPr>
        <w:t xml:space="preserve">veel </w:t>
      </w:r>
      <w:r w:rsidR="004C1D20">
        <w:rPr>
          <w:rFonts w:eastAsia="Times New Roman" w:cs="Times New Roman"/>
          <w:color w:val="auto"/>
          <w:szCs w:val="24"/>
          <w:lang w:eastAsia="nl-NL"/>
        </w:rPr>
        <w:t>snel</w:t>
      </w:r>
      <w:r w:rsidR="0094376F">
        <w:rPr>
          <w:rFonts w:eastAsia="Times New Roman" w:cs="Times New Roman"/>
          <w:color w:val="auto"/>
          <w:szCs w:val="24"/>
          <w:lang w:eastAsia="nl-NL"/>
        </w:rPr>
        <w:t>ler dan het internationale vervoer</w:t>
      </w:r>
      <w:r w:rsidR="004C1D20">
        <w:rPr>
          <w:rFonts w:eastAsia="Times New Roman" w:cs="Times New Roman"/>
          <w:color w:val="auto"/>
          <w:szCs w:val="24"/>
          <w:lang w:eastAsia="nl-NL"/>
        </w:rPr>
        <w:t xml:space="preserve">. </w:t>
      </w:r>
      <w:r w:rsidR="00C519AC">
        <w:rPr>
          <w:rFonts w:eastAsia="Times New Roman" w:cs="Times New Roman"/>
          <w:color w:val="auto"/>
          <w:szCs w:val="24"/>
          <w:lang w:eastAsia="nl-NL"/>
        </w:rPr>
        <w:t xml:space="preserve">In 1947 vervoerde de binnenvaart alweer evenveel goederen als voor de oorlog. </w:t>
      </w:r>
      <w:r w:rsidR="008F4615">
        <w:rPr>
          <w:rFonts w:eastAsia="Times New Roman" w:cs="Times New Roman"/>
          <w:color w:val="auto"/>
          <w:szCs w:val="24"/>
          <w:lang w:eastAsia="nl-NL"/>
        </w:rPr>
        <w:t>Tussen 1947 en het topjaar 1972 nam het binnenlands</w:t>
      </w:r>
      <w:r w:rsidR="007C34F9">
        <w:rPr>
          <w:rFonts w:eastAsia="Times New Roman" w:cs="Times New Roman"/>
          <w:color w:val="auto"/>
          <w:szCs w:val="24"/>
          <w:lang w:eastAsia="nl-NL"/>
        </w:rPr>
        <w:t>e</w:t>
      </w:r>
      <w:r w:rsidR="008F4615">
        <w:rPr>
          <w:rFonts w:eastAsia="Times New Roman" w:cs="Times New Roman"/>
          <w:color w:val="auto"/>
          <w:szCs w:val="24"/>
          <w:lang w:eastAsia="nl-NL"/>
        </w:rPr>
        <w:t xml:space="preserve"> </w:t>
      </w:r>
      <w:r w:rsidR="007C34F9">
        <w:rPr>
          <w:rFonts w:eastAsia="Times New Roman" w:cs="Times New Roman"/>
          <w:color w:val="auto"/>
          <w:szCs w:val="24"/>
          <w:lang w:eastAsia="nl-NL"/>
        </w:rPr>
        <w:t>scheepvaart</w:t>
      </w:r>
      <w:r w:rsidR="008F4615">
        <w:rPr>
          <w:rFonts w:eastAsia="Times New Roman" w:cs="Times New Roman"/>
          <w:color w:val="auto"/>
          <w:szCs w:val="24"/>
          <w:lang w:eastAsia="nl-NL"/>
        </w:rPr>
        <w:t xml:space="preserve">vervoer toe van 28 naar 103 miljoen ton. Toch was dit voor </w:t>
      </w:r>
      <w:r w:rsidR="006A4CAD">
        <w:rPr>
          <w:rFonts w:eastAsia="Times New Roman" w:cs="Times New Roman"/>
          <w:color w:val="auto"/>
          <w:szCs w:val="24"/>
          <w:lang w:eastAsia="nl-NL"/>
        </w:rPr>
        <w:t xml:space="preserve">veel </w:t>
      </w:r>
      <w:r w:rsidR="008F4615">
        <w:rPr>
          <w:rFonts w:eastAsia="Times New Roman" w:cs="Times New Roman"/>
          <w:color w:val="auto"/>
          <w:szCs w:val="24"/>
          <w:lang w:eastAsia="nl-NL"/>
        </w:rPr>
        <w:t xml:space="preserve">schippers </w:t>
      </w:r>
      <w:r w:rsidR="00533189">
        <w:rPr>
          <w:rFonts w:eastAsia="Times New Roman" w:cs="Times New Roman"/>
          <w:color w:val="auto"/>
          <w:szCs w:val="24"/>
          <w:lang w:eastAsia="nl-NL"/>
        </w:rPr>
        <w:t xml:space="preserve">een </w:t>
      </w:r>
      <w:r w:rsidR="006A4CAD">
        <w:rPr>
          <w:rFonts w:eastAsia="Times New Roman" w:cs="Times New Roman"/>
          <w:color w:val="auto"/>
          <w:szCs w:val="24"/>
          <w:lang w:eastAsia="nl-NL"/>
        </w:rPr>
        <w:t>moeilijke t</w:t>
      </w:r>
      <w:r w:rsidR="008F4615">
        <w:rPr>
          <w:rFonts w:eastAsia="Times New Roman" w:cs="Times New Roman"/>
          <w:color w:val="auto"/>
          <w:szCs w:val="24"/>
          <w:lang w:eastAsia="nl-NL"/>
        </w:rPr>
        <w:t xml:space="preserve">ijd. </w:t>
      </w:r>
      <w:r w:rsidR="007C34F9">
        <w:rPr>
          <w:rFonts w:eastAsia="Times New Roman" w:cs="Times New Roman"/>
          <w:color w:val="auto"/>
          <w:szCs w:val="24"/>
          <w:lang w:eastAsia="nl-NL"/>
        </w:rPr>
        <w:t xml:space="preserve">In </w:t>
      </w:r>
      <w:r w:rsidR="008F4615">
        <w:rPr>
          <w:rFonts w:eastAsia="Times New Roman" w:cs="Times New Roman"/>
          <w:color w:val="auto"/>
          <w:szCs w:val="24"/>
          <w:lang w:eastAsia="nl-NL"/>
        </w:rPr>
        <w:t xml:space="preserve">1950 </w:t>
      </w:r>
      <w:r w:rsidR="007C34F9">
        <w:rPr>
          <w:rFonts w:eastAsia="Times New Roman" w:cs="Times New Roman"/>
          <w:color w:val="auto"/>
          <w:szCs w:val="24"/>
          <w:lang w:eastAsia="nl-NL"/>
        </w:rPr>
        <w:t xml:space="preserve">transporteerde </w:t>
      </w:r>
      <w:r w:rsidR="008F4615">
        <w:rPr>
          <w:rFonts w:eastAsia="Times New Roman" w:cs="Times New Roman"/>
          <w:color w:val="auto"/>
          <w:szCs w:val="24"/>
          <w:lang w:eastAsia="nl-NL"/>
        </w:rPr>
        <w:t>de binnenvaart een gevarieerd ladingpakket, waar</w:t>
      </w:r>
      <w:r w:rsidR="007C34F9">
        <w:rPr>
          <w:rFonts w:eastAsia="Times New Roman" w:cs="Times New Roman"/>
          <w:color w:val="auto"/>
          <w:szCs w:val="24"/>
          <w:lang w:eastAsia="nl-NL"/>
        </w:rPr>
        <w:t>binnen</w:t>
      </w:r>
      <w:r w:rsidR="008F4615">
        <w:rPr>
          <w:rFonts w:eastAsia="Times New Roman" w:cs="Times New Roman"/>
          <w:color w:val="auto"/>
          <w:szCs w:val="24"/>
          <w:lang w:eastAsia="nl-NL"/>
        </w:rPr>
        <w:t xml:space="preserve"> </w:t>
      </w:r>
      <w:r w:rsidR="008F4615" w:rsidRPr="005A2767">
        <w:rPr>
          <w:bCs/>
        </w:rPr>
        <w:t xml:space="preserve">zand, grind, landbouwproducten, steenkolen en stukgoederen de hoofdmoot vormden </w:t>
      </w:r>
      <w:r w:rsidR="008F4615">
        <w:rPr>
          <w:bCs/>
        </w:rPr>
        <w:t xml:space="preserve">(tabel </w:t>
      </w:r>
      <w:r w:rsidR="004C7B89">
        <w:rPr>
          <w:bCs/>
        </w:rPr>
        <w:t>9</w:t>
      </w:r>
      <w:r w:rsidR="008F4615">
        <w:rPr>
          <w:bCs/>
        </w:rPr>
        <w:t>).</w:t>
      </w:r>
      <w:r w:rsidR="00D37829">
        <w:rPr>
          <w:bCs/>
        </w:rPr>
        <w:t xml:space="preserve"> Zelfs schippers met kleine vaartuigen op krappe vaarwegen vonden emplooi. Tussen 1950 en 1970 </w:t>
      </w:r>
      <w:r w:rsidR="00030082">
        <w:rPr>
          <w:bCs/>
        </w:rPr>
        <w:t xml:space="preserve">volgde </w:t>
      </w:r>
      <w:r w:rsidR="00D37829">
        <w:rPr>
          <w:bCs/>
        </w:rPr>
        <w:t>een keiharde sanering</w:t>
      </w:r>
      <w:r w:rsidR="00030082">
        <w:rPr>
          <w:bCs/>
        </w:rPr>
        <w:t xml:space="preserve">. </w:t>
      </w:r>
      <w:r w:rsidR="00D37829">
        <w:rPr>
          <w:bCs/>
        </w:rPr>
        <w:t>Vracht</w:t>
      </w:r>
      <w:r w:rsidR="00030082">
        <w:rPr>
          <w:bCs/>
        </w:rPr>
        <w:t>auto’s</w:t>
      </w:r>
      <w:r w:rsidR="0094376F">
        <w:rPr>
          <w:bCs/>
        </w:rPr>
        <w:t xml:space="preserve">, die de binnenvaart al vanaf </w:t>
      </w:r>
      <w:r w:rsidR="00DD06DD">
        <w:rPr>
          <w:bCs/>
        </w:rPr>
        <w:t>1930 beconcurreerden,</w:t>
      </w:r>
      <w:r w:rsidR="00030082">
        <w:rPr>
          <w:bCs/>
        </w:rPr>
        <w:t xml:space="preserve"> </w:t>
      </w:r>
      <w:r w:rsidR="00D37829">
        <w:rPr>
          <w:bCs/>
        </w:rPr>
        <w:t xml:space="preserve">namen het vervoer op </w:t>
      </w:r>
      <w:r w:rsidR="000A379C">
        <w:rPr>
          <w:bCs/>
        </w:rPr>
        <w:t xml:space="preserve">de </w:t>
      </w:r>
      <w:r w:rsidR="00D37829">
        <w:rPr>
          <w:bCs/>
        </w:rPr>
        <w:t>kleine vaarwegen over</w:t>
      </w:r>
      <w:r w:rsidR="001473D0">
        <w:rPr>
          <w:bCs/>
        </w:rPr>
        <w:t xml:space="preserve">, terwijl de </w:t>
      </w:r>
      <w:r w:rsidR="00D37829">
        <w:rPr>
          <w:bCs/>
        </w:rPr>
        <w:t xml:space="preserve">beurtvaart verdween. </w:t>
      </w:r>
      <w:r w:rsidR="00F31F51">
        <w:rPr>
          <w:bCs/>
        </w:rPr>
        <w:t xml:space="preserve">Tegelijkertijd </w:t>
      </w:r>
      <w:r w:rsidR="001473D0">
        <w:rPr>
          <w:bCs/>
        </w:rPr>
        <w:t>zorgde</w:t>
      </w:r>
      <w:r w:rsidR="005E16FE">
        <w:rPr>
          <w:bCs/>
        </w:rPr>
        <w:t>n</w:t>
      </w:r>
      <w:r w:rsidR="001473D0">
        <w:rPr>
          <w:bCs/>
        </w:rPr>
        <w:t xml:space="preserve"> de </w:t>
      </w:r>
      <w:r w:rsidR="00030082">
        <w:rPr>
          <w:bCs/>
        </w:rPr>
        <w:t xml:space="preserve">aardgaswinning </w:t>
      </w:r>
      <w:r w:rsidR="001473D0">
        <w:rPr>
          <w:bCs/>
        </w:rPr>
        <w:t xml:space="preserve">in Slochteren en </w:t>
      </w:r>
      <w:r w:rsidR="00030082">
        <w:rPr>
          <w:bCs/>
        </w:rPr>
        <w:t xml:space="preserve">de sluiting van </w:t>
      </w:r>
      <w:r w:rsidR="001473D0">
        <w:rPr>
          <w:bCs/>
        </w:rPr>
        <w:t xml:space="preserve">de Limburgse kolenmijnen voor een sterke </w:t>
      </w:r>
      <w:r w:rsidR="001473D0">
        <w:rPr>
          <w:bCs/>
        </w:rPr>
        <w:lastRenderedPageBreak/>
        <w:t xml:space="preserve">daling van het </w:t>
      </w:r>
      <w:r w:rsidR="000A379C">
        <w:rPr>
          <w:bCs/>
        </w:rPr>
        <w:t xml:space="preserve">binnenlandse </w:t>
      </w:r>
      <w:r w:rsidR="00BC6D14">
        <w:rPr>
          <w:bCs/>
        </w:rPr>
        <w:t xml:space="preserve">steenkolenvervoer. </w:t>
      </w:r>
      <w:r w:rsidR="008F0C67">
        <w:rPr>
          <w:bCs/>
        </w:rPr>
        <w:t xml:space="preserve">Het aantal vaartuigen </w:t>
      </w:r>
      <w:r w:rsidR="00DF3F13">
        <w:rPr>
          <w:bCs/>
        </w:rPr>
        <w:t xml:space="preserve">halveerde, </w:t>
      </w:r>
      <w:r w:rsidR="00BC6D14">
        <w:rPr>
          <w:bCs/>
        </w:rPr>
        <w:t xml:space="preserve">kleine schepen </w:t>
      </w:r>
      <w:r w:rsidR="00323E38">
        <w:rPr>
          <w:bCs/>
        </w:rPr>
        <w:t xml:space="preserve">werden uit de vaart genomen, </w:t>
      </w:r>
      <w:r w:rsidR="00DF3F13">
        <w:rPr>
          <w:bCs/>
        </w:rPr>
        <w:t>veel schippers</w:t>
      </w:r>
      <w:r w:rsidR="00BC6D14">
        <w:rPr>
          <w:bCs/>
        </w:rPr>
        <w:t xml:space="preserve"> </w:t>
      </w:r>
      <w:r w:rsidR="00DF3F13">
        <w:rPr>
          <w:bCs/>
        </w:rPr>
        <w:t xml:space="preserve">moesten elders emplooi </w:t>
      </w:r>
      <w:r w:rsidR="00760065">
        <w:rPr>
          <w:bCs/>
        </w:rPr>
        <w:t>zoeken</w:t>
      </w:r>
      <w:r w:rsidR="00DF3F13">
        <w:rPr>
          <w:bCs/>
        </w:rPr>
        <w:t xml:space="preserve">. </w:t>
      </w:r>
      <w:r w:rsidR="00DF3F13">
        <w:t xml:space="preserve">In </w:t>
      </w:r>
      <w:r w:rsidR="006A4CAD">
        <w:t xml:space="preserve">1970 </w:t>
      </w:r>
      <w:r w:rsidR="00DF3F13">
        <w:t xml:space="preserve">was het </w:t>
      </w:r>
      <w:r w:rsidR="00030082">
        <w:t xml:space="preserve">binnenlandse </w:t>
      </w:r>
      <w:r w:rsidR="00DF3F13">
        <w:t xml:space="preserve">ladingpakket </w:t>
      </w:r>
      <w:r w:rsidR="00DC18EA">
        <w:t xml:space="preserve">omgevormd </w:t>
      </w:r>
      <w:r w:rsidR="00DF3F13">
        <w:t xml:space="preserve">tot een monocultuur, waarbij driekwart van het vervoer bestond uit zand, grind en andere bouwmaterialen, terwijl daarnaast alleen vloeibare brandstoffen, landbouwproducten en veevoer werden </w:t>
      </w:r>
      <w:r w:rsidR="008953D6">
        <w:t>getransporteerd</w:t>
      </w:r>
      <w:r w:rsidR="00DF3F13">
        <w:t>.</w:t>
      </w:r>
      <w:r w:rsidR="00D72E99">
        <w:t xml:space="preserve"> </w:t>
      </w:r>
      <w:r w:rsidR="00DC18EA">
        <w:t xml:space="preserve">Hierbij kan worden aangetekend dat de binnenvaart bij het zand- en grindvervoer een bijna onaantastbare concurrentiepositie heeft, omdat het vervoer vanaf de winplaatsen </w:t>
      </w:r>
      <w:r w:rsidR="00E32D1B">
        <w:t>naar de ontvangende bouwbedrijven met grote vaartuigen zonder overlading kan plaatsvinden, terwijl vervoer met vrachtauto’s meestal een extra overslag vergt.</w:t>
      </w:r>
      <w:r w:rsidR="00A867F5">
        <w:rPr>
          <w:rStyle w:val="EndnoteReference"/>
        </w:rPr>
        <w:endnoteReference w:id="34"/>
      </w:r>
    </w:p>
    <w:p w14:paraId="02710875" w14:textId="3CF2AB0A" w:rsidR="004A11F9" w:rsidRDefault="00393C29" w:rsidP="00DE08B1">
      <w:pPr>
        <w:jc w:val="left"/>
        <w:rPr>
          <w:rFonts w:ascii="Calibri" w:eastAsia="Times New Roman" w:hAnsi="Calibri" w:cs="Calibri"/>
          <w:color w:val="FF0000"/>
          <w:szCs w:val="24"/>
          <w:shd w:val="clear" w:color="auto" w:fill="FFFFFF"/>
          <w:lang w:eastAsia="nl-NL"/>
        </w:rPr>
      </w:pPr>
      <w:r w:rsidRPr="001B2C5D">
        <w:rPr>
          <w:rFonts w:ascii="Calibri" w:eastAsia="Times New Roman" w:hAnsi="Calibri" w:cs="Calibri"/>
          <w:color w:val="FF0000"/>
          <w:szCs w:val="24"/>
          <w:shd w:val="clear" w:color="auto" w:fill="FFFFFF"/>
          <w:lang w:eastAsia="nl-NL"/>
        </w:rPr>
        <w:t>@i@</w:t>
      </w:r>
      <w:r w:rsidR="004A11F9" w:rsidRPr="005211BE">
        <w:rPr>
          <w:rFonts w:eastAsia="Times New Roman" w:cs="Times New Roman"/>
          <w:color w:val="FF0000"/>
          <w:szCs w:val="24"/>
          <w:lang w:eastAsia="nl-NL"/>
        </w:rPr>
        <w:t>[[[</w:t>
      </w:r>
      <w:r w:rsidR="00B643F9">
        <w:rPr>
          <w:rFonts w:eastAsia="Times New Roman" w:cs="Times New Roman"/>
          <w:color w:val="FF0000"/>
          <w:szCs w:val="24"/>
          <w:lang w:eastAsia="nl-NL"/>
        </w:rPr>
        <w:t>1</w:t>
      </w:r>
      <w:r w:rsidR="001A521C">
        <w:rPr>
          <w:rFonts w:eastAsia="Times New Roman" w:cs="Times New Roman"/>
          <w:color w:val="FF0000"/>
          <w:szCs w:val="24"/>
          <w:lang w:eastAsia="nl-NL"/>
        </w:rPr>
        <w:t>8</w:t>
      </w:r>
      <w:r w:rsidR="00B643F9">
        <w:rPr>
          <w:rFonts w:eastAsia="Times New Roman" w:cs="Times New Roman"/>
          <w:color w:val="FF0000"/>
          <w:szCs w:val="24"/>
          <w:lang w:eastAsia="nl-NL"/>
        </w:rPr>
        <w:t>-</w:t>
      </w:r>
      <w:r w:rsidR="004A11F9">
        <w:rPr>
          <w:rFonts w:eastAsia="Times New Roman" w:cs="Times New Roman"/>
          <w:color w:val="FF0000"/>
          <w:szCs w:val="24"/>
          <w:lang w:eastAsia="nl-NL"/>
        </w:rPr>
        <w:t>11_</w:t>
      </w:r>
      <w:r w:rsidR="00245A5F">
        <w:rPr>
          <w:bCs/>
          <w:color w:val="FF0000"/>
        </w:rPr>
        <w:t>Overslag</w:t>
      </w:r>
      <w:r w:rsidR="00245A5F" w:rsidRPr="00531621">
        <w:rPr>
          <w:bCs/>
          <w:color w:val="FF0000"/>
        </w:rPr>
        <w:t>suikerbieten</w:t>
      </w:r>
      <w:r w:rsidR="004A11F9">
        <w:rPr>
          <w:rFonts w:cstheme="minorHAnsi"/>
          <w:color w:val="FF0000"/>
        </w:rPr>
        <w:t>.jpg</w:t>
      </w:r>
      <w:r w:rsidR="004A11F9" w:rsidRPr="005211BE">
        <w:rPr>
          <w:rFonts w:cstheme="minorHAnsi"/>
          <w:color w:val="FF0000"/>
        </w:rPr>
        <w:t>]]]</w:t>
      </w:r>
      <w:r w:rsidR="004A11F9" w:rsidRPr="005211BE">
        <w:rPr>
          <w:rFonts w:ascii="Calibri" w:eastAsia="Times New Roman" w:hAnsi="Calibri" w:cs="Calibri"/>
          <w:color w:val="FF0000"/>
          <w:szCs w:val="24"/>
          <w:shd w:val="clear" w:color="auto" w:fill="FFFFFF"/>
          <w:lang w:eastAsia="nl-NL"/>
        </w:rPr>
        <w:t>@/i@​</w:t>
      </w:r>
    </w:p>
    <w:p w14:paraId="75130A18" w14:textId="77777777" w:rsidR="00247F44" w:rsidRDefault="00247F44" w:rsidP="00DE08B1">
      <w:pPr>
        <w:jc w:val="left"/>
        <w:rPr>
          <w:rFonts w:eastAsia="Calibri" w:cs="Times New Roman"/>
          <w:color w:val="auto"/>
          <w:szCs w:val="24"/>
        </w:rPr>
      </w:pPr>
    </w:p>
    <w:p w14:paraId="1ADBCB8F" w14:textId="77777777" w:rsidR="00247F44" w:rsidRPr="00247F44" w:rsidRDefault="00247F44" w:rsidP="00247F44">
      <w:pPr>
        <w:rPr>
          <w:rFonts w:eastAsia="Calibri" w:cs="Times New Roman"/>
          <w:color w:val="auto"/>
          <w:szCs w:val="24"/>
        </w:rPr>
      </w:pP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6"/>
        <w:gridCol w:w="2267"/>
        <w:gridCol w:w="2267"/>
        <w:gridCol w:w="2267"/>
      </w:tblGrid>
      <w:tr w:rsidR="00247F44" w:rsidRPr="00247F44" w14:paraId="68F85D1B" w14:textId="77777777" w:rsidTr="000D2FB8">
        <w:trPr>
          <w:trHeight w:val="567"/>
        </w:trPr>
        <w:tc>
          <w:tcPr>
            <w:tcW w:w="2266" w:type="dxa"/>
            <w:tcBorders>
              <w:bottom w:val="single" w:sz="4" w:space="0" w:color="000000"/>
            </w:tcBorders>
          </w:tcPr>
          <w:p w14:paraId="7D1CEE82" w14:textId="77777777" w:rsidR="00247F44" w:rsidRPr="00694DB7" w:rsidRDefault="00247F44" w:rsidP="00247F44">
            <w:pPr>
              <w:jc w:val="center"/>
              <w:rPr>
                <w:rFonts w:eastAsia="Calibri" w:cs="Times New Roman"/>
                <w:b/>
                <w:color w:val="auto"/>
                <w:sz w:val="20"/>
                <w:szCs w:val="20"/>
              </w:rPr>
            </w:pPr>
            <w:r w:rsidRPr="00694DB7">
              <w:rPr>
                <w:rFonts w:eastAsia="Calibri" w:cs="Times New Roman"/>
                <w:b/>
                <w:color w:val="auto"/>
                <w:sz w:val="20"/>
                <w:szCs w:val="20"/>
              </w:rPr>
              <w:t>Jaar</w:t>
            </w:r>
          </w:p>
        </w:tc>
        <w:tc>
          <w:tcPr>
            <w:tcW w:w="2267" w:type="dxa"/>
            <w:tcBorders>
              <w:bottom w:val="single" w:sz="4" w:space="0" w:color="000000"/>
            </w:tcBorders>
          </w:tcPr>
          <w:p w14:paraId="59F6EEF4" w14:textId="68FE661D" w:rsidR="00247F44" w:rsidRPr="00694DB7" w:rsidRDefault="00247F44" w:rsidP="002D6585">
            <w:pPr>
              <w:pStyle w:val="tabelKop"/>
            </w:pPr>
            <w:r w:rsidRPr="00694DB7">
              <w:t>Vervoerd gewicht</w:t>
            </w:r>
            <w:r w:rsidR="00003587">
              <w:t xml:space="preserve"> </w:t>
            </w:r>
          </w:p>
          <w:p w14:paraId="7139FF0C" w14:textId="77777777" w:rsidR="00247F44" w:rsidRPr="00694DB7" w:rsidRDefault="00247F44" w:rsidP="002D6585">
            <w:pPr>
              <w:pStyle w:val="tabelKop"/>
            </w:pPr>
            <w:r w:rsidRPr="00694DB7">
              <w:t>(miljoen ton)</w:t>
            </w:r>
          </w:p>
        </w:tc>
        <w:tc>
          <w:tcPr>
            <w:tcW w:w="2267" w:type="dxa"/>
            <w:tcBorders>
              <w:bottom w:val="single" w:sz="4" w:space="0" w:color="000000"/>
            </w:tcBorders>
          </w:tcPr>
          <w:p w14:paraId="58FA6B97" w14:textId="02A04CD1" w:rsidR="00247F44" w:rsidRPr="00694DB7" w:rsidRDefault="00247F44" w:rsidP="002D6585">
            <w:pPr>
              <w:pStyle w:val="tabelKop"/>
            </w:pPr>
            <w:r w:rsidRPr="00694DB7">
              <w:t>Vervoerprestatie</w:t>
            </w:r>
            <w:r w:rsidR="00003587">
              <w:t xml:space="preserve"> </w:t>
            </w:r>
          </w:p>
          <w:p w14:paraId="19FE5FFE" w14:textId="77777777" w:rsidR="00247F44" w:rsidRPr="00694DB7" w:rsidRDefault="00247F44" w:rsidP="002D6585">
            <w:pPr>
              <w:pStyle w:val="tabelKop"/>
            </w:pPr>
            <w:r w:rsidRPr="00694DB7">
              <w:t xml:space="preserve">(miljard </w:t>
            </w:r>
            <w:proofErr w:type="spellStart"/>
            <w:r w:rsidRPr="00694DB7">
              <w:t>tonkm</w:t>
            </w:r>
            <w:proofErr w:type="spellEnd"/>
            <w:r w:rsidRPr="00694DB7">
              <w:t>)</w:t>
            </w:r>
          </w:p>
        </w:tc>
        <w:tc>
          <w:tcPr>
            <w:tcW w:w="2267" w:type="dxa"/>
            <w:tcBorders>
              <w:bottom w:val="single" w:sz="4" w:space="0" w:color="000000"/>
            </w:tcBorders>
          </w:tcPr>
          <w:p w14:paraId="4EB54879" w14:textId="5AAF9F14" w:rsidR="00247F44" w:rsidRPr="00694DB7" w:rsidRDefault="00247F44" w:rsidP="002D6585">
            <w:pPr>
              <w:pStyle w:val="tabelKop"/>
            </w:pPr>
            <w:r w:rsidRPr="00694DB7">
              <w:t>Gemiddelde afstand</w:t>
            </w:r>
            <w:r w:rsidR="00003587">
              <w:t xml:space="preserve"> </w:t>
            </w:r>
          </w:p>
          <w:p w14:paraId="1BAA2273" w14:textId="77777777" w:rsidR="00247F44" w:rsidRPr="00694DB7" w:rsidRDefault="00247F44" w:rsidP="002D6585">
            <w:pPr>
              <w:pStyle w:val="tabelKop"/>
            </w:pPr>
            <w:r w:rsidRPr="00694DB7">
              <w:t>(km)</w:t>
            </w:r>
          </w:p>
        </w:tc>
      </w:tr>
      <w:tr w:rsidR="00247F44" w:rsidRPr="00247F44" w14:paraId="1E0CC464" w14:textId="77777777" w:rsidTr="000D2FB8">
        <w:tc>
          <w:tcPr>
            <w:tcW w:w="2266" w:type="dxa"/>
            <w:tcBorders>
              <w:bottom w:val="nil"/>
            </w:tcBorders>
          </w:tcPr>
          <w:p w14:paraId="1B18D204" w14:textId="77777777" w:rsidR="00247F44" w:rsidRPr="00247F44" w:rsidRDefault="00247F44" w:rsidP="00247F44">
            <w:pPr>
              <w:jc w:val="center"/>
              <w:rPr>
                <w:rFonts w:eastAsia="Calibri" w:cs="Times New Roman"/>
                <w:color w:val="auto"/>
                <w:sz w:val="20"/>
                <w:szCs w:val="20"/>
              </w:rPr>
            </w:pPr>
            <w:r w:rsidRPr="00247F44">
              <w:rPr>
                <w:rFonts w:eastAsia="Calibri" w:cs="Times New Roman"/>
                <w:color w:val="auto"/>
                <w:sz w:val="20"/>
                <w:szCs w:val="20"/>
              </w:rPr>
              <w:t>1938</w:t>
            </w:r>
          </w:p>
        </w:tc>
        <w:tc>
          <w:tcPr>
            <w:tcW w:w="2267" w:type="dxa"/>
            <w:tcBorders>
              <w:bottom w:val="nil"/>
            </w:tcBorders>
          </w:tcPr>
          <w:p w14:paraId="223DAAF0" w14:textId="77777777" w:rsidR="00247F44" w:rsidRPr="00247F44" w:rsidRDefault="00247F44" w:rsidP="002D6585">
            <w:pPr>
              <w:pStyle w:val="tabelNummers"/>
              <w:rPr>
                <w:rFonts w:eastAsia="Calibri"/>
              </w:rPr>
            </w:pPr>
            <w:r w:rsidRPr="00247F44">
              <w:rPr>
                <w:rFonts w:eastAsia="Calibri"/>
              </w:rPr>
              <w:t>26,6</w:t>
            </w:r>
          </w:p>
        </w:tc>
        <w:tc>
          <w:tcPr>
            <w:tcW w:w="2267" w:type="dxa"/>
            <w:tcBorders>
              <w:bottom w:val="nil"/>
            </w:tcBorders>
          </w:tcPr>
          <w:p w14:paraId="32D3779B" w14:textId="77777777" w:rsidR="00247F44" w:rsidRPr="00247F44" w:rsidRDefault="00247F44" w:rsidP="002D6585">
            <w:pPr>
              <w:pStyle w:val="tabelNummers"/>
              <w:rPr>
                <w:rFonts w:eastAsia="Calibri"/>
              </w:rPr>
            </w:pPr>
            <w:r w:rsidRPr="00247F44">
              <w:rPr>
                <w:rFonts w:eastAsia="Calibri"/>
              </w:rPr>
              <w:t>2,6</w:t>
            </w:r>
          </w:p>
        </w:tc>
        <w:tc>
          <w:tcPr>
            <w:tcW w:w="2267" w:type="dxa"/>
            <w:tcBorders>
              <w:bottom w:val="nil"/>
            </w:tcBorders>
          </w:tcPr>
          <w:p w14:paraId="75A0348C" w14:textId="77777777" w:rsidR="00247F44" w:rsidRPr="00247F44" w:rsidRDefault="00247F44" w:rsidP="002D6585">
            <w:pPr>
              <w:pStyle w:val="tabelNummers"/>
              <w:rPr>
                <w:rFonts w:eastAsia="Calibri"/>
              </w:rPr>
            </w:pPr>
            <w:r w:rsidRPr="00247F44">
              <w:rPr>
                <w:rFonts w:eastAsia="Calibri"/>
              </w:rPr>
              <w:t>102</w:t>
            </w:r>
          </w:p>
        </w:tc>
      </w:tr>
      <w:tr w:rsidR="00247F44" w:rsidRPr="00247F44" w14:paraId="04EED76E" w14:textId="77777777" w:rsidTr="000D2FB8">
        <w:tc>
          <w:tcPr>
            <w:tcW w:w="2266" w:type="dxa"/>
            <w:tcBorders>
              <w:top w:val="nil"/>
              <w:bottom w:val="nil"/>
            </w:tcBorders>
          </w:tcPr>
          <w:p w14:paraId="6AD6E899" w14:textId="77777777" w:rsidR="00247F44" w:rsidRPr="00247F44" w:rsidRDefault="00247F44" w:rsidP="00247F44">
            <w:pPr>
              <w:jc w:val="center"/>
              <w:rPr>
                <w:rFonts w:eastAsia="Calibri" w:cs="Times New Roman"/>
                <w:color w:val="auto"/>
                <w:sz w:val="20"/>
                <w:szCs w:val="20"/>
              </w:rPr>
            </w:pPr>
            <w:r w:rsidRPr="00247F44">
              <w:rPr>
                <w:rFonts w:eastAsia="Calibri" w:cs="Times New Roman"/>
                <w:color w:val="auto"/>
                <w:sz w:val="20"/>
                <w:szCs w:val="20"/>
              </w:rPr>
              <w:t>1950</w:t>
            </w:r>
          </w:p>
        </w:tc>
        <w:tc>
          <w:tcPr>
            <w:tcW w:w="2267" w:type="dxa"/>
            <w:tcBorders>
              <w:top w:val="nil"/>
              <w:bottom w:val="nil"/>
            </w:tcBorders>
          </w:tcPr>
          <w:p w14:paraId="51A61F3B" w14:textId="77777777" w:rsidR="00247F44" w:rsidRPr="00247F44" w:rsidRDefault="00247F44" w:rsidP="002D6585">
            <w:pPr>
              <w:pStyle w:val="tabelNummers"/>
              <w:rPr>
                <w:rFonts w:eastAsia="Calibri"/>
              </w:rPr>
            </w:pPr>
            <w:r w:rsidRPr="00247F44">
              <w:rPr>
                <w:rFonts w:eastAsia="Calibri"/>
              </w:rPr>
              <w:t>41,0</w:t>
            </w:r>
          </w:p>
        </w:tc>
        <w:tc>
          <w:tcPr>
            <w:tcW w:w="2267" w:type="dxa"/>
            <w:tcBorders>
              <w:top w:val="nil"/>
              <w:bottom w:val="nil"/>
            </w:tcBorders>
          </w:tcPr>
          <w:p w14:paraId="6D08F8C4" w14:textId="77777777" w:rsidR="00247F44" w:rsidRPr="00247F44" w:rsidRDefault="00247F44" w:rsidP="002D6585">
            <w:pPr>
              <w:pStyle w:val="tabelNummers"/>
              <w:rPr>
                <w:rFonts w:eastAsia="Calibri"/>
              </w:rPr>
            </w:pPr>
            <w:r w:rsidRPr="00247F44">
              <w:rPr>
                <w:rFonts w:eastAsia="Calibri"/>
              </w:rPr>
              <w:t>4,1</w:t>
            </w:r>
          </w:p>
        </w:tc>
        <w:tc>
          <w:tcPr>
            <w:tcW w:w="2267" w:type="dxa"/>
            <w:tcBorders>
              <w:top w:val="nil"/>
              <w:bottom w:val="nil"/>
            </w:tcBorders>
          </w:tcPr>
          <w:p w14:paraId="0C3C6B58" w14:textId="77777777" w:rsidR="00247F44" w:rsidRPr="00247F44" w:rsidRDefault="00247F44" w:rsidP="002D6585">
            <w:pPr>
              <w:pStyle w:val="tabelNummers"/>
              <w:rPr>
                <w:rFonts w:eastAsia="Calibri"/>
              </w:rPr>
            </w:pPr>
            <w:r w:rsidRPr="00247F44">
              <w:rPr>
                <w:rFonts w:eastAsia="Calibri"/>
              </w:rPr>
              <w:t>100</w:t>
            </w:r>
          </w:p>
        </w:tc>
      </w:tr>
      <w:tr w:rsidR="00247F44" w:rsidRPr="00247F44" w14:paraId="1086DE5A" w14:textId="77777777" w:rsidTr="000D2FB8">
        <w:tc>
          <w:tcPr>
            <w:tcW w:w="2266" w:type="dxa"/>
            <w:tcBorders>
              <w:top w:val="nil"/>
              <w:bottom w:val="nil"/>
            </w:tcBorders>
          </w:tcPr>
          <w:p w14:paraId="59CB3CE0" w14:textId="77777777" w:rsidR="00247F44" w:rsidRPr="00247F44" w:rsidRDefault="00247F44" w:rsidP="00247F44">
            <w:pPr>
              <w:jc w:val="center"/>
              <w:rPr>
                <w:rFonts w:eastAsia="Calibri" w:cs="Times New Roman"/>
                <w:color w:val="auto"/>
                <w:sz w:val="20"/>
                <w:szCs w:val="20"/>
              </w:rPr>
            </w:pPr>
            <w:r w:rsidRPr="00247F44">
              <w:rPr>
                <w:rFonts w:eastAsia="Calibri" w:cs="Times New Roman"/>
                <w:color w:val="auto"/>
                <w:sz w:val="20"/>
                <w:szCs w:val="20"/>
              </w:rPr>
              <w:t>1960</w:t>
            </w:r>
          </w:p>
        </w:tc>
        <w:tc>
          <w:tcPr>
            <w:tcW w:w="2267" w:type="dxa"/>
            <w:tcBorders>
              <w:top w:val="nil"/>
              <w:bottom w:val="nil"/>
            </w:tcBorders>
          </w:tcPr>
          <w:p w14:paraId="64EB33C4" w14:textId="77777777" w:rsidR="00247F44" w:rsidRPr="00247F44" w:rsidRDefault="00247F44" w:rsidP="002D6585">
            <w:pPr>
              <w:pStyle w:val="tabelNummers"/>
              <w:rPr>
                <w:rFonts w:eastAsia="Calibri"/>
              </w:rPr>
            </w:pPr>
            <w:r w:rsidRPr="00247F44">
              <w:rPr>
                <w:rFonts w:eastAsia="Calibri"/>
              </w:rPr>
              <w:t>62,1</w:t>
            </w:r>
          </w:p>
        </w:tc>
        <w:tc>
          <w:tcPr>
            <w:tcW w:w="2267" w:type="dxa"/>
            <w:tcBorders>
              <w:top w:val="nil"/>
              <w:bottom w:val="nil"/>
            </w:tcBorders>
          </w:tcPr>
          <w:p w14:paraId="2E2DD09A" w14:textId="77777777" w:rsidR="00247F44" w:rsidRPr="00247F44" w:rsidRDefault="00247F44" w:rsidP="002D6585">
            <w:pPr>
              <w:pStyle w:val="tabelNummers"/>
              <w:rPr>
                <w:rFonts w:eastAsia="Calibri"/>
              </w:rPr>
            </w:pPr>
            <w:r w:rsidRPr="00247F44">
              <w:rPr>
                <w:rFonts w:eastAsia="Calibri"/>
              </w:rPr>
              <w:t>5,8</w:t>
            </w:r>
          </w:p>
        </w:tc>
        <w:tc>
          <w:tcPr>
            <w:tcW w:w="2267" w:type="dxa"/>
            <w:tcBorders>
              <w:top w:val="nil"/>
              <w:bottom w:val="nil"/>
            </w:tcBorders>
          </w:tcPr>
          <w:p w14:paraId="2EA87B17" w14:textId="77777777" w:rsidR="00247F44" w:rsidRPr="00247F44" w:rsidRDefault="00247F44" w:rsidP="002D6585">
            <w:pPr>
              <w:pStyle w:val="tabelNummers"/>
              <w:rPr>
                <w:rFonts w:eastAsia="Calibri"/>
              </w:rPr>
            </w:pPr>
            <w:r w:rsidRPr="00247F44">
              <w:rPr>
                <w:rFonts w:eastAsia="Calibri"/>
              </w:rPr>
              <w:t>93</w:t>
            </w:r>
          </w:p>
        </w:tc>
      </w:tr>
      <w:tr w:rsidR="00247F44" w:rsidRPr="00247F44" w14:paraId="56FC9B50" w14:textId="77777777" w:rsidTr="000D2FB8">
        <w:tc>
          <w:tcPr>
            <w:tcW w:w="2266" w:type="dxa"/>
            <w:tcBorders>
              <w:top w:val="nil"/>
              <w:bottom w:val="nil"/>
            </w:tcBorders>
          </w:tcPr>
          <w:p w14:paraId="210CD0A1" w14:textId="77777777" w:rsidR="00247F44" w:rsidRPr="00247F44" w:rsidRDefault="00247F44" w:rsidP="00247F44">
            <w:pPr>
              <w:jc w:val="center"/>
              <w:rPr>
                <w:rFonts w:eastAsia="Calibri" w:cs="Times New Roman"/>
                <w:color w:val="auto"/>
                <w:sz w:val="20"/>
                <w:szCs w:val="20"/>
              </w:rPr>
            </w:pPr>
            <w:r w:rsidRPr="00247F44">
              <w:rPr>
                <w:rFonts w:eastAsia="Calibri" w:cs="Times New Roman"/>
                <w:color w:val="auto"/>
                <w:sz w:val="20"/>
                <w:szCs w:val="20"/>
              </w:rPr>
              <w:t>1970</w:t>
            </w:r>
          </w:p>
        </w:tc>
        <w:tc>
          <w:tcPr>
            <w:tcW w:w="2267" w:type="dxa"/>
            <w:tcBorders>
              <w:top w:val="nil"/>
              <w:bottom w:val="nil"/>
            </w:tcBorders>
          </w:tcPr>
          <w:p w14:paraId="03AC713B" w14:textId="77777777" w:rsidR="00247F44" w:rsidRPr="00247F44" w:rsidRDefault="00247F44" w:rsidP="002D6585">
            <w:pPr>
              <w:pStyle w:val="tabelNummers"/>
              <w:rPr>
                <w:rFonts w:eastAsia="Calibri"/>
              </w:rPr>
            </w:pPr>
            <w:r w:rsidRPr="00247F44">
              <w:rPr>
                <w:rFonts w:eastAsia="Calibri"/>
              </w:rPr>
              <w:t>93,0</w:t>
            </w:r>
          </w:p>
        </w:tc>
        <w:tc>
          <w:tcPr>
            <w:tcW w:w="2267" w:type="dxa"/>
            <w:tcBorders>
              <w:top w:val="nil"/>
              <w:bottom w:val="nil"/>
            </w:tcBorders>
          </w:tcPr>
          <w:p w14:paraId="09809584" w14:textId="77777777" w:rsidR="00247F44" w:rsidRPr="00247F44" w:rsidRDefault="00247F44" w:rsidP="002D6585">
            <w:pPr>
              <w:pStyle w:val="tabelNummers"/>
              <w:rPr>
                <w:rFonts w:eastAsia="Calibri"/>
              </w:rPr>
            </w:pPr>
            <w:r w:rsidRPr="00247F44">
              <w:rPr>
                <w:rFonts w:eastAsia="Calibri"/>
              </w:rPr>
              <w:t>8,8</w:t>
            </w:r>
          </w:p>
        </w:tc>
        <w:tc>
          <w:tcPr>
            <w:tcW w:w="2267" w:type="dxa"/>
            <w:tcBorders>
              <w:top w:val="nil"/>
              <w:bottom w:val="nil"/>
            </w:tcBorders>
          </w:tcPr>
          <w:p w14:paraId="24F49B75" w14:textId="77777777" w:rsidR="00247F44" w:rsidRPr="00247F44" w:rsidRDefault="00247F44" w:rsidP="002D6585">
            <w:pPr>
              <w:pStyle w:val="tabelNummers"/>
              <w:rPr>
                <w:rFonts w:eastAsia="Calibri"/>
              </w:rPr>
            </w:pPr>
            <w:r w:rsidRPr="00247F44">
              <w:rPr>
                <w:rFonts w:eastAsia="Calibri"/>
              </w:rPr>
              <w:t>95</w:t>
            </w:r>
          </w:p>
        </w:tc>
      </w:tr>
      <w:tr w:rsidR="00247F44" w:rsidRPr="00247F44" w14:paraId="33E7ED0E" w14:textId="77777777" w:rsidTr="000D2FB8">
        <w:tc>
          <w:tcPr>
            <w:tcW w:w="2266" w:type="dxa"/>
            <w:tcBorders>
              <w:top w:val="nil"/>
              <w:bottom w:val="nil"/>
            </w:tcBorders>
          </w:tcPr>
          <w:p w14:paraId="33DF34AA" w14:textId="77777777" w:rsidR="00247F44" w:rsidRPr="00247F44" w:rsidRDefault="00247F44" w:rsidP="00247F44">
            <w:pPr>
              <w:jc w:val="center"/>
              <w:rPr>
                <w:rFonts w:eastAsia="Calibri" w:cs="Times New Roman"/>
                <w:color w:val="auto"/>
                <w:sz w:val="20"/>
                <w:szCs w:val="20"/>
              </w:rPr>
            </w:pPr>
            <w:r w:rsidRPr="00247F44">
              <w:rPr>
                <w:rFonts w:eastAsia="Calibri" w:cs="Times New Roman"/>
                <w:color w:val="auto"/>
                <w:sz w:val="20"/>
                <w:szCs w:val="20"/>
              </w:rPr>
              <w:t>1980</w:t>
            </w:r>
          </w:p>
        </w:tc>
        <w:tc>
          <w:tcPr>
            <w:tcW w:w="2267" w:type="dxa"/>
            <w:tcBorders>
              <w:top w:val="nil"/>
              <w:bottom w:val="nil"/>
            </w:tcBorders>
          </w:tcPr>
          <w:p w14:paraId="14F4271E" w14:textId="77777777" w:rsidR="00247F44" w:rsidRPr="00247F44" w:rsidRDefault="00247F44" w:rsidP="002D6585">
            <w:pPr>
              <w:pStyle w:val="tabelNummers"/>
              <w:rPr>
                <w:rFonts w:eastAsia="Calibri"/>
              </w:rPr>
            </w:pPr>
            <w:r w:rsidRPr="00247F44">
              <w:rPr>
                <w:rFonts w:eastAsia="Calibri"/>
              </w:rPr>
              <w:t>88,7</w:t>
            </w:r>
          </w:p>
        </w:tc>
        <w:tc>
          <w:tcPr>
            <w:tcW w:w="2267" w:type="dxa"/>
            <w:tcBorders>
              <w:top w:val="nil"/>
              <w:bottom w:val="nil"/>
            </w:tcBorders>
          </w:tcPr>
          <w:p w14:paraId="758D56B4" w14:textId="77777777" w:rsidR="00247F44" w:rsidRPr="00247F44" w:rsidRDefault="00247F44" w:rsidP="002D6585">
            <w:pPr>
              <w:pStyle w:val="tabelNummers"/>
              <w:rPr>
                <w:rFonts w:eastAsia="Calibri"/>
              </w:rPr>
            </w:pPr>
            <w:r w:rsidRPr="00247F44">
              <w:rPr>
                <w:rFonts w:eastAsia="Calibri"/>
              </w:rPr>
              <w:t>7,9</w:t>
            </w:r>
          </w:p>
        </w:tc>
        <w:tc>
          <w:tcPr>
            <w:tcW w:w="2267" w:type="dxa"/>
            <w:tcBorders>
              <w:top w:val="nil"/>
              <w:bottom w:val="nil"/>
            </w:tcBorders>
          </w:tcPr>
          <w:p w14:paraId="4A44290E" w14:textId="77777777" w:rsidR="00247F44" w:rsidRPr="00247F44" w:rsidRDefault="00247F44" w:rsidP="002D6585">
            <w:pPr>
              <w:pStyle w:val="tabelNummers"/>
              <w:rPr>
                <w:rFonts w:eastAsia="Calibri"/>
              </w:rPr>
            </w:pPr>
            <w:r w:rsidRPr="00247F44">
              <w:rPr>
                <w:rFonts w:eastAsia="Calibri"/>
              </w:rPr>
              <w:t>89</w:t>
            </w:r>
          </w:p>
        </w:tc>
      </w:tr>
      <w:tr w:rsidR="00247F44" w:rsidRPr="00247F44" w14:paraId="5E525AC5" w14:textId="77777777" w:rsidTr="000D2FB8">
        <w:tc>
          <w:tcPr>
            <w:tcW w:w="2266" w:type="dxa"/>
            <w:tcBorders>
              <w:top w:val="nil"/>
              <w:bottom w:val="nil"/>
            </w:tcBorders>
          </w:tcPr>
          <w:p w14:paraId="637E0C4C" w14:textId="77777777" w:rsidR="00247F44" w:rsidRPr="00247F44" w:rsidRDefault="00247F44" w:rsidP="00247F44">
            <w:pPr>
              <w:jc w:val="center"/>
              <w:rPr>
                <w:rFonts w:eastAsia="Calibri" w:cs="Times New Roman"/>
                <w:color w:val="auto"/>
                <w:sz w:val="20"/>
                <w:szCs w:val="20"/>
              </w:rPr>
            </w:pPr>
            <w:r w:rsidRPr="00247F44">
              <w:rPr>
                <w:rFonts w:eastAsia="Calibri" w:cs="Times New Roman"/>
                <w:color w:val="auto"/>
                <w:sz w:val="20"/>
                <w:szCs w:val="20"/>
              </w:rPr>
              <w:t>1990</w:t>
            </w:r>
          </w:p>
        </w:tc>
        <w:tc>
          <w:tcPr>
            <w:tcW w:w="2267" w:type="dxa"/>
            <w:tcBorders>
              <w:top w:val="nil"/>
              <w:bottom w:val="nil"/>
            </w:tcBorders>
          </w:tcPr>
          <w:p w14:paraId="75AAB41F" w14:textId="77777777" w:rsidR="00247F44" w:rsidRPr="00247F44" w:rsidRDefault="00247F44" w:rsidP="002D6585">
            <w:pPr>
              <w:pStyle w:val="tabelNummers"/>
              <w:rPr>
                <w:rFonts w:eastAsia="Calibri"/>
              </w:rPr>
            </w:pPr>
            <w:r w:rsidRPr="00247F44">
              <w:rPr>
                <w:rFonts w:eastAsia="Calibri"/>
              </w:rPr>
              <w:t>85,3</w:t>
            </w:r>
          </w:p>
        </w:tc>
        <w:tc>
          <w:tcPr>
            <w:tcW w:w="2267" w:type="dxa"/>
            <w:tcBorders>
              <w:top w:val="nil"/>
              <w:bottom w:val="nil"/>
            </w:tcBorders>
          </w:tcPr>
          <w:p w14:paraId="30CCF469" w14:textId="77777777" w:rsidR="00247F44" w:rsidRPr="00247F44" w:rsidRDefault="00247F44" w:rsidP="002D6585">
            <w:pPr>
              <w:pStyle w:val="tabelNummers"/>
              <w:rPr>
                <w:rFonts w:eastAsia="Calibri"/>
              </w:rPr>
            </w:pPr>
            <w:r w:rsidRPr="00247F44">
              <w:rPr>
                <w:rFonts w:eastAsia="Calibri"/>
              </w:rPr>
              <w:t>6,9</w:t>
            </w:r>
          </w:p>
        </w:tc>
        <w:tc>
          <w:tcPr>
            <w:tcW w:w="2267" w:type="dxa"/>
            <w:tcBorders>
              <w:top w:val="nil"/>
              <w:bottom w:val="nil"/>
            </w:tcBorders>
          </w:tcPr>
          <w:p w14:paraId="41C93065" w14:textId="77777777" w:rsidR="00247F44" w:rsidRPr="00247F44" w:rsidRDefault="00247F44" w:rsidP="002D6585">
            <w:pPr>
              <w:pStyle w:val="tabelNummers"/>
              <w:rPr>
                <w:rFonts w:eastAsia="Calibri"/>
              </w:rPr>
            </w:pPr>
            <w:r w:rsidRPr="00247F44">
              <w:rPr>
                <w:rFonts w:eastAsia="Calibri"/>
              </w:rPr>
              <w:t>81</w:t>
            </w:r>
          </w:p>
        </w:tc>
      </w:tr>
      <w:tr w:rsidR="00247F44" w:rsidRPr="00247F44" w14:paraId="7D225E15" w14:textId="77777777" w:rsidTr="000D2FB8">
        <w:tc>
          <w:tcPr>
            <w:tcW w:w="2266" w:type="dxa"/>
            <w:tcBorders>
              <w:top w:val="nil"/>
              <w:bottom w:val="nil"/>
            </w:tcBorders>
          </w:tcPr>
          <w:p w14:paraId="18712DBB" w14:textId="77777777" w:rsidR="00247F44" w:rsidRPr="00247F44" w:rsidRDefault="00247F44" w:rsidP="00247F44">
            <w:pPr>
              <w:jc w:val="center"/>
              <w:rPr>
                <w:rFonts w:eastAsia="Calibri" w:cs="Times New Roman"/>
                <w:color w:val="auto"/>
                <w:sz w:val="20"/>
                <w:szCs w:val="20"/>
              </w:rPr>
            </w:pPr>
            <w:r w:rsidRPr="00247F44">
              <w:rPr>
                <w:rFonts w:eastAsia="Calibri" w:cs="Times New Roman"/>
                <w:color w:val="auto"/>
                <w:sz w:val="20"/>
                <w:szCs w:val="20"/>
              </w:rPr>
              <w:t>2000</w:t>
            </w:r>
          </w:p>
        </w:tc>
        <w:tc>
          <w:tcPr>
            <w:tcW w:w="2267" w:type="dxa"/>
            <w:tcBorders>
              <w:top w:val="nil"/>
              <w:bottom w:val="nil"/>
            </w:tcBorders>
          </w:tcPr>
          <w:p w14:paraId="48F42391" w14:textId="77777777" w:rsidR="00247F44" w:rsidRPr="00247F44" w:rsidRDefault="00247F44" w:rsidP="002D6585">
            <w:pPr>
              <w:pStyle w:val="tabelNummers"/>
              <w:rPr>
                <w:rFonts w:eastAsia="Calibri"/>
              </w:rPr>
            </w:pPr>
            <w:r w:rsidRPr="00247F44">
              <w:rPr>
                <w:rFonts w:eastAsia="Calibri"/>
              </w:rPr>
              <w:t>102,0</w:t>
            </w:r>
          </w:p>
        </w:tc>
        <w:tc>
          <w:tcPr>
            <w:tcW w:w="2267" w:type="dxa"/>
            <w:tcBorders>
              <w:top w:val="nil"/>
              <w:bottom w:val="nil"/>
            </w:tcBorders>
          </w:tcPr>
          <w:p w14:paraId="59055A33" w14:textId="77777777" w:rsidR="00247F44" w:rsidRPr="00247F44" w:rsidRDefault="00247F44" w:rsidP="002D6585">
            <w:pPr>
              <w:pStyle w:val="tabelNummers"/>
              <w:rPr>
                <w:rFonts w:eastAsia="Calibri"/>
              </w:rPr>
            </w:pPr>
            <w:r w:rsidRPr="00247F44">
              <w:rPr>
                <w:rFonts w:eastAsia="Calibri"/>
              </w:rPr>
              <w:t>9,7</w:t>
            </w:r>
          </w:p>
        </w:tc>
        <w:tc>
          <w:tcPr>
            <w:tcW w:w="2267" w:type="dxa"/>
            <w:tcBorders>
              <w:top w:val="nil"/>
              <w:bottom w:val="nil"/>
            </w:tcBorders>
          </w:tcPr>
          <w:p w14:paraId="3D623F47" w14:textId="77777777" w:rsidR="00247F44" w:rsidRPr="00247F44" w:rsidRDefault="00247F44" w:rsidP="002D6585">
            <w:pPr>
              <w:pStyle w:val="tabelNummers"/>
              <w:rPr>
                <w:rFonts w:eastAsia="Calibri"/>
              </w:rPr>
            </w:pPr>
            <w:r w:rsidRPr="00247F44">
              <w:rPr>
                <w:rFonts w:eastAsia="Calibri"/>
              </w:rPr>
              <w:t>95</w:t>
            </w:r>
          </w:p>
        </w:tc>
      </w:tr>
      <w:tr w:rsidR="00247F44" w:rsidRPr="00247F44" w14:paraId="27AD803D" w14:textId="77777777" w:rsidTr="000D2FB8">
        <w:tc>
          <w:tcPr>
            <w:tcW w:w="2266" w:type="dxa"/>
            <w:tcBorders>
              <w:top w:val="nil"/>
              <w:bottom w:val="nil"/>
            </w:tcBorders>
          </w:tcPr>
          <w:p w14:paraId="2A803CEC" w14:textId="77777777" w:rsidR="00247F44" w:rsidRPr="00247F44" w:rsidRDefault="00247F44" w:rsidP="00247F44">
            <w:pPr>
              <w:jc w:val="center"/>
              <w:rPr>
                <w:rFonts w:eastAsia="Calibri" w:cs="Times New Roman"/>
                <w:color w:val="auto"/>
                <w:sz w:val="20"/>
                <w:szCs w:val="20"/>
              </w:rPr>
            </w:pPr>
            <w:r w:rsidRPr="00247F44">
              <w:rPr>
                <w:rFonts w:eastAsia="Calibri" w:cs="Times New Roman"/>
                <w:color w:val="auto"/>
                <w:sz w:val="20"/>
                <w:szCs w:val="20"/>
              </w:rPr>
              <w:t>2010</w:t>
            </w:r>
          </w:p>
        </w:tc>
        <w:tc>
          <w:tcPr>
            <w:tcW w:w="2267" w:type="dxa"/>
            <w:tcBorders>
              <w:top w:val="nil"/>
              <w:bottom w:val="nil"/>
            </w:tcBorders>
          </w:tcPr>
          <w:p w14:paraId="14ADF5CA" w14:textId="77777777" w:rsidR="00247F44" w:rsidRPr="00247F44" w:rsidRDefault="00247F44" w:rsidP="002D6585">
            <w:pPr>
              <w:pStyle w:val="tabelNummers"/>
              <w:rPr>
                <w:rFonts w:eastAsia="Calibri"/>
              </w:rPr>
            </w:pPr>
            <w:r w:rsidRPr="00247F44">
              <w:rPr>
                <w:rFonts w:eastAsia="Calibri"/>
              </w:rPr>
              <w:t>103,3</w:t>
            </w:r>
          </w:p>
        </w:tc>
        <w:tc>
          <w:tcPr>
            <w:tcW w:w="2267" w:type="dxa"/>
            <w:tcBorders>
              <w:top w:val="nil"/>
              <w:bottom w:val="nil"/>
            </w:tcBorders>
          </w:tcPr>
          <w:p w14:paraId="70BB07DE" w14:textId="77777777" w:rsidR="00247F44" w:rsidRPr="00247F44" w:rsidRDefault="00247F44" w:rsidP="002D6585">
            <w:pPr>
              <w:pStyle w:val="tabelNummers"/>
              <w:rPr>
                <w:rFonts w:eastAsia="Calibri"/>
              </w:rPr>
            </w:pPr>
            <w:r w:rsidRPr="00247F44">
              <w:rPr>
                <w:rFonts w:eastAsia="Calibri"/>
              </w:rPr>
              <w:t>11,8</w:t>
            </w:r>
          </w:p>
        </w:tc>
        <w:tc>
          <w:tcPr>
            <w:tcW w:w="2267" w:type="dxa"/>
            <w:tcBorders>
              <w:top w:val="nil"/>
              <w:bottom w:val="nil"/>
            </w:tcBorders>
          </w:tcPr>
          <w:p w14:paraId="5229C669" w14:textId="77777777" w:rsidR="00247F44" w:rsidRPr="00247F44" w:rsidRDefault="00247F44" w:rsidP="002D6585">
            <w:pPr>
              <w:pStyle w:val="tabelNummers"/>
              <w:rPr>
                <w:rFonts w:eastAsia="Calibri"/>
              </w:rPr>
            </w:pPr>
            <w:r w:rsidRPr="00247F44">
              <w:rPr>
                <w:rFonts w:eastAsia="Calibri"/>
              </w:rPr>
              <w:t>114</w:t>
            </w:r>
          </w:p>
        </w:tc>
      </w:tr>
      <w:tr w:rsidR="00247F44" w:rsidRPr="00247F44" w14:paraId="1340E3B9" w14:textId="77777777" w:rsidTr="000D2FB8">
        <w:tc>
          <w:tcPr>
            <w:tcW w:w="2266" w:type="dxa"/>
            <w:tcBorders>
              <w:top w:val="nil"/>
              <w:bottom w:val="single" w:sz="4" w:space="0" w:color="auto"/>
            </w:tcBorders>
          </w:tcPr>
          <w:p w14:paraId="461D72AF" w14:textId="77777777" w:rsidR="00247F44" w:rsidRPr="00247F44" w:rsidRDefault="00247F44" w:rsidP="00247F44">
            <w:pPr>
              <w:jc w:val="center"/>
              <w:rPr>
                <w:rFonts w:eastAsia="Calibri" w:cs="Times New Roman"/>
                <w:color w:val="auto"/>
                <w:sz w:val="20"/>
                <w:szCs w:val="20"/>
              </w:rPr>
            </w:pPr>
            <w:r w:rsidRPr="00247F44">
              <w:rPr>
                <w:rFonts w:eastAsia="Calibri" w:cs="Times New Roman"/>
                <w:color w:val="auto"/>
                <w:sz w:val="20"/>
                <w:szCs w:val="20"/>
              </w:rPr>
              <w:t>2022</w:t>
            </w:r>
          </w:p>
        </w:tc>
        <w:tc>
          <w:tcPr>
            <w:tcW w:w="2267" w:type="dxa"/>
            <w:tcBorders>
              <w:top w:val="nil"/>
              <w:bottom w:val="single" w:sz="4" w:space="0" w:color="auto"/>
            </w:tcBorders>
          </w:tcPr>
          <w:p w14:paraId="72C58B33" w14:textId="77777777" w:rsidR="00247F44" w:rsidRPr="00247F44" w:rsidRDefault="00247F44" w:rsidP="002D6585">
            <w:pPr>
              <w:pStyle w:val="tabelNummers"/>
              <w:rPr>
                <w:rFonts w:eastAsia="Calibri"/>
              </w:rPr>
            </w:pPr>
            <w:r w:rsidRPr="00247F44">
              <w:rPr>
                <w:rFonts w:eastAsia="Calibri"/>
              </w:rPr>
              <w:t>115,3</w:t>
            </w:r>
          </w:p>
        </w:tc>
        <w:tc>
          <w:tcPr>
            <w:tcW w:w="2267" w:type="dxa"/>
            <w:tcBorders>
              <w:top w:val="nil"/>
              <w:bottom w:val="single" w:sz="4" w:space="0" w:color="auto"/>
            </w:tcBorders>
          </w:tcPr>
          <w:p w14:paraId="1F7A0563" w14:textId="77777777" w:rsidR="00247F44" w:rsidRPr="00247F44" w:rsidRDefault="00247F44" w:rsidP="002D6585">
            <w:pPr>
              <w:pStyle w:val="tabelNummers"/>
              <w:rPr>
                <w:rFonts w:eastAsia="Calibri"/>
              </w:rPr>
            </w:pPr>
            <w:r w:rsidRPr="00247F44">
              <w:rPr>
                <w:rFonts w:eastAsia="Calibri"/>
              </w:rPr>
              <w:t>12,8</w:t>
            </w:r>
          </w:p>
        </w:tc>
        <w:tc>
          <w:tcPr>
            <w:tcW w:w="2267" w:type="dxa"/>
            <w:tcBorders>
              <w:top w:val="nil"/>
              <w:bottom w:val="single" w:sz="4" w:space="0" w:color="auto"/>
            </w:tcBorders>
          </w:tcPr>
          <w:p w14:paraId="272D6322" w14:textId="77777777" w:rsidR="00247F44" w:rsidRPr="00247F44" w:rsidRDefault="00247F44" w:rsidP="002D6585">
            <w:pPr>
              <w:pStyle w:val="tabelNummers"/>
              <w:rPr>
                <w:rFonts w:eastAsia="Calibri"/>
              </w:rPr>
            </w:pPr>
            <w:r w:rsidRPr="00247F44">
              <w:rPr>
                <w:rFonts w:eastAsia="Calibri"/>
              </w:rPr>
              <w:t>111</w:t>
            </w:r>
          </w:p>
        </w:tc>
      </w:tr>
    </w:tbl>
    <w:p w14:paraId="3B6CF7EA" w14:textId="77777777" w:rsidR="00247F44" w:rsidRPr="00247F44" w:rsidRDefault="00247F44" w:rsidP="00247F44">
      <w:pPr>
        <w:rPr>
          <w:rFonts w:eastAsia="Calibri" w:cs="Times New Roman"/>
          <w:color w:val="auto"/>
          <w:szCs w:val="24"/>
        </w:rPr>
      </w:pPr>
    </w:p>
    <w:p w14:paraId="3E5E4ECF" w14:textId="0615EF54" w:rsidR="00247F44" w:rsidRDefault="00247F44" w:rsidP="009F2A04">
      <w:pPr>
        <w:rPr>
          <w:rFonts w:eastAsia="Calibri" w:cs="Times New Roman"/>
          <w:color w:val="auto"/>
          <w:szCs w:val="24"/>
        </w:rPr>
      </w:pPr>
      <w:r w:rsidRPr="00694DB7">
        <w:rPr>
          <w:rFonts w:eastAsia="Calibri" w:cs="Times New Roman"/>
          <w:i/>
          <w:iCs/>
          <w:color w:val="auto"/>
          <w:sz w:val="20"/>
          <w:szCs w:val="20"/>
        </w:rPr>
        <w:t>Tabel 8</w:t>
      </w:r>
      <w:r w:rsidR="00A93A4C" w:rsidRPr="00694DB7">
        <w:rPr>
          <w:rFonts w:eastAsia="Calibri" w:cs="Times New Roman"/>
          <w:i/>
          <w:iCs/>
          <w:color w:val="auto"/>
          <w:sz w:val="20"/>
          <w:szCs w:val="20"/>
        </w:rPr>
        <w:t>:</w:t>
      </w:r>
      <w:r w:rsidRPr="00694DB7">
        <w:rPr>
          <w:rFonts w:eastAsia="Calibri" w:cs="Times New Roman"/>
          <w:i/>
          <w:iCs/>
          <w:color w:val="auto"/>
          <w:sz w:val="20"/>
          <w:szCs w:val="20"/>
        </w:rPr>
        <w:t xml:space="preserve"> </w:t>
      </w:r>
      <w:r w:rsidRPr="00694DB7">
        <w:rPr>
          <w:rFonts w:eastAsia="Calibri" w:cs="Times New Roman"/>
          <w:i/>
          <w:color w:val="auto"/>
          <w:sz w:val="20"/>
          <w:szCs w:val="20"/>
        </w:rPr>
        <w:t>Ontwikkeling binnenlands vervoer per binnenschip (1938-2022)</w:t>
      </w:r>
      <w:r w:rsidRPr="00694DB7">
        <w:rPr>
          <w:rFonts w:eastAsia="Calibri" w:cs="Times New Roman"/>
          <w:color w:val="auto"/>
          <w:sz w:val="20"/>
          <w:szCs w:val="20"/>
        </w:rPr>
        <w:t>.</w:t>
      </w:r>
      <w:r w:rsidRPr="00247F44">
        <w:rPr>
          <w:rFonts w:eastAsia="Calibri" w:cs="Times New Roman"/>
          <w:color w:val="auto"/>
          <w:szCs w:val="24"/>
          <w:vertAlign w:val="superscript"/>
        </w:rPr>
        <w:endnoteReference w:id="35"/>
      </w:r>
    </w:p>
    <w:p w14:paraId="7BB6A8F0" w14:textId="77777777" w:rsidR="00247F44" w:rsidRPr="004B17CB" w:rsidRDefault="00247F44" w:rsidP="00DE08B1">
      <w:pPr>
        <w:jc w:val="left"/>
        <w:rPr>
          <w:rFonts w:eastAsia="Calibri" w:cs="Times New Roman"/>
          <w:color w:val="auto"/>
          <w:szCs w:val="24"/>
        </w:rPr>
      </w:pPr>
    </w:p>
    <w:p w14:paraId="7BB417C7" w14:textId="77777777" w:rsidR="00325507" w:rsidRDefault="00325507" w:rsidP="00DE08B1">
      <w:pPr>
        <w:jc w:val="left"/>
      </w:pPr>
    </w:p>
    <w:tbl>
      <w:tblPr>
        <w:tblStyle w:val="TableGrid"/>
        <w:tblW w:w="0" w:type="auto"/>
        <w:tblLook w:val="04A0" w:firstRow="1" w:lastRow="0" w:firstColumn="1" w:lastColumn="0" w:noHBand="0" w:noVBand="1"/>
      </w:tblPr>
      <w:tblGrid>
        <w:gridCol w:w="3882"/>
        <w:gridCol w:w="1295"/>
        <w:gridCol w:w="1295"/>
        <w:gridCol w:w="1295"/>
        <w:gridCol w:w="1295"/>
      </w:tblGrid>
      <w:tr w:rsidR="00325507" w:rsidRPr="001E1032" w14:paraId="18EAE9AA" w14:textId="77777777" w:rsidTr="0030721E">
        <w:trPr>
          <w:trHeight w:val="567"/>
        </w:trPr>
        <w:tc>
          <w:tcPr>
            <w:tcW w:w="3882" w:type="dxa"/>
            <w:vMerge w:val="restart"/>
          </w:tcPr>
          <w:p w14:paraId="47011E82" w14:textId="77777777" w:rsidR="00325507" w:rsidRPr="001E1032" w:rsidRDefault="00325507" w:rsidP="00DE08B1">
            <w:pPr>
              <w:jc w:val="left"/>
              <w:rPr>
                <w:b/>
                <w:sz w:val="20"/>
                <w:szCs w:val="20"/>
              </w:rPr>
            </w:pPr>
            <w:r w:rsidRPr="001E1032">
              <w:rPr>
                <w:rFonts w:eastAsia="Times New Roman" w:cs="Times New Roman"/>
                <w:b/>
                <w:color w:val="auto"/>
                <w:sz w:val="20"/>
                <w:szCs w:val="20"/>
                <w:lang w:eastAsia="nl-NL"/>
              </w:rPr>
              <w:t>Aard goederen</w:t>
            </w:r>
          </w:p>
        </w:tc>
        <w:tc>
          <w:tcPr>
            <w:tcW w:w="2590" w:type="dxa"/>
            <w:gridSpan w:val="2"/>
          </w:tcPr>
          <w:p w14:paraId="10FC4CC0" w14:textId="1E76A21B" w:rsidR="00325507" w:rsidRPr="001E1032" w:rsidRDefault="00325507" w:rsidP="002D6585">
            <w:pPr>
              <w:pStyle w:val="tabelKop"/>
              <w:rPr>
                <w:lang w:eastAsia="nl-NL"/>
              </w:rPr>
            </w:pPr>
            <w:r w:rsidRPr="001E1032">
              <w:rPr>
                <w:lang w:eastAsia="nl-NL"/>
              </w:rPr>
              <w:t>Omvang vervoer</w:t>
            </w:r>
            <w:r w:rsidR="00003587">
              <w:rPr>
                <w:lang w:eastAsia="nl-NL"/>
              </w:rPr>
              <w:t xml:space="preserve"> </w:t>
            </w:r>
          </w:p>
          <w:p w14:paraId="3A192E54" w14:textId="038DE7E1" w:rsidR="00325507" w:rsidRPr="001E1032" w:rsidRDefault="00325507" w:rsidP="002D6585">
            <w:pPr>
              <w:pStyle w:val="tabelKop"/>
            </w:pPr>
            <w:r w:rsidRPr="001E1032">
              <w:rPr>
                <w:lang w:eastAsia="nl-NL"/>
              </w:rPr>
              <w:t>(</w:t>
            </w:r>
            <w:r w:rsidR="00B246BD" w:rsidRPr="001E1032">
              <w:rPr>
                <w:lang w:eastAsia="nl-NL"/>
              </w:rPr>
              <w:t>miljoen</w:t>
            </w:r>
            <w:r w:rsidRPr="001E1032">
              <w:rPr>
                <w:lang w:eastAsia="nl-NL"/>
              </w:rPr>
              <w:t xml:space="preserve"> ton)</w:t>
            </w:r>
          </w:p>
        </w:tc>
        <w:tc>
          <w:tcPr>
            <w:tcW w:w="2590" w:type="dxa"/>
            <w:gridSpan w:val="2"/>
          </w:tcPr>
          <w:p w14:paraId="7313186A" w14:textId="48359623" w:rsidR="00325507" w:rsidRPr="001E1032" w:rsidRDefault="00325507" w:rsidP="002D6585">
            <w:pPr>
              <w:pStyle w:val="tabelKop"/>
              <w:rPr>
                <w:lang w:eastAsia="nl-NL"/>
              </w:rPr>
            </w:pPr>
            <w:r w:rsidRPr="001E1032">
              <w:rPr>
                <w:lang w:eastAsia="nl-NL"/>
              </w:rPr>
              <w:t>Omvang vervoer</w:t>
            </w:r>
            <w:r w:rsidR="00003587">
              <w:rPr>
                <w:lang w:eastAsia="nl-NL"/>
              </w:rPr>
              <w:t xml:space="preserve"> </w:t>
            </w:r>
          </w:p>
          <w:p w14:paraId="3E9C9AC9" w14:textId="77777777" w:rsidR="00325507" w:rsidRPr="001E1032" w:rsidRDefault="00325507" w:rsidP="002D6585">
            <w:pPr>
              <w:pStyle w:val="tabelKop"/>
            </w:pPr>
            <w:r w:rsidRPr="001E1032">
              <w:rPr>
                <w:lang w:eastAsia="nl-NL"/>
              </w:rPr>
              <w:t>(%)</w:t>
            </w:r>
          </w:p>
        </w:tc>
      </w:tr>
      <w:tr w:rsidR="00325507" w:rsidRPr="001E1032" w14:paraId="1C96B569" w14:textId="77777777" w:rsidTr="0030721E">
        <w:tc>
          <w:tcPr>
            <w:tcW w:w="3882" w:type="dxa"/>
            <w:vMerge/>
            <w:tcBorders>
              <w:bottom w:val="single" w:sz="4" w:space="0" w:color="auto"/>
            </w:tcBorders>
          </w:tcPr>
          <w:p w14:paraId="0712CDAB" w14:textId="77777777" w:rsidR="00325507" w:rsidRPr="001E1032" w:rsidRDefault="00325507" w:rsidP="00DE08B1">
            <w:pPr>
              <w:jc w:val="left"/>
              <w:rPr>
                <w:sz w:val="20"/>
                <w:szCs w:val="20"/>
              </w:rPr>
            </w:pPr>
          </w:p>
        </w:tc>
        <w:tc>
          <w:tcPr>
            <w:tcW w:w="1295" w:type="dxa"/>
            <w:tcBorders>
              <w:bottom w:val="single" w:sz="4" w:space="0" w:color="auto"/>
            </w:tcBorders>
          </w:tcPr>
          <w:p w14:paraId="7768C15B" w14:textId="77777777" w:rsidR="00325507" w:rsidRPr="001E1032" w:rsidRDefault="00325507" w:rsidP="001E1032">
            <w:pPr>
              <w:jc w:val="center"/>
              <w:rPr>
                <w:sz w:val="20"/>
                <w:szCs w:val="20"/>
              </w:rPr>
            </w:pPr>
            <w:r w:rsidRPr="001E1032">
              <w:rPr>
                <w:sz w:val="20"/>
                <w:szCs w:val="20"/>
              </w:rPr>
              <w:t>1950</w:t>
            </w:r>
          </w:p>
        </w:tc>
        <w:tc>
          <w:tcPr>
            <w:tcW w:w="1295" w:type="dxa"/>
            <w:tcBorders>
              <w:bottom w:val="single" w:sz="4" w:space="0" w:color="auto"/>
            </w:tcBorders>
          </w:tcPr>
          <w:p w14:paraId="08CEAEA8" w14:textId="77777777" w:rsidR="00325507" w:rsidRPr="001E1032" w:rsidRDefault="00325507" w:rsidP="001E1032">
            <w:pPr>
              <w:jc w:val="center"/>
              <w:rPr>
                <w:sz w:val="20"/>
                <w:szCs w:val="20"/>
              </w:rPr>
            </w:pPr>
            <w:r w:rsidRPr="001E1032">
              <w:rPr>
                <w:sz w:val="20"/>
                <w:szCs w:val="20"/>
              </w:rPr>
              <w:t>1970</w:t>
            </w:r>
          </w:p>
        </w:tc>
        <w:tc>
          <w:tcPr>
            <w:tcW w:w="1295" w:type="dxa"/>
            <w:tcBorders>
              <w:bottom w:val="single" w:sz="4" w:space="0" w:color="auto"/>
            </w:tcBorders>
          </w:tcPr>
          <w:p w14:paraId="7C0F1A66" w14:textId="77777777" w:rsidR="00325507" w:rsidRPr="001E1032" w:rsidRDefault="00325507" w:rsidP="001E1032">
            <w:pPr>
              <w:jc w:val="center"/>
              <w:rPr>
                <w:sz w:val="20"/>
                <w:szCs w:val="20"/>
              </w:rPr>
            </w:pPr>
            <w:r w:rsidRPr="001E1032">
              <w:rPr>
                <w:sz w:val="20"/>
                <w:szCs w:val="20"/>
              </w:rPr>
              <w:t>1950</w:t>
            </w:r>
          </w:p>
        </w:tc>
        <w:tc>
          <w:tcPr>
            <w:tcW w:w="1295" w:type="dxa"/>
            <w:tcBorders>
              <w:bottom w:val="single" w:sz="4" w:space="0" w:color="auto"/>
            </w:tcBorders>
          </w:tcPr>
          <w:p w14:paraId="6A74C42C" w14:textId="77777777" w:rsidR="00325507" w:rsidRPr="001E1032" w:rsidRDefault="00325507" w:rsidP="001E1032">
            <w:pPr>
              <w:jc w:val="center"/>
              <w:rPr>
                <w:sz w:val="20"/>
                <w:szCs w:val="20"/>
              </w:rPr>
            </w:pPr>
            <w:r w:rsidRPr="001E1032">
              <w:rPr>
                <w:sz w:val="20"/>
                <w:szCs w:val="20"/>
              </w:rPr>
              <w:t>1970</w:t>
            </w:r>
          </w:p>
        </w:tc>
      </w:tr>
      <w:tr w:rsidR="00325507" w:rsidRPr="001E1032" w14:paraId="28BFC9FB" w14:textId="77777777" w:rsidTr="0030721E">
        <w:tc>
          <w:tcPr>
            <w:tcW w:w="3882" w:type="dxa"/>
            <w:tcBorders>
              <w:bottom w:val="nil"/>
            </w:tcBorders>
          </w:tcPr>
          <w:p w14:paraId="5CBA466C" w14:textId="77777777" w:rsidR="00325507" w:rsidRPr="001E1032" w:rsidRDefault="00325507" w:rsidP="00DE08B1">
            <w:pPr>
              <w:jc w:val="left"/>
              <w:rPr>
                <w:sz w:val="20"/>
                <w:szCs w:val="20"/>
              </w:rPr>
            </w:pPr>
            <w:r w:rsidRPr="001E1032">
              <w:rPr>
                <w:rFonts w:eastAsia="Times New Roman" w:cs="Times New Roman"/>
                <w:color w:val="auto"/>
                <w:sz w:val="20"/>
                <w:szCs w:val="20"/>
                <w:lang w:eastAsia="nl-NL"/>
              </w:rPr>
              <w:t>Landbouwproducten</w:t>
            </w:r>
          </w:p>
        </w:tc>
        <w:tc>
          <w:tcPr>
            <w:tcW w:w="1295" w:type="dxa"/>
            <w:tcBorders>
              <w:bottom w:val="nil"/>
            </w:tcBorders>
          </w:tcPr>
          <w:p w14:paraId="712C8FCC" w14:textId="77777777" w:rsidR="00325507" w:rsidRPr="001E1032" w:rsidRDefault="00325507" w:rsidP="002D6585">
            <w:pPr>
              <w:pStyle w:val="tabelNummers"/>
            </w:pPr>
            <w:r w:rsidRPr="001E1032">
              <w:t>7,1</w:t>
            </w:r>
          </w:p>
        </w:tc>
        <w:tc>
          <w:tcPr>
            <w:tcW w:w="1295" w:type="dxa"/>
            <w:tcBorders>
              <w:bottom w:val="nil"/>
            </w:tcBorders>
          </w:tcPr>
          <w:p w14:paraId="55957AE5" w14:textId="77777777" w:rsidR="00325507" w:rsidRPr="001E1032" w:rsidRDefault="00325507" w:rsidP="002D6585">
            <w:pPr>
              <w:pStyle w:val="tabelNummers"/>
            </w:pPr>
            <w:r w:rsidRPr="001E1032">
              <w:t>5,7</w:t>
            </w:r>
          </w:p>
        </w:tc>
        <w:tc>
          <w:tcPr>
            <w:tcW w:w="1295" w:type="dxa"/>
            <w:tcBorders>
              <w:bottom w:val="nil"/>
            </w:tcBorders>
          </w:tcPr>
          <w:p w14:paraId="629891B5" w14:textId="77777777" w:rsidR="00325507" w:rsidRPr="001E1032" w:rsidRDefault="00325507" w:rsidP="002D6585">
            <w:pPr>
              <w:pStyle w:val="tabelNummers"/>
            </w:pPr>
            <w:r w:rsidRPr="001E1032">
              <w:t>17,3</w:t>
            </w:r>
          </w:p>
        </w:tc>
        <w:tc>
          <w:tcPr>
            <w:tcW w:w="1295" w:type="dxa"/>
            <w:tcBorders>
              <w:bottom w:val="nil"/>
            </w:tcBorders>
          </w:tcPr>
          <w:p w14:paraId="121AC9E3" w14:textId="77777777" w:rsidR="00325507" w:rsidRPr="001E1032" w:rsidRDefault="00325507" w:rsidP="002D6585">
            <w:pPr>
              <w:pStyle w:val="tabelNummers"/>
            </w:pPr>
            <w:r w:rsidRPr="001E1032">
              <w:t>6,1</w:t>
            </w:r>
          </w:p>
        </w:tc>
      </w:tr>
      <w:tr w:rsidR="00325507" w:rsidRPr="001E1032" w14:paraId="4D5FE6A8" w14:textId="77777777" w:rsidTr="0030721E">
        <w:tc>
          <w:tcPr>
            <w:tcW w:w="3882" w:type="dxa"/>
            <w:tcBorders>
              <w:top w:val="nil"/>
              <w:bottom w:val="nil"/>
            </w:tcBorders>
          </w:tcPr>
          <w:p w14:paraId="60B464B8" w14:textId="77777777" w:rsidR="00325507" w:rsidRPr="001E1032" w:rsidRDefault="00325507" w:rsidP="00DE08B1">
            <w:pPr>
              <w:jc w:val="left"/>
              <w:rPr>
                <w:sz w:val="20"/>
                <w:szCs w:val="20"/>
              </w:rPr>
            </w:pPr>
            <w:r w:rsidRPr="001E1032">
              <w:rPr>
                <w:rFonts w:eastAsia="Times New Roman" w:cs="Times New Roman"/>
                <w:color w:val="auto"/>
                <w:sz w:val="20"/>
                <w:szCs w:val="20"/>
                <w:lang w:eastAsia="nl-NL"/>
              </w:rPr>
              <w:t xml:space="preserve">Voedingsmiddelen en veevoer </w:t>
            </w:r>
          </w:p>
        </w:tc>
        <w:tc>
          <w:tcPr>
            <w:tcW w:w="1295" w:type="dxa"/>
            <w:tcBorders>
              <w:top w:val="nil"/>
              <w:bottom w:val="nil"/>
            </w:tcBorders>
          </w:tcPr>
          <w:p w14:paraId="0388CC13" w14:textId="77777777" w:rsidR="00325507" w:rsidRPr="001E1032" w:rsidRDefault="00325507" w:rsidP="002D6585">
            <w:pPr>
              <w:pStyle w:val="tabelNummers"/>
            </w:pPr>
            <w:r w:rsidRPr="001E1032">
              <w:t>1,3</w:t>
            </w:r>
          </w:p>
        </w:tc>
        <w:tc>
          <w:tcPr>
            <w:tcW w:w="1295" w:type="dxa"/>
            <w:tcBorders>
              <w:top w:val="nil"/>
              <w:bottom w:val="nil"/>
            </w:tcBorders>
          </w:tcPr>
          <w:p w14:paraId="3209B797" w14:textId="77777777" w:rsidR="00325507" w:rsidRPr="001E1032" w:rsidRDefault="00325507" w:rsidP="002D6585">
            <w:pPr>
              <w:pStyle w:val="tabelNummers"/>
            </w:pPr>
            <w:r w:rsidRPr="001E1032">
              <w:t>5,2</w:t>
            </w:r>
          </w:p>
        </w:tc>
        <w:tc>
          <w:tcPr>
            <w:tcW w:w="1295" w:type="dxa"/>
            <w:tcBorders>
              <w:top w:val="nil"/>
              <w:bottom w:val="nil"/>
            </w:tcBorders>
          </w:tcPr>
          <w:p w14:paraId="39D4E8A8" w14:textId="77777777" w:rsidR="00325507" w:rsidRPr="001E1032" w:rsidRDefault="00325507" w:rsidP="002D6585">
            <w:pPr>
              <w:pStyle w:val="tabelNummers"/>
            </w:pPr>
            <w:r w:rsidRPr="001E1032">
              <w:t>3,2</w:t>
            </w:r>
          </w:p>
        </w:tc>
        <w:tc>
          <w:tcPr>
            <w:tcW w:w="1295" w:type="dxa"/>
            <w:tcBorders>
              <w:top w:val="nil"/>
              <w:bottom w:val="nil"/>
            </w:tcBorders>
          </w:tcPr>
          <w:p w14:paraId="37EE55D7" w14:textId="77777777" w:rsidR="00325507" w:rsidRPr="001E1032" w:rsidRDefault="00325507" w:rsidP="002D6585">
            <w:pPr>
              <w:pStyle w:val="tabelNummers"/>
            </w:pPr>
            <w:r w:rsidRPr="001E1032">
              <w:t>5,6</w:t>
            </w:r>
          </w:p>
        </w:tc>
      </w:tr>
      <w:tr w:rsidR="00325507" w:rsidRPr="001E1032" w14:paraId="695198BF" w14:textId="77777777" w:rsidTr="0030721E">
        <w:tc>
          <w:tcPr>
            <w:tcW w:w="3882" w:type="dxa"/>
            <w:tcBorders>
              <w:top w:val="nil"/>
              <w:bottom w:val="nil"/>
            </w:tcBorders>
          </w:tcPr>
          <w:p w14:paraId="732094CB" w14:textId="77777777" w:rsidR="00325507" w:rsidRPr="001E1032" w:rsidRDefault="00325507" w:rsidP="00DE08B1">
            <w:pPr>
              <w:jc w:val="left"/>
              <w:rPr>
                <w:sz w:val="20"/>
                <w:szCs w:val="20"/>
              </w:rPr>
            </w:pPr>
            <w:r w:rsidRPr="001E1032">
              <w:rPr>
                <w:rFonts w:eastAsia="Times New Roman" w:cs="Times New Roman"/>
                <w:color w:val="auto"/>
                <w:sz w:val="20"/>
                <w:szCs w:val="20"/>
                <w:lang w:eastAsia="nl-NL"/>
              </w:rPr>
              <w:t>Vaste brandstoffen</w:t>
            </w:r>
          </w:p>
        </w:tc>
        <w:tc>
          <w:tcPr>
            <w:tcW w:w="1295" w:type="dxa"/>
            <w:tcBorders>
              <w:top w:val="nil"/>
              <w:bottom w:val="nil"/>
            </w:tcBorders>
          </w:tcPr>
          <w:p w14:paraId="43F920D0" w14:textId="77777777" w:rsidR="00325507" w:rsidRPr="001E1032" w:rsidRDefault="00325507" w:rsidP="002D6585">
            <w:pPr>
              <w:pStyle w:val="tabelNummers"/>
            </w:pPr>
            <w:r w:rsidRPr="001E1032">
              <w:t>3,8</w:t>
            </w:r>
          </w:p>
        </w:tc>
        <w:tc>
          <w:tcPr>
            <w:tcW w:w="1295" w:type="dxa"/>
            <w:tcBorders>
              <w:top w:val="nil"/>
              <w:bottom w:val="nil"/>
            </w:tcBorders>
          </w:tcPr>
          <w:p w14:paraId="476CA926" w14:textId="77777777" w:rsidR="00325507" w:rsidRPr="001E1032" w:rsidRDefault="00325507" w:rsidP="002D6585">
            <w:pPr>
              <w:pStyle w:val="tabelNummers"/>
            </w:pPr>
            <w:r w:rsidRPr="001E1032">
              <w:t>1,2</w:t>
            </w:r>
          </w:p>
        </w:tc>
        <w:tc>
          <w:tcPr>
            <w:tcW w:w="1295" w:type="dxa"/>
            <w:tcBorders>
              <w:top w:val="nil"/>
              <w:bottom w:val="nil"/>
            </w:tcBorders>
          </w:tcPr>
          <w:p w14:paraId="2EA1EBA0" w14:textId="77777777" w:rsidR="00325507" w:rsidRPr="001E1032" w:rsidRDefault="00325507" w:rsidP="002D6585">
            <w:pPr>
              <w:pStyle w:val="tabelNummers"/>
            </w:pPr>
            <w:r w:rsidRPr="001E1032">
              <w:t>9,3</w:t>
            </w:r>
          </w:p>
        </w:tc>
        <w:tc>
          <w:tcPr>
            <w:tcW w:w="1295" w:type="dxa"/>
            <w:tcBorders>
              <w:top w:val="nil"/>
              <w:bottom w:val="nil"/>
            </w:tcBorders>
          </w:tcPr>
          <w:p w14:paraId="14D92448" w14:textId="77777777" w:rsidR="00325507" w:rsidRPr="001E1032" w:rsidRDefault="00325507" w:rsidP="002D6585">
            <w:pPr>
              <w:pStyle w:val="tabelNummers"/>
            </w:pPr>
            <w:r w:rsidRPr="001E1032">
              <w:t>1,3</w:t>
            </w:r>
          </w:p>
        </w:tc>
      </w:tr>
      <w:tr w:rsidR="00325507" w:rsidRPr="001E1032" w14:paraId="17447981" w14:textId="77777777" w:rsidTr="0030721E">
        <w:tc>
          <w:tcPr>
            <w:tcW w:w="3882" w:type="dxa"/>
            <w:tcBorders>
              <w:top w:val="nil"/>
              <w:bottom w:val="nil"/>
            </w:tcBorders>
          </w:tcPr>
          <w:p w14:paraId="7A5DD93C" w14:textId="77777777" w:rsidR="00325507" w:rsidRPr="001E1032" w:rsidRDefault="00325507" w:rsidP="00DE08B1">
            <w:pPr>
              <w:jc w:val="left"/>
              <w:rPr>
                <w:sz w:val="20"/>
                <w:szCs w:val="20"/>
              </w:rPr>
            </w:pPr>
            <w:r w:rsidRPr="001E1032">
              <w:rPr>
                <w:rFonts w:eastAsia="Times New Roman" w:cs="Times New Roman"/>
                <w:color w:val="auto"/>
                <w:sz w:val="20"/>
                <w:szCs w:val="20"/>
                <w:lang w:eastAsia="nl-NL"/>
              </w:rPr>
              <w:t>Vloeibare brandstoffen</w:t>
            </w:r>
          </w:p>
        </w:tc>
        <w:tc>
          <w:tcPr>
            <w:tcW w:w="1295" w:type="dxa"/>
            <w:tcBorders>
              <w:top w:val="nil"/>
              <w:bottom w:val="nil"/>
            </w:tcBorders>
          </w:tcPr>
          <w:p w14:paraId="7D63CAAE" w14:textId="77777777" w:rsidR="00325507" w:rsidRPr="001E1032" w:rsidRDefault="00325507" w:rsidP="002D6585">
            <w:pPr>
              <w:pStyle w:val="tabelNummers"/>
            </w:pPr>
            <w:r w:rsidRPr="001E1032">
              <w:t>1,9</w:t>
            </w:r>
          </w:p>
        </w:tc>
        <w:tc>
          <w:tcPr>
            <w:tcW w:w="1295" w:type="dxa"/>
            <w:tcBorders>
              <w:top w:val="nil"/>
              <w:bottom w:val="nil"/>
            </w:tcBorders>
          </w:tcPr>
          <w:p w14:paraId="78636706" w14:textId="77777777" w:rsidR="00325507" w:rsidRPr="001E1032" w:rsidRDefault="00325507" w:rsidP="002D6585">
            <w:pPr>
              <w:pStyle w:val="tabelNummers"/>
            </w:pPr>
            <w:r w:rsidRPr="001E1032">
              <w:t>11,2</w:t>
            </w:r>
          </w:p>
        </w:tc>
        <w:tc>
          <w:tcPr>
            <w:tcW w:w="1295" w:type="dxa"/>
            <w:tcBorders>
              <w:top w:val="nil"/>
              <w:bottom w:val="nil"/>
            </w:tcBorders>
          </w:tcPr>
          <w:p w14:paraId="18744E17" w14:textId="77777777" w:rsidR="00325507" w:rsidRPr="001E1032" w:rsidRDefault="00325507" w:rsidP="002D6585">
            <w:pPr>
              <w:pStyle w:val="tabelNummers"/>
            </w:pPr>
            <w:r w:rsidRPr="001E1032">
              <w:t>4,6</w:t>
            </w:r>
          </w:p>
        </w:tc>
        <w:tc>
          <w:tcPr>
            <w:tcW w:w="1295" w:type="dxa"/>
            <w:tcBorders>
              <w:top w:val="nil"/>
              <w:bottom w:val="nil"/>
            </w:tcBorders>
          </w:tcPr>
          <w:p w14:paraId="40E4740A" w14:textId="77777777" w:rsidR="00325507" w:rsidRPr="001E1032" w:rsidRDefault="00325507" w:rsidP="002D6585">
            <w:pPr>
              <w:pStyle w:val="tabelNummers"/>
            </w:pPr>
            <w:r w:rsidRPr="001E1032">
              <w:t>12,1</w:t>
            </w:r>
          </w:p>
        </w:tc>
      </w:tr>
      <w:tr w:rsidR="00325507" w:rsidRPr="001E1032" w14:paraId="3806D0E0" w14:textId="77777777" w:rsidTr="0030721E">
        <w:tc>
          <w:tcPr>
            <w:tcW w:w="3882" w:type="dxa"/>
            <w:tcBorders>
              <w:top w:val="nil"/>
              <w:bottom w:val="nil"/>
            </w:tcBorders>
          </w:tcPr>
          <w:p w14:paraId="38F6037C" w14:textId="77777777" w:rsidR="00325507" w:rsidRPr="001E1032" w:rsidRDefault="00325507" w:rsidP="00DE08B1">
            <w:pPr>
              <w:jc w:val="left"/>
              <w:rPr>
                <w:sz w:val="20"/>
                <w:szCs w:val="20"/>
              </w:rPr>
            </w:pPr>
            <w:r w:rsidRPr="001E1032">
              <w:rPr>
                <w:rFonts w:eastAsia="Times New Roman" w:cs="Times New Roman"/>
                <w:color w:val="auto"/>
                <w:sz w:val="20"/>
                <w:szCs w:val="20"/>
                <w:lang w:eastAsia="nl-NL"/>
              </w:rPr>
              <w:t>Ertsen en metalen</w:t>
            </w:r>
          </w:p>
        </w:tc>
        <w:tc>
          <w:tcPr>
            <w:tcW w:w="1295" w:type="dxa"/>
            <w:tcBorders>
              <w:top w:val="nil"/>
              <w:bottom w:val="nil"/>
            </w:tcBorders>
          </w:tcPr>
          <w:p w14:paraId="50F079AC" w14:textId="77777777" w:rsidR="00325507" w:rsidRPr="001E1032" w:rsidRDefault="00325507" w:rsidP="002D6585">
            <w:pPr>
              <w:pStyle w:val="tabelNummers"/>
            </w:pPr>
            <w:r w:rsidRPr="001E1032">
              <w:t>1,1</w:t>
            </w:r>
          </w:p>
        </w:tc>
        <w:tc>
          <w:tcPr>
            <w:tcW w:w="1295" w:type="dxa"/>
            <w:tcBorders>
              <w:top w:val="nil"/>
              <w:bottom w:val="nil"/>
            </w:tcBorders>
          </w:tcPr>
          <w:p w14:paraId="34789C38" w14:textId="77777777" w:rsidR="00325507" w:rsidRPr="001E1032" w:rsidRDefault="00325507" w:rsidP="002D6585">
            <w:pPr>
              <w:pStyle w:val="tabelNummers"/>
            </w:pPr>
            <w:r w:rsidRPr="001E1032">
              <w:t>1,2</w:t>
            </w:r>
          </w:p>
        </w:tc>
        <w:tc>
          <w:tcPr>
            <w:tcW w:w="1295" w:type="dxa"/>
            <w:tcBorders>
              <w:top w:val="nil"/>
              <w:bottom w:val="nil"/>
            </w:tcBorders>
          </w:tcPr>
          <w:p w14:paraId="120DD6EE" w14:textId="77777777" w:rsidR="00325507" w:rsidRPr="001E1032" w:rsidRDefault="00325507" w:rsidP="002D6585">
            <w:pPr>
              <w:pStyle w:val="tabelNummers"/>
            </w:pPr>
            <w:r w:rsidRPr="001E1032">
              <w:t>2,7</w:t>
            </w:r>
          </w:p>
        </w:tc>
        <w:tc>
          <w:tcPr>
            <w:tcW w:w="1295" w:type="dxa"/>
            <w:tcBorders>
              <w:top w:val="nil"/>
              <w:bottom w:val="nil"/>
            </w:tcBorders>
          </w:tcPr>
          <w:p w14:paraId="37FB1FFC" w14:textId="77777777" w:rsidR="00325507" w:rsidRPr="001E1032" w:rsidRDefault="00325507" w:rsidP="002D6585">
            <w:pPr>
              <w:pStyle w:val="tabelNummers"/>
            </w:pPr>
            <w:r w:rsidRPr="001E1032">
              <w:t>1,3</w:t>
            </w:r>
          </w:p>
        </w:tc>
      </w:tr>
      <w:tr w:rsidR="00325507" w:rsidRPr="001E1032" w14:paraId="330FA259" w14:textId="77777777" w:rsidTr="0030721E">
        <w:tc>
          <w:tcPr>
            <w:tcW w:w="3882" w:type="dxa"/>
            <w:tcBorders>
              <w:top w:val="nil"/>
              <w:bottom w:val="nil"/>
            </w:tcBorders>
          </w:tcPr>
          <w:p w14:paraId="78880267" w14:textId="77777777" w:rsidR="00325507" w:rsidRPr="001E1032" w:rsidRDefault="00325507" w:rsidP="00DE08B1">
            <w:pPr>
              <w:jc w:val="left"/>
              <w:rPr>
                <w:sz w:val="20"/>
                <w:szCs w:val="20"/>
              </w:rPr>
            </w:pPr>
            <w:r w:rsidRPr="001E1032">
              <w:rPr>
                <w:rFonts w:eastAsia="Times New Roman" w:cs="Times New Roman"/>
                <w:color w:val="auto"/>
                <w:sz w:val="20"/>
                <w:szCs w:val="20"/>
                <w:lang w:eastAsia="nl-NL"/>
              </w:rPr>
              <w:t>Zand, grind en bouwmaterialen</w:t>
            </w:r>
          </w:p>
        </w:tc>
        <w:tc>
          <w:tcPr>
            <w:tcW w:w="1295" w:type="dxa"/>
            <w:tcBorders>
              <w:top w:val="nil"/>
              <w:bottom w:val="nil"/>
            </w:tcBorders>
          </w:tcPr>
          <w:p w14:paraId="14D1323D" w14:textId="77777777" w:rsidR="00325507" w:rsidRPr="001E1032" w:rsidRDefault="00325507" w:rsidP="002D6585">
            <w:pPr>
              <w:pStyle w:val="tabelNummers"/>
            </w:pPr>
            <w:r w:rsidRPr="001E1032">
              <w:t>19,1</w:t>
            </w:r>
          </w:p>
        </w:tc>
        <w:tc>
          <w:tcPr>
            <w:tcW w:w="1295" w:type="dxa"/>
            <w:tcBorders>
              <w:top w:val="nil"/>
              <w:bottom w:val="nil"/>
            </w:tcBorders>
          </w:tcPr>
          <w:p w14:paraId="38811BB6" w14:textId="77777777" w:rsidR="00325507" w:rsidRPr="001E1032" w:rsidRDefault="00325507" w:rsidP="002D6585">
            <w:pPr>
              <w:pStyle w:val="tabelNummers"/>
            </w:pPr>
            <w:r w:rsidRPr="001E1032">
              <w:t>62,9</w:t>
            </w:r>
          </w:p>
        </w:tc>
        <w:tc>
          <w:tcPr>
            <w:tcW w:w="1295" w:type="dxa"/>
            <w:tcBorders>
              <w:top w:val="nil"/>
              <w:bottom w:val="nil"/>
            </w:tcBorders>
          </w:tcPr>
          <w:p w14:paraId="4C10EEE2" w14:textId="77777777" w:rsidR="00325507" w:rsidRPr="001E1032" w:rsidRDefault="00325507" w:rsidP="002D6585">
            <w:pPr>
              <w:pStyle w:val="tabelNummers"/>
            </w:pPr>
            <w:r w:rsidRPr="001E1032">
              <w:t>46,6</w:t>
            </w:r>
          </w:p>
        </w:tc>
        <w:tc>
          <w:tcPr>
            <w:tcW w:w="1295" w:type="dxa"/>
            <w:tcBorders>
              <w:top w:val="nil"/>
              <w:bottom w:val="nil"/>
            </w:tcBorders>
          </w:tcPr>
          <w:p w14:paraId="40A91ECE" w14:textId="77777777" w:rsidR="00325507" w:rsidRPr="001E1032" w:rsidRDefault="00325507" w:rsidP="002D6585">
            <w:pPr>
              <w:pStyle w:val="tabelNummers"/>
            </w:pPr>
            <w:r w:rsidRPr="001E1032">
              <w:t>67,9</w:t>
            </w:r>
          </w:p>
        </w:tc>
      </w:tr>
      <w:tr w:rsidR="00325507" w:rsidRPr="001E1032" w14:paraId="3AB87F1D" w14:textId="77777777" w:rsidTr="0030721E">
        <w:tc>
          <w:tcPr>
            <w:tcW w:w="3882" w:type="dxa"/>
            <w:tcBorders>
              <w:top w:val="nil"/>
              <w:bottom w:val="nil"/>
            </w:tcBorders>
          </w:tcPr>
          <w:p w14:paraId="79D3FE2E" w14:textId="77777777" w:rsidR="00325507" w:rsidRPr="001E1032" w:rsidRDefault="00325507" w:rsidP="00DE08B1">
            <w:pPr>
              <w:jc w:val="left"/>
              <w:rPr>
                <w:sz w:val="20"/>
                <w:szCs w:val="20"/>
              </w:rPr>
            </w:pPr>
            <w:r w:rsidRPr="001E1032">
              <w:rPr>
                <w:rFonts w:eastAsia="Times New Roman" w:cs="Times New Roman"/>
                <w:color w:val="auto"/>
                <w:sz w:val="20"/>
                <w:szCs w:val="20"/>
                <w:lang w:eastAsia="nl-NL"/>
              </w:rPr>
              <w:t>Mest</w:t>
            </w:r>
          </w:p>
        </w:tc>
        <w:tc>
          <w:tcPr>
            <w:tcW w:w="1295" w:type="dxa"/>
            <w:tcBorders>
              <w:top w:val="nil"/>
              <w:bottom w:val="nil"/>
            </w:tcBorders>
          </w:tcPr>
          <w:p w14:paraId="54CB2059" w14:textId="77777777" w:rsidR="00325507" w:rsidRPr="001E1032" w:rsidRDefault="00325507" w:rsidP="002D6585">
            <w:pPr>
              <w:pStyle w:val="tabelNummers"/>
            </w:pPr>
            <w:r w:rsidRPr="001E1032">
              <w:t>1,8</w:t>
            </w:r>
          </w:p>
        </w:tc>
        <w:tc>
          <w:tcPr>
            <w:tcW w:w="1295" w:type="dxa"/>
            <w:tcBorders>
              <w:top w:val="nil"/>
              <w:bottom w:val="nil"/>
            </w:tcBorders>
          </w:tcPr>
          <w:p w14:paraId="0FA4D711" w14:textId="77777777" w:rsidR="00325507" w:rsidRPr="001E1032" w:rsidRDefault="00325507" w:rsidP="002D6585">
            <w:pPr>
              <w:pStyle w:val="tabelNummers"/>
            </w:pPr>
            <w:r w:rsidRPr="001E1032">
              <w:t>2,4</w:t>
            </w:r>
          </w:p>
        </w:tc>
        <w:tc>
          <w:tcPr>
            <w:tcW w:w="1295" w:type="dxa"/>
            <w:tcBorders>
              <w:top w:val="nil"/>
              <w:bottom w:val="nil"/>
            </w:tcBorders>
          </w:tcPr>
          <w:p w14:paraId="41DB6DC2" w14:textId="77777777" w:rsidR="00325507" w:rsidRPr="001E1032" w:rsidRDefault="00325507" w:rsidP="002D6585">
            <w:pPr>
              <w:pStyle w:val="tabelNummers"/>
            </w:pPr>
            <w:r w:rsidRPr="001E1032">
              <w:t>4,4</w:t>
            </w:r>
          </w:p>
        </w:tc>
        <w:tc>
          <w:tcPr>
            <w:tcW w:w="1295" w:type="dxa"/>
            <w:tcBorders>
              <w:top w:val="nil"/>
              <w:bottom w:val="nil"/>
            </w:tcBorders>
          </w:tcPr>
          <w:p w14:paraId="1A0E895D" w14:textId="77777777" w:rsidR="00325507" w:rsidRPr="001E1032" w:rsidRDefault="00325507" w:rsidP="002D6585">
            <w:pPr>
              <w:pStyle w:val="tabelNummers"/>
            </w:pPr>
            <w:r w:rsidRPr="001E1032">
              <w:t>2,6</w:t>
            </w:r>
          </w:p>
        </w:tc>
      </w:tr>
      <w:tr w:rsidR="00325507" w:rsidRPr="001E1032" w14:paraId="6F1395E5" w14:textId="77777777" w:rsidTr="0030721E">
        <w:tc>
          <w:tcPr>
            <w:tcW w:w="3882" w:type="dxa"/>
            <w:tcBorders>
              <w:top w:val="nil"/>
              <w:bottom w:val="nil"/>
            </w:tcBorders>
          </w:tcPr>
          <w:p w14:paraId="52F15C91" w14:textId="77777777" w:rsidR="00325507" w:rsidRPr="001E1032" w:rsidRDefault="00325507" w:rsidP="00DE08B1">
            <w:pPr>
              <w:jc w:val="left"/>
              <w:rPr>
                <w:sz w:val="20"/>
                <w:szCs w:val="20"/>
              </w:rPr>
            </w:pPr>
            <w:r w:rsidRPr="001E1032">
              <w:rPr>
                <w:rFonts w:eastAsia="Times New Roman" w:cs="Times New Roman"/>
                <w:color w:val="auto"/>
                <w:sz w:val="20"/>
                <w:szCs w:val="20"/>
                <w:lang w:eastAsia="nl-NL"/>
              </w:rPr>
              <w:t>Chemische producten</w:t>
            </w:r>
          </w:p>
        </w:tc>
        <w:tc>
          <w:tcPr>
            <w:tcW w:w="1295" w:type="dxa"/>
            <w:tcBorders>
              <w:top w:val="nil"/>
              <w:bottom w:val="nil"/>
            </w:tcBorders>
          </w:tcPr>
          <w:p w14:paraId="10790923" w14:textId="77777777" w:rsidR="00325507" w:rsidRPr="001E1032" w:rsidRDefault="00325507" w:rsidP="002D6585">
            <w:pPr>
              <w:pStyle w:val="tabelNummers"/>
            </w:pPr>
            <w:r w:rsidRPr="001E1032">
              <w:t>-</w:t>
            </w:r>
          </w:p>
        </w:tc>
        <w:tc>
          <w:tcPr>
            <w:tcW w:w="1295" w:type="dxa"/>
            <w:tcBorders>
              <w:top w:val="nil"/>
              <w:bottom w:val="nil"/>
            </w:tcBorders>
          </w:tcPr>
          <w:p w14:paraId="0E602AC1" w14:textId="77777777" w:rsidR="00325507" w:rsidRPr="001E1032" w:rsidRDefault="00325507" w:rsidP="002D6585">
            <w:pPr>
              <w:pStyle w:val="tabelNummers"/>
            </w:pPr>
            <w:r w:rsidRPr="001E1032">
              <w:t>1,6</w:t>
            </w:r>
          </w:p>
        </w:tc>
        <w:tc>
          <w:tcPr>
            <w:tcW w:w="1295" w:type="dxa"/>
            <w:tcBorders>
              <w:top w:val="nil"/>
              <w:bottom w:val="nil"/>
            </w:tcBorders>
          </w:tcPr>
          <w:p w14:paraId="1A54F9F1" w14:textId="77777777" w:rsidR="00325507" w:rsidRPr="001E1032" w:rsidRDefault="00325507" w:rsidP="002D6585">
            <w:pPr>
              <w:pStyle w:val="tabelNummers"/>
            </w:pPr>
            <w:r w:rsidRPr="001E1032">
              <w:t>-</w:t>
            </w:r>
          </w:p>
        </w:tc>
        <w:tc>
          <w:tcPr>
            <w:tcW w:w="1295" w:type="dxa"/>
            <w:tcBorders>
              <w:top w:val="nil"/>
              <w:bottom w:val="nil"/>
            </w:tcBorders>
          </w:tcPr>
          <w:p w14:paraId="4905657F" w14:textId="77777777" w:rsidR="00325507" w:rsidRPr="001E1032" w:rsidRDefault="00325507" w:rsidP="002D6585">
            <w:pPr>
              <w:pStyle w:val="tabelNummers"/>
            </w:pPr>
            <w:r w:rsidRPr="001E1032">
              <w:t>1,7</w:t>
            </w:r>
          </w:p>
        </w:tc>
      </w:tr>
      <w:tr w:rsidR="00325507" w:rsidRPr="001E1032" w14:paraId="46D3A034" w14:textId="77777777" w:rsidTr="0030721E">
        <w:tc>
          <w:tcPr>
            <w:tcW w:w="3882" w:type="dxa"/>
            <w:tcBorders>
              <w:top w:val="nil"/>
              <w:bottom w:val="nil"/>
            </w:tcBorders>
          </w:tcPr>
          <w:p w14:paraId="5D6A6D72" w14:textId="77777777" w:rsidR="00325507" w:rsidRPr="001E1032" w:rsidRDefault="00325507" w:rsidP="00DE08B1">
            <w:pPr>
              <w:jc w:val="left"/>
              <w:rPr>
                <w:rFonts w:eastAsia="Times New Roman" w:cs="Times New Roman"/>
                <w:color w:val="auto"/>
                <w:sz w:val="20"/>
                <w:szCs w:val="20"/>
                <w:lang w:eastAsia="nl-NL"/>
              </w:rPr>
            </w:pPr>
            <w:r w:rsidRPr="001E1032">
              <w:rPr>
                <w:rFonts w:eastAsia="Times New Roman" w:cs="Times New Roman"/>
                <w:color w:val="auto"/>
                <w:sz w:val="20"/>
                <w:szCs w:val="20"/>
                <w:lang w:eastAsia="nl-NL"/>
              </w:rPr>
              <w:t>Grondstoffen en producten der industrie</w:t>
            </w:r>
          </w:p>
        </w:tc>
        <w:tc>
          <w:tcPr>
            <w:tcW w:w="1295" w:type="dxa"/>
            <w:tcBorders>
              <w:top w:val="nil"/>
              <w:bottom w:val="nil"/>
            </w:tcBorders>
          </w:tcPr>
          <w:p w14:paraId="56F5A6F9" w14:textId="77777777" w:rsidR="00325507" w:rsidRPr="001E1032" w:rsidRDefault="00325507" w:rsidP="002D6585">
            <w:pPr>
              <w:pStyle w:val="tabelNummers"/>
            </w:pPr>
            <w:r w:rsidRPr="001E1032">
              <w:t>0,8</w:t>
            </w:r>
          </w:p>
        </w:tc>
        <w:tc>
          <w:tcPr>
            <w:tcW w:w="1295" w:type="dxa"/>
            <w:tcBorders>
              <w:top w:val="nil"/>
              <w:bottom w:val="nil"/>
            </w:tcBorders>
          </w:tcPr>
          <w:p w14:paraId="29138243" w14:textId="77777777" w:rsidR="00325507" w:rsidRPr="001E1032" w:rsidRDefault="00325507" w:rsidP="002D6585">
            <w:pPr>
              <w:pStyle w:val="tabelNummers"/>
            </w:pPr>
            <w:r w:rsidRPr="001E1032">
              <w:t>-</w:t>
            </w:r>
          </w:p>
        </w:tc>
        <w:tc>
          <w:tcPr>
            <w:tcW w:w="1295" w:type="dxa"/>
            <w:tcBorders>
              <w:top w:val="nil"/>
              <w:bottom w:val="nil"/>
            </w:tcBorders>
          </w:tcPr>
          <w:p w14:paraId="6C791C14" w14:textId="77777777" w:rsidR="00325507" w:rsidRPr="001E1032" w:rsidRDefault="00325507" w:rsidP="002D6585">
            <w:pPr>
              <w:pStyle w:val="tabelNummers"/>
            </w:pPr>
            <w:r w:rsidRPr="001E1032">
              <w:t>2,0</w:t>
            </w:r>
          </w:p>
        </w:tc>
        <w:tc>
          <w:tcPr>
            <w:tcW w:w="1295" w:type="dxa"/>
            <w:tcBorders>
              <w:top w:val="nil"/>
              <w:bottom w:val="nil"/>
            </w:tcBorders>
          </w:tcPr>
          <w:p w14:paraId="7D372000" w14:textId="77777777" w:rsidR="00325507" w:rsidRPr="001E1032" w:rsidRDefault="00325507" w:rsidP="002D6585">
            <w:pPr>
              <w:pStyle w:val="tabelNummers"/>
            </w:pPr>
            <w:r w:rsidRPr="001E1032">
              <w:t>-</w:t>
            </w:r>
          </w:p>
        </w:tc>
      </w:tr>
      <w:tr w:rsidR="00325507" w:rsidRPr="001E1032" w14:paraId="7C12303A" w14:textId="77777777" w:rsidTr="0030721E">
        <w:tc>
          <w:tcPr>
            <w:tcW w:w="3882" w:type="dxa"/>
            <w:tcBorders>
              <w:top w:val="nil"/>
              <w:bottom w:val="nil"/>
            </w:tcBorders>
          </w:tcPr>
          <w:p w14:paraId="3FB5BCA3" w14:textId="77777777" w:rsidR="00325507" w:rsidRPr="001E1032" w:rsidRDefault="00325507" w:rsidP="00DE08B1">
            <w:pPr>
              <w:jc w:val="left"/>
              <w:rPr>
                <w:sz w:val="20"/>
                <w:szCs w:val="20"/>
              </w:rPr>
            </w:pPr>
            <w:r w:rsidRPr="001E1032">
              <w:rPr>
                <w:rFonts w:eastAsia="Times New Roman" w:cs="Times New Roman"/>
                <w:color w:val="auto"/>
                <w:sz w:val="20"/>
                <w:szCs w:val="20"/>
                <w:lang w:eastAsia="nl-NL"/>
              </w:rPr>
              <w:t>Beurtvaart*</w:t>
            </w:r>
          </w:p>
        </w:tc>
        <w:tc>
          <w:tcPr>
            <w:tcW w:w="1295" w:type="dxa"/>
            <w:tcBorders>
              <w:top w:val="nil"/>
              <w:bottom w:val="nil"/>
            </w:tcBorders>
          </w:tcPr>
          <w:p w14:paraId="3A129993" w14:textId="77777777" w:rsidR="00325507" w:rsidRPr="001E1032" w:rsidRDefault="00325507" w:rsidP="002D6585">
            <w:pPr>
              <w:pStyle w:val="tabelNummers"/>
            </w:pPr>
            <w:r w:rsidRPr="001E1032">
              <w:t>3,5</w:t>
            </w:r>
          </w:p>
        </w:tc>
        <w:tc>
          <w:tcPr>
            <w:tcW w:w="1295" w:type="dxa"/>
            <w:tcBorders>
              <w:top w:val="nil"/>
              <w:bottom w:val="nil"/>
            </w:tcBorders>
          </w:tcPr>
          <w:p w14:paraId="769A6681" w14:textId="77777777" w:rsidR="00325507" w:rsidRPr="001E1032" w:rsidRDefault="00325507" w:rsidP="002D6585">
            <w:pPr>
              <w:pStyle w:val="tabelNummers"/>
            </w:pPr>
            <w:r w:rsidRPr="001E1032">
              <w:t>-</w:t>
            </w:r>
          </w:p>
        </w:tc>
        <w:tc>
          <w:tcPr>
            <w:tcW w:w="1295" w:type="dxa"/>
            <w:tcBorders>
              <w:top w:val="nil"/>
              <w:bottom w:val="nil"/>
            </w:tcBorders>
          </w:tcPr>
          <w:p w14:paraId="1C5B555B" w14:textId="77777777" w:rsidR="00325507" w:rsidRPr="001E1032" w:rsidRDefault="00325507" w:rsidP="002D6585">
            <w:pPr>
              <w:pStyle w:val="tabelNummers"/>
            </w:pPr>
            <w:r w:rsidRPr="001E1032">
              <w:t>8,5</w:t>
            </w:r>
          </w:p>
        </w:tc>
        <w:tc>
          <w:tcPr>
            <w:tcW w:w="1295" w:type="dxa"/>
            <w:tcBorders>
              <w:top w:val="nil"/>
              <w:bottom w:val="nil"/>
            </w:tcBorders>
          </w:tcPr>
          <w:p w14:paraId="76E64C83" w14:textId="77777777" w:rsidR="00325507" w:rsidRPr="001E1032" w:rsidRDefault="00325507" w:rsidP="002D6585">
            <w:pPr>
              <w:pStyle w:val="tabelNummers"/>
            </w:pPr>
            <w:r w:rsidRPr="001E1032">
              <w:t>-</w:t>
            </w:r>
          </w:p>
        </w:tc>
      </w:tr>
      <w:tr w:rsidR="00325507" w:rsidRPr="001E1032" w14:paraId="0C0B622B" w14:textId="77777777" w:rsidTr="0030721E">
        <w:tc>
          <w:tcPr>
            <w:tcW w:w="3882" w:type="dxa"/>
            <w:tcBorders>
              <w:top w:val="nil"/>
              <w:bottom w:val="single" w:sz="4" w:space="0" w:color="auto"/>
            </w:tcBorders>
          </w:tcPr>
          <w:p w14:paraId="60D11DF9" w14:textId="77777777" w:rsidR="00325507" w:rsidRPr="001E1032" w:rsidRDefault="00325507" w:rsidP="00DE08B1">
            <w:pPr>
              <w:jc w:val="left"/>
              <w:rPr>
                <w:sz w:val="20"/>
                <w:szCs w:val="20"/>
              </w:rPr>
            </w:pPr>
            <w:r w:rsidRPr="001E1032">
              <w:rPr>
                <w:rFonts w:eastAsia="Times New Roman" w:cs="Times New Roman"/>
                <w:color w:val="auto"/>
                <w:sz w:val="20"/>
                <w:szCs w:val="20"/>
                <w:lang w:eastAsia="nl-NL"/>
              </w:rPr>
              <w:t>Overige</w:t>
            </w:r>
          </w:p>
        </w:tc>
        <w:tc>
          <w:tcPr>
            <w:tcW w:w="1295" w:type="dxa"/>
            <w:tcBorders>
              <w:top w:val="nil"/>
              <w:bottom w:val="single" w:sz="4" w:space="0" w:color="auto"/>
            </w:tcBorders>
          </w:tcPr>
          <w:p w14:paraId="5177D1DE" w14:textId="77777777" w:rsidR="00325507" w:rsidRPr="001E1032" w:rsidRDefault="00325507" w:rsidP="002D6585">
            <w:pPr>
              <w:pStyle w:val="tabelNummers"/>
            </w:pPr>
            <w:r w:rsidRPr="001E1032">
              <w:t>0,6</w:t>
            </w:r>
          </w:p>
        </w:tc>
        <w:tc>
          <w:tcPr>
            <w:tcW w:w="1295" w:type="dxa"/>
            <w:tcBorders>
              <w:top w:val="nil"/>
              <w:bottom w:val="single" w:sz="4" w:space="0" w:color="auto"/>
            </w:tcBorders>
          </w:tcPr>
          <w:p w14:paraId="7CBB0783" w14:textId="77777777" w:rsidR="00325507" w:rsidRPr="001E1032" w:rsidRDefault="00325507" w:rsidP="002D6585">
            <w:pPr>
              <w:pStyle w:val="tabelNummers"/>
            </w:pPr>
            <w:r w:rsidRPr="001E1032">
              <w:t>1,2</w:t>
            </w:r>
          </w:p>
        </w:tc>
        <w:tc>
          <w:tcPr>
            <w:tcW w:w="1295" w:type="dxa"/>
            <w:tcBorders>
              <w:top w:val="nil"/>
              <w:bottom w:val="single" w:sz="4" w:space="0" w:color="auto"/>
            </w:tcBorders>
          </w:tcPr>
          <w:p w14:paraId="2E1C32F0" w14:textId="77777777" w:rsidR="00325507" w:rsidRPr="001E1032" w:rsidRDefault="00325507" w:rsidP="002D6585">
            <w:pPr>
              <w:pStyle w:val="tabelNummers"/>
            </w:pPr>
            <w:r w:rsidRPr="001E1032">
              <w:t>1,5</w:t>
            </w:r>
          </w:p>
        </w:tc>
        <w:tc>
          <w:tcPr>
            <w:tcW w:w="1295" w:type="dxa"/>
            <w:tcBorders>
              <w:top w:val="nil"/>
              <w:bottom w:val="single" w:sz="4" w:space="0" w:color="auto"/>
            </w:tcBorders>
          </w:tcPr>
          <w:p w14:paraId="0ADAEEE4" w14:textId="77777777" w:rsidR="00325507" w:rsidRPr="001E1032" w:rsidRDefault="00325507" w:rsidP="002D6585">
            <w:pPr>
              <w:pStyle w:val="tabelNummers"/>
            </w:pPr>
            <w:r w:rsidRPr="001E1032">
              <w:t>1,3</w:t>
            </w:r>
          </w:p>
        </w:tc>
      </w:tr>
      <w:tr w:rsidR="00325507" w:rsidRPr="001E1032" w14:paraId="73F2806F" w14:textId="77777777" w:rsidTr="0030721E">
        <w:tc>
          <w:tcPr>
            <w:tcW w:w="3882" w:type="dxa"/>
            <w:tcBorders>
              <w:top w:val="single" w:sz="4" w:space="0" w:color="auto"/>
            </w:tcBorders>
          </w:tcPr>
          <w:p w14:paraId="2BC1CE16" w14:textId="77777777" w:rsidR="00325507" w:rsidRPr="001E1032" w:rsidRDefault="00325507" w:rsidP="00DE08B1">
            <w:pPr>
              <w:jc w:val="left"/>
              <w:rPr>
                <w:sz w:val="20"/>
                <w:szCs w:val="20"/>
              </w:rPr>
            </w:pPr>
            <w:r w:rsidRPr="001E1032">
              <w:rPr>
                <w:rFonts w:eastAsia="Times New Roman" w:cs="Times New Roman"/>
                <w:color w:val="auto"/>
                <w:sz w:val="20"/>
                <w:szCs w:val="20"/>
                <w:lang w:eastAsia="nl-NL"/>
              </w:rPr>
              <w:t>Totaal</w:t>
            </w:r>
          </w:p>
        </w:tc>
        <w:tc>
          <w:tcPr>
            <w:tcW w:w="1295" w:type="dxa"/>
            <w:tcBorders>
              <w:top w:val="single" w:sz="4" w:space="0" w:color="auto"/>
            </w:tcBorders>
          </w:tcPr>
          <w:p w14:paraId="450BD9E4" w14:textId="77777777" w:rsidR="00325507" w:rsidRPr="001E1032" w:rsidRDefault="00325507" w:rsidP="002D6585">
            <w:pPr>
              <w:pStyle w:val="tabelNummers"/>
            </w:pPr>
            <w:r w:rsidRPr="001E1032">
              <w:t>41,0</w:t>
            </w:r>
          </w:p>
        </w:tc>
        <w:tc>
          <w:tcPr>
            <w:tcW w:w="1295" w:type="dxa"/>
            <w:tcBorders>
              <w:top w:val="single" w:sz="4" w:space="0" w:color="auto"/>
            </w:tcBorders>
          </w:tcPr>
          <w:p w14:paraId="72B2C6A2" w14:textId="554B8C06" w:rsidR="00325507" w:rsidRPr="001E1032" w:rsidRDefault="00403602" w:rsidP="002D6585">
            <w:pPr>
              <w:pStyle w:val="tabelNummers"/>
            </w:pPr>
            <w:r w:rsidRPr="001E1032">
              <w:t>92,7</w:t>
            </w:r>
          </w:p>
        </w:tc>
        <w:tc>
          <w:tcPr>
            <w:tcW w:w="1295" w:type="dxa"/>
            <w:tcBorders>
              <w:top w:val="single" w:sz="4" w:space="0" w:color="auto"/>
            </w:tcBorders>
          </w:tcPr>
          <w:p w14:paraId="4F7B27A4" w14:textId="1CBB0F4B" w:rsidR="00325507" w:rsidRPr="001E1032" w:rsidRDefault="00403602" w:rsidP="002D6585">
            <w:pPr>
              <w:pStyle w:val="tabelNummers"/>
            </w:pPr>
            <w:r w:rsidRPr="001E1032">
              <w:t>100</w:t>
            </w:r>
          </w:p>
        </w:tc>
        <w:tc>
          <w:tcPr>
            <w:tcW w:w="1295" w:type="dxa"/>
            <w:tcBorders>
              <w:top w:val="single" w:sz="4" w:space="0" w:color="auto"/>
            </w:tcBorders>
          </w:tcPr>
          <w:p w14:paraId="42ACA2E8" w14:textId="5EFD54C1" w:rsidR="00325507" w:rsidRPr="001E1032" w:rsidRDefault="00403602" w:rsidP="002D6585">
            <w:pPr>
              <w:pStyle w:val="tabelNummers"/>
            </w:pPr>
            <w:r w:rsidRPr="001E1032">
              <w:t>100</w:t>
            </w:r>
          </w:p>
        </w:tc>
      </w:tr>
    </w:tbl>
    <w:p w14:paraId="39362094" w14:textId="77777777" w:rsidR="00325507" w:rsidRDefault="00325507" w:rsidP="00DE08B1">
      <w:pPr>
        <w:jc w:val="left"/>
      </w:pPr>
    </w:p>
    <w:p w14:paraId="6C8CAA26" w14:textId="215FDC3C" w:rsidR="00325507" w:rsidRDefault="00325507" w:rsidP="00DE08B1">
      <w:pPr>
        <w:spacing w:line="240" w:lineRule="auto"/>
        <w:jc w:val="left"/>
        <w:rPr>
          <w:rFonts w:eastAsia="Times New Roman" w:cs="Times New Roman"/>
          <w:iCs/>
          <w:color w:val="auto"/>
          <w:szCs w:val="24"/>
          <w:lang w:eastAsia="nl-NL"/>
        </w:rPr>
      </w:pPr>
      <w:r w:rsidRPr="00E0628B">
        <w:rPr>
          <w:rFonts w:eastAsia="Times New Roman" w:cs="Times New Roman"/>
          <w:i/>
          <w:iCs/>
          <w:color w:val="auto"/>
          <w:szCs w:val="24"/>
          <w:lang w:eastAsia="nl-NL"/>
        </w:rPr>
        <w:t xml:space="preserve">Tabel </w:t>
      </w:r>
      <w:r w:rsidR="004C7B89">
        <w:rPr>
          <w:rFonts w:eastAsia="Times New Roman" w:cs="Times New Roman"/>
          <w:i/>
          <w:iCs/>
          <w:color w:val="auto"/>
          <w:szCs w:val="24"/>
          <w:lang w:eastAsia="nl-NL"/>
        </w:rPr>
        <w:t>9</w:t>
      </w:r>
      <w:r w:rsidR="00C936EF">
        <w:rPr>
          <w:rFonts w:eastAsia="Times New Roman" w:cs="Times New Roman"/>
          <w:i/>
          <w:iCs/>
          <w:color w:val="auto"/>
          <w:szCs w:val="24"/>
          <w:lang w:eastAsia="nl-NL"/>
        </w:rPr>
        <w:t>:</w:t>
      </w:r>
      <w:r w:rsidRPr="00E0628B">
        <w:rPr>
          <w:rFonts w:eastAsia="Times New Roman" w:cs="Times New Roman"/>
          <w:color w:val="auto"/>
          <w:szCs w:val="24"/>
          <w:lang w:eastAsia="nl-NL"/>
        </w:rPr>
        <w:t xml:space="preserve"> </w:t>
      </w:r>
      <w:r>
        <w:rPr>
          <w:rFonts w:eastAsia="Times New Roman" w:cs="Times New Roman"/>
          <w:i/>
          <w:iCs/>
          <w:color w:val="auto"/>
          <w:szCs w:val="24"/>
          <w:lang w:eastAsia="nl-NL"/>
        </w:rPr>
        <w:t>B</w:t>
      </w:r>
      <w:r w:rsidRPr="00E0628B">
        <w:rPr>
          <w:rFonts w:eastAsia="Times New Roman" w:cs="Times New Roman"/>
          <w:i/>
          <w:color w:val="auto"/>
          <w:szCs w:val="24"/>
          <w:lang w:eastAsia="nl-NL"/>
        </w:rPr>
        <w:t xml:space="preserve">innenlands goederenvervoer </w:t>
      </w:r>
      <w:r>
        <w:rPr>
          <w:rFonts w:eastAsia="Times New Roman" w:cs="Times New Roman"/>
          <w:i/>
          <w:color w:val="auto"/>
          <w:szCs w:val="24"/>
          <w:lang w:eastAsia="nl-NL"/>
        </w:rPr>
        <w:t xml:space="preserve">met </w:t>
      </w:r>
      <w:r w:rsidRPr="00E0628B">
        <w:rPr>
          <w:rFonts w:eastAsia="Times New Roman" w:cs="Times New Roman"/>
          <w:i/>
          <w:color w:val="auto"/>
          <w:szCs w:val="24"/>
          <w:lang w:eastAsia="nl-NL"/>
        </w:rPr>
        <w:t>binnensch</w:t>
      </w:r>
      <w:r>
        <w:rPr>
          <w:rFonts w:eastAsia="Times New Roman" w:cs="Times New Roman"/>
          <w:i/>
          <w:color w:val="auto"/>
          <w:szCs w:val="24"/>
          <w:lang w:eastAsia="nl-NL"/>
        </w:rPr>
        <w:t>epen, 1950 en 1970</w:t>
      </w:r>
      <w:r w:rsidRPr="00E0628B">
        <w:rPr>
          <w:rFonts w:eastAsia="Times New Roman" w:cs="Times New Roman"/>
          <w:i/>
          <w:color w:val="auto"/>
          <w:szCs w:val="24"/>
          <w:lang w:eastAsia="nl-NL"/>
        </w:rPr>
        <w:t>.</w:t>
      </w:r>
      <w:r w:rsidRPr="00E0628B">
        <w:rPr>
          <w:rFonts w:eastAsia="Times New Roman" w:cs="Times New Roman"/>
          <w:color w:val="auto"/>
          <w:szCs w:val="24"/>
          <w:vertAlign w:val="superscript"/>
          <w:lang w:eastAsia="nl-NL"/>
        </w:rPr>
        <w:endnoteReference w:id="36"/>
      </w:r>
    </w:p>
    <w:p w14:paraId="68C445BE" w14:textId="77777777" w:rsidR="00A42EC4" w:rsidRDefault="00A42EC4" w:rsidP="00DE08B1">
      <w:pPr>
        <w:jc w:val="left"/>
        <w:rPr>
          <w:rFonts w:eastAsia="Times New Roman" w:cs="Times New Roman"/>
          <w:color w:val="auto"/>
          <w:szCs w:val="24"/>
          <w:lang w:eastAsia="nl-NL"/>
        </w:rPr>
      </w:pPr>
    </w:p>
    <w:p w14:paraId="00D7FBA9" w14:textId="36E0CA79" w:rsidR="00325507" w:rsidRPr="00575EB5" w:rsidRDefault="00DD06DD" w:rsidP="00DE08B1">
      <w:pPr>
        <w:jc w:val="left"/>
        <w:rPr>
          <w:rFonts w:eastAsia="Times New Roman" w:cs="Times New Roman"/>
          <w:color w:val="auto"/>
          <w:szCs w:val="24"/>
          <w:lang w:eastAsia="nl-NL"/>
        </w:rPr>
      </w:pPr>
      <w:r>
        <w:rPr>
          <w:rFonts w:eastAsia="Times New Roman" w:cs="Times New Roman"/>
          <w:color w:val="auto"/>
          <w:szCs w:val="24"/>
          <w:lang w:eastAsia="nl-NL"/>
        </w:rPr>
        <w:t xml:space="preserve">De volgende periode (1973-2010) kan worden gekenschetst als een tijdvak van krimp en moeizaam herstel. </w:t>
      </w:r>
      <w:r w:rsidR="00C26A02">
        <w:rPr>
          <w:rFonts w:eastAsia="Times New Roman" w:cs="Times New Roman"/>
          <w:color w:val="auto"/>
          <w:szCs w:val="24"/>
          <w:lang w:eastAsia="nl-NL"/>
        </w:rPr>
        <w:t xml:space="preserve">In de rampjaren 1982 en 1992 liep het vervoer terug naar 68 miljoen ton. </w:t>
      </w:r>
      <w:r w:rsidR="00760065">
        <w:rPr>
          <w:rFonts w:eastAsia="Times New Roman" w:cs="Times New Roman"/>
          <w:color w:val="auto"/>
          <w:szCs w:val="24"/>
          <w:lang w:eastAsia="nl-NL"/>
        </w:rPr>
        <w:t xml:space="preserve">Het </w:t>
      </w:r>
      <w:r w:rsidR="00024697">
        <w:rPr>
          <w:rFonts w:eastAsia="Times New Roman" w:cs="Times New Roman"/>
          <w:color w:val="auto"/>
          <w:szCs w:val="24"/>
          <w:lang w:eastAsia="nl-NL"/>
        </w:rPr>
        <w:t>zand- en grindvervoer</w:t>
      </w:r>
      <w:r w:rsidR="00760065">
        <w:rPr>
          <w:rFonts w:eastAsia="Times New Roman" w:cs="Times New Roman"/>
          <w:color w:val="auto"/>
          <w:szCs w:val="24"/>
          <w:lang w:eastAsia="nl-NL"/>
        </w:rPr>
        <w:t xml:space="preserve"> daalde</w:t>
      </w:r>
      <w:r w:rsidR="00024697">
        <w:rPr>
          <w:rFonts w:eastAsia="Times New Roman" w:cs="Times New Roman"/>
          <w:color w:val="auto"/>
          <w:szCs w:val="24"/>
          <w:lang w:eastAsia="nl-NL"/>
        </w:rPr>
        <w:t>, maar daar</w:t>
      </w:r>
      <w:r w:rsidR="00311E1C">
        <w:rPr>
          <w:rFonts w:eastAsia="Times New Roman" w:cs="Times New Roman"/>
          <w:color w:val="auto"/>
          <w:szCs w:val="24"/>
          <w:lang w:eastAsia="nl-NL"/>
        </w:rPr>
        <w:t>tegenover</w:t>
      </w:r>
      <w:r w:rsidR="00024697">
        <w:rPr>
          <w:rFonts w:eastAsia="Times New Roman" w:cs="Times New Roman"/>
          <w:color w:val="auto"/>
          <w:szCs w:val="24"/>
          <w:lang w:eastAsia="nl-NL"/>
        </w:rPr>
        <w:t xml:space="preserve"> stond</w:t>
      </w:r>
      <w:r w:rsidR="00311E1C">
        <w:rPr>
          <w:rFonts w:eastAsia="Times New Roman" w:cs="Times New Roman"/>
          <w:color w:val="auto"/>
          <w:szCs w:val="24"/>
          <w:lang w:eastAsia="nl-NL"/>
        </w:rPr>
        <w:t xml:space="preserve"> een diversificatie van het ladingpakket en </w:t>
      </w:r>
      <w:r w:rsidR="00325507">
        <w:rPr>
          <w:rFonts w:eastAsia="Times New Roman" w:cs="Times New Roman"/>
          <w:color w:val="auto"/>
          <w:szCs w:val="24"/>
          <w:lang w:eastAsia="nl-NL"/>
        </w:rPr>
        <w:t xml:space="preserve">later een </w:t>
      </w:r>
      <w:r w:rsidR="00311E1C">
        <w:rPr>
          <w:rFonts w:eastAsia="Times New Roman" w:cs="Times New Roman"/>
          <w:color w:val="auto"/>
          <w:szCs w:val="24"/>
          <w:lang w:eastAsia="nl-NL"/>
        </w:rPr>
        <w:t xml:space="preserve">groei van het containervervoer. </w:t>
      </w:r>
      <w:r w:rsidR="002A7C9C">
        <w:rPr>
          <w:rFonts w:eastAsia="Times New Roman" w:cs="Times New Roman"/>
          <w:color w:val="auto"/>
          <w:szCs w:val="24"/>
          <w:lang w:eastAsia="nl-NL"/>
        </w:rPr>
        <w:t xml:space="preserve">Pas in 2000 </w:t>
      </w:r>
      <w:r w:rsidR="00311E1C">
        <w:rPr>
          <w:rFonts w:eastAsia="Times New Roman" w:cs="Times New Roman"/>
          <w:color w:val="auto"/>
          <w:szCs w:val="24"/>
          <w:lang w:eastAsia="nl-NL"/>
        </w:rPr>
        <w:t xml:space="preserve">werd weer </w:t>
      </w:r>
      <w:r w:rsidR="002A7C9C">
        <w:rPr>
          <w:rFonts w:eastAsia="Times New Roman" w:cs="Times New Roman"/>
          <w:color w:val="auto"/>
          <w:szCs w:val="24"/>
          <w:lang w:eastAsia="nl-NL"/>
        </w:rPr>
        <w:t xml:space="preserve">het niveau </w:t>
      </w:r>
      <w:r w:rsidR="002A7C9C">
        <w:rPr>
          <w:rFonts w:eastAsia="Times New Roman" w:cs="Times New Roman"/>
          <w:color w:val="auto"/>
          <w:szCs w:val="24"/>
          <w:lang w:eastAsia="nl-NL"/>
        </w:rPr>
        <w:lastRenderedPageBreak/>
        <w:t>van 1972 bereikt</w:t>
      </w:r>
      <w:r w:rsidR="00311E1C">
        <w:rPr>
          <w:rFonts w:eastAsia="Times New Roman" w:cs="Times New Roman"/>
          <w:color w:val="auto"/>
          <w:szCs w:val="24"/>
          <w:lang w:eastAsia="nl-NL"/>
        </w:rPr>
        <w:t>.</w:t>
      </w:r>
      <w:r w:rsidR="005E3BB9">
        <w:rPr>
          <w:rFonts w:eastAsia="Times New Roman" w:cs="Times New Roman"/>
          <w:color w:val="auto"/>
          <w:szCs w:val="24"/>
          <w:lang w:eastAsia="nl-NL"/>
        </w:rPr>
        <w:t xml:space="preserve"> </w:t>
      </w:r>
      <w:r w:rsidR="001A38FC">
        <w:rPr>
          <w:rFonts w:eastAsia="Times New Roman" w:cs="Times New Roman"/>
          <w:color w:val="auto"/>
          <w:szCs w:val="24"/>
          <w:lang w:eastAsia="nl-NL"/>
        </w:rPr>
        <w:t>De laatste periode (2010</w:t>
      </w:r>
      <w:r w:rsidR="002A7C9C">
        <w:rPr>
          <w:rFonts w:eastAsia="Times New Roman" w:cs="Times New Roman"/>
          <w:color w:val="auto"/>
          <w:szCs w:val="24"/>
          <w:lang w:eastAsia="nl-NL"/>
        </w:rPr>
        <w:t>-20</w:t>
      </w:r>
      <w:r w:rsidR="00235DF4">
        <w:rPr>
          <w:rFonts w:eastAsia="Times New Roman" w:cs="Times New Roman"/>
          <w:color w:val="auto"/>
          <w:szCs w:val="24"/>
          <w:lang w:eastAsia="nl-NL"/>
        </w:rPr>
        <w:t>22</w:t>
      </w:r>
      <w:r w:rsidR="002A7C9C">
        <w:rPr>
          <w:rFonts w:eastAsia="Times New Roman" w:cs="Times New Roman"/>
          <w:color w:val="auto"/>
          <w:szCs w:val="24"/>
          <w:lang w:eastAsia="nl-NL"/>
        </w:rPr>
        <w:t xml:space="preserve">) was een tijdvak van </w:t>
      </w:r>
      <w:r w:rsidR="00325507">
        <w:rPr>
          <w:rFonts w:eastAsia="Times New Roman" w:cs="Times New Roman"/>
          <w:color w:val="auto"/>
          <w:szCs w:val="24"/>
          <w:lang w:eastAsia="nl-NL"/>
        </w:rPr>
        <w:t xml:space="preserve">onverwachte </w:t>
      </w:r>
      <w:r w:rsidR="002A7C9C">
        <w:rPr>
          <w:rFonts w:eastAsia="Times New Roman" w:cs="Times New Roman"/>
          <w:color w:val="auto"/>
          <w:szCs w:val="24"/>
          <w:lang w:eastAsia="nl-NL"/>
        </w:rPr>
        <w:t>groei en voortgaande diversificatie.</w:t>
      </w:r>
      <w:r w:rsidR="009D52CE">
        <w:rPr>
          <w:rFonts w:eastAsia="Times New Roman" w:cs="Times New Roman"/>
          <w:color w:val="auto"/>
          <w:szCs w:val="24"/>
          <w:lang w:eastAsia="nl-NL"/>
        </w:rPr>
        <w:t xml:space="preserve"> Het</w:t>
      </w:r>
      <w:r w:rsidR="005E3BB9">
        <w:rPr>
          <w:rFonts w:eastAsia="Times New Roman" w:cs="Times New Roman"/>
          <w:color w:val="auto"/>
          <w:szCs w:val="24"/>
          <w:lang w:eastAsia="nl-NL"/>
        </w:rPr>
        <w:t xml:space="preserve"> </w:t>
      </w:r>
      <w:r w:rsidR="009D52CE">
        <w:rPr>
          <w:rFonts w:eastAsia="Times New Roman" w:cs="Times New Roman"/>
          <w:color w:val="auto"/>
          <w:szCs w:val="24"/>
          <w:lang w:eastAsia="nl-NL"/>
        </w:rPr>
        <w:t>zand- en grindvervoer daalde</w:t>
      </w:r>
      <w:r w:rsidR="005E3BB9">
        <w:rPr>
          <w:rFonts w:eastAsia="Times New Roman" w:cs="Times New Roman"/>
          <w:color w:val="auto"/>
          <w:szCs w:val="24"/>
          <w:lang w:eastAsia="nl-NL"/>
        </w:rPr>
        <w:t xml:space="preserve"> naar </w:t>
      </w:r>
      <w:r w:rsidR="00235DF4">
        <w:rPr>
          <w:rFonts w:eastAsia="Times New Roman" w:cs="Times New Roman"/>
          <w:color w:val="auto"/>
          <w:szCs w:val="24"/>
          <w:lang w:eastAsia="nl-NL"/>
        </w:rPr>
        <w:t xml:space="preserve">29 </w:t>
      </w:r>
      <w:r w:rsidR="005E3BB9">
        <w:rPr>
          <w:rFonts w:eastAsia="Times New Roman" w:cs="Times New Roman"/>
          <w:color w:val="auto"/>
          <w:szCs w:val="24"/>
          <w:lang w:eastAsia="nl-NL"/>
        </w:rPr>
        <w:t>procent</w:t>
      </w:r>
      <w:r w:rsidR="007669C5">
        <w:rPr>
          <w:rFonts w:eastAsia="Times New Roman" w:cs="Times New Roman"/>
          <w:color w:val="auto"/>
          <w:szCs w:val="24"/>
          <w:lang w:eastAsia="nl-NL"/>
        </w:rPr>
        <w:t xml:space="preserve"> van het totaalvervoer</w:t>
      </w:r>
      <w:r w:rsidR="009D52CE">
        <w:rPr>
          <w:rFonts w:eastAsia="Times New Roman" w:cs="Times New Roman"/>
          <w:color w:val="auto"/>
          <w:szCs w:val="24"/>
          <w:lang w:eastAsia="nl-NL"/>
        </w:rPr>
        <w:t>, terwijl aardolieproducten, containers</w:t>
      </w:r>
      <w:r w:rsidR="005E3BB9">
        <w:rPr>
          <w:rFonts w:eastAsia="Times New Roman" w:cs="Times New Roman"/>
          <w:color w:val="auto"/>
          <w:szCs w:val="24"/>
          <w:lang w:eastAsia="nl-NL"/>
        </w:rPr>
        <w:t>, veevoer</w:t>
      </w:r>
      <w:r w:rsidR="009D52CE">
        <w:rPr>
          <w:rFonts w:eastAsia="Times New Roman" w:cs="Times New Roman"/>
          <w:color w:val="auto"/>
          <w:szCs w:val="24"/>
          <w:lang w:eastAsia="nl-NL"/>
        </w:rPr>
        <w:t xml:space="preserve"> en chemische producten </w:t>
      </w:r>
      <w:r w:rsidR="005E3BB9">
        <w:rPr>
          <w:rFonts w:eastAsia="Times New Roman" w:cs="Times New Roman"/>
          <w:color w:val="auto"/>
          <w:szCs w:val="24"/>
          <w:lang w:eastAsia="nl-NL"/>
        </w:rPr>
        <w:t>samen naar 55 procent zijn gestegen.</w:t>
      </w:r>
      <w:r w:rsidR="005E3BB9">
        <w:rPr>
          <w:rStyle w:val="EndnoteReference"/>
          <w:rFonts w:eastAsia="Times New Roman" w:cs="Times New Roman"/>
          <w:color w:val="auto"/>
          <w:szCs w:val="24"/>
          <w:lang w:eastAsia="nl-NL"/>
        </w:rPr>
        <w:endnoteReference w:id="37"/>
      </w:r>
      <w:r w:rsidR="005E3BB9">
        <w:rPr>
          <w:rFonts w:eastAsia="Times New Roman" w:cs="Times New Roman"/>
          <w:color w:val="auto"/>
          <w:szCs w:val="24"/>
          <w:lang w:eastAsia="nl-NL"/>
        </w:rPr>
        <w:t xml:space="preserve">  </w:t>
      </w:r>
      <w:r w:rsidR="009D52CE">
        <w:rPr>
          <w:rFonts w:eastAsia="Times New Roman" w:cs="Times New Roman"/>
          <w:color w:val="auto"/>
          <w:szCs w:val="24"/>
          <w:lang w:eastAsia="nl-NL"/>
        </w:rPr>
        <w:t xml:space="preserve">  </w:t>
      </w:r>
      <w:r w:rsidR="008F0C67">
        <w:rPr>
          <w:rFonts w:eastAsia="Times New Roman" w:cs="Times New Roman"/>
          <w:color w:val="auto"/>
          <w:szCs w:val="24"/>
          <w:lang w:eastAsia="nl-NL"/>
        </w:rPr>
        <w:t xml:space="preserve"> </w:t>
      </w:r>
      <w:r w:rsidR="00311E1C">
        <w:rPr>
          <w:rFonts w:eastAsia="Times New Roman" w:cs="Times New Roman"/>
          <w:color w:val="auto"/>
          <w:szCs w:val="24"/>
          <w:lang w:eastAsia="nl-NL"/>
        </w:rPr>
        <w:t xml:space="preserve">   </w:t>
      </w:r>
    </w:p>
    <w:p w14:paraId="1184F229" w14:textId="77777777" w:rsidR="00E03362" w:rsidRPr="00E03362" w:rsidRDefault="00E03362" w:rsidP="00E03362">
      <w:pPr>
        <w:rPr>
          <w:b/>
          <w:bCs/>
          <w:lang w:eastAsia="nl-NL"/>
        </w:rPr>
      </w:pPr>
    </w:p>
    <w:p w14:paraId="344AC55E" w14:textId="77777777" w:rsidR="00E03362" w:rsidRPr="00E03362" w:rsidRDefault="00E03362" w:rsidP="00E03362">
      <w:pPr>
        <w:spacing w:line="240" w:lineRule="auto"/>
        <w:jc w:val="left"/>
        <w:rPr>
          <w:rFonts w:eastAsia="Times New Roman" w:cs="Times New Roman"/>
          <w:iCs/>
          <w:color w:val="auto"/>
          <w:szCs w:val="24"/>
          <w:lang w:eastAsia="nl-NL"/>
        </w:rPr>
      </w:pPr>
    </w:p>
    <w:tbl>
      <w:tblPr>
        <w:tblStyle w:val="TableGrid"/>
        <w:tblW w:w="0" w:type="auto"/>
        <w:tblLook w:val="04A0" w:firstRow="1" w:lastRow="0" w:firstColumn="1" w:lastColumn="0" w:noHBand="0" w:noVBand="1"/>
      </w:tblPr>
      <w:tblGrid>
        <w:gridCol w:w="3632"/>
        <w:gridCol w:w="2002"/>
        <w:gridCol w:w="1764"/>
        <w:gridCol w:w="1664"/>
      </w:tblGrid>
      <w:tr w:rsidR="00E03362" w:rsidRPr="00E03362" w14:paraId="03584F53" w14:textId="77777777" w:rsidTr="000D2FB8">
        <w:trPr>
          <w:trHeight w:val="567"/>
        </w:trPr>
        <w:tc>
          <w:tcPr>
            <w:tcW w:w="3632" w:type="dxa"/>
            <w:tcBorders>
              <w:bottom w:val="single" w:sz="4" w:space="0" w:color="auto"/>
            </w:tcBorders>
          </w:tcPr>
          <w:p w14:paraId="33828303" w14:textId="77777777" w:rsidR="00E03362" w:rsidRPr="00D37FB6" w:rsidRDefault="00E03362" w:rsidP="00E03362">
            <w:pPr>
              <w:jc w:val="center"/>
              <w:rPr>
                <w:b/>
                <w:sz w:val="20"/>
                <w:szCs w:val="20"/>
              </w:rPr>
            </w:pPr>
            <w:r w:rsidRPr="00D37FB6">
              <w:rPr>
                <w:b/>
                <w:sz w:val="20"/>
                <w:szCs w:val="20"/>
              </w:rPr>
              <w:t>Aard goederen</w:t>
            </w:r>
          </w:p>
        </w:tc>
        <w:tc>
          <w:tcPr>
            <w:tcW w:w="2002" w:type="dxa"/>
            <w:tcBorders>
              <w:bottom w:val="single" w:sz="4" w:space="0" w:color="auto"/>
            </w:tcBorders>
          </w:tcPr>
          <w:p w14:paraId="30E8D817" w14:textId="03E187E4" w:rsidR="00E03362" w:rsidRPr="00D37FB6" w:rsidRDefault="00E03362" w:rsidP="00EA6E85">
            <w:pPr>
              <w:pStyle w:val="tabelKop"/>
            </w:pPr>
            <w:r w:rsidRPr="00D37FB6">
              <w:t>Vervoersomvang</w:t>
            </w:r>
            <w:r w:rsidR="00444BD9">
              <w:t xml:space="preserve"> </w:t>
            </w:r>
          </w:p>
          <w:p w14:paraId="6FB6C790" w14:textId="77777777" w:rsidR="00E03362" w:rsidRPr="00D37FB6" w:rsidRDefault="00E03362" w:rsidP="00EA6E85">
            <w:pPr>
              <w:pStyle w:val="tabelKop"/>
            </w:pPr>
            <w:r w:rsidRPr="00D37FB6">
              <w:t>(miljoen ton)</w:t>
            </w:r>
          </w:p>
        </w:tc>
        <w:tc>
          <w:tcPr>
            <w:tcW w:w="1764" w:type="dxa"/>
            <w:tcBorders>
              <w:bottom w:val="single" w:sz="4" w:space="0" w:color="auto"/>
            </w:tcBorders>
          </w:tcPr>
          <w:p w14:paraId="5212DE04" w14:textId="7E26D54B" w:rsidR="00E03362" w:rsidRPr="00D37FB6" w:rsidRDefault="00E03362" w:rsidP="00EA6E85">
            <w:pPr>
              <w:pStyle w:val="tabelKop"/>
            </w:pPr>
            <w:r w:rsidRPr="00D37FB6">
              <w:t>Vervoerprestatie</w:t>
            </w:r>
            <w:r w:rsidR="00444BD9">
              <w:t xml:space="preserve"> </w:t>
            </w:r>
          </w:p>
          <w:p w14:paraId="38DC1F4A" w14:textId="77777777" w:rsidR="00E03362" w:rsidRPr="00D37FB6" w:rsidRDefault="00E03362" w:rsidP="00EA6E85">
            <w:pPr>
              <w:pStyle w:val="tabelKop"/>
            </w:pPr>
            <w:r w:rsidRPr="00D37FB6">
              <w:t xml:space="preserve">(miljard </w:t>
            </w:r>
            <w:proofErr w:type="spellStart"/>
            <w:r w:rsidRPr="00D37FB6">
              <w:t>tonkm</w:t>
            </w:r>
            <w:proofErr w:type="spellEnd"/>
            <w:r w:rsidRPr="00D37FB6">
              <w:t>)</w:t>
            </w:r>
          </w:p>
        </w:tc>
        <w:tc>
          <w:tcPr>
            <w:tcW w:w="1664" w:type="dxa"/>
            <w:tcBorders>
              <w:bottom w:val="single" w:sz="4" w:space="0" w:color="auto"/>
            </w:tcBorders>
          </w:tcPr>
          <w:p w14:paraId="6FA91992" w14:textId="77777777" w:rsidR="00E03362" w:rsidRPr="00D37FB6" w:rsidRDefault="00E03362" w:rsidP="00EA6E85">
            <w:pPr>
              <w:pStyle w:val="tabelKop"/>
            </w:pPr>
            <w:r w:rsidRPr="00D37FB6">
              <w:t xml:space="preserve">Gemiddelde </w:t>
            </w:r>
          </w:p>
          <w:p w14:paraId="4546DF03" w14:textId="35E9F3DB" w:rsidR="00E03362" w:rsidRPr="00D37FB6" w:rsidRDefault="00444BD9" w:rsidP="00EA6E85">
            <w:pPr>
              <w:pStyle w:val="tabelKop"/>
            </w:pPr>
            <w:r w:rsidRPr="00D37FB6">
              <w:t>V</w:t>
            </w:r>
            <w:r w:rsidR="00E03362" w:rsidRPr="00D37FB6">
              <w:t>ervoersafstand</w:t>
            </w:r>
            <w:r>
              <w:t xml:space="preserve"> </w:t>
            </w:r>
          </w:p>
          <w:p w14:paraId="4AE6625C" w14:textId="77777777" w:rsidR="00E03362" w:rsidRPr="00D37FB6" w:rsidRDefault="00E03362" w:rsidP="00EA6E85">
            <w:pPr>
              <w:pStyle w:val="tabelKop"/>
            </w:pPr>
            <w:r w:rsidRPr="00D37FB6">
              <w:t>(km)</w:t>
            </w:r>
          </w:p>
        </w:tc>
      </w:tr>
      <w:tr w:rsidR="00E03362" w:rsidRPr="00E03362" w14:paraId="6E689022" w14:textId="77777777" w:rsidTr="000D2FB8">
        <w:tc>
          <w:tcPr>
            <w:tcW w:w="3632" w:type="dxa"/>
            <w:tcBorders>
              <w:bottom w:val="nil"/>
            </w:tcBorders>
          </w:tcPr>
          <w:p w14:paraId="6DE7C5D7" w14:textId="77777777" w:rsidR="00E03362" w:rsidRPr="00E03362" w:rsidRDefault="00E03362" w:rsidP="00E03362">
            <w:pPr>
              <w:jc w:val="left"/>
              <w:rPr>
                <w:sz w:val="20"/>
                <w:szCs w:val="20"/>
              </w:rPr>
            </w:pPr>
            <w:r w:rsidRPr="00E03362">
              <w:rPr>
                <w:sz w:val="20"/>
                <w:szCs w:val="20"/>
              </w:rPr>
              <w:t>Delfstoffen en erts (zand en grind)</w:t>
            </w:r>
          </w:p>
        </w:tc>
        <w:tc>
          <w:tcPr>
            <w:tcW w:w="2002" w:type="dxa"/>
            <w:tcBorders>
              <w:bottom w:val="nil"/>
            </w:tcBorders>
          </w:tcPr>
          <w:p w14:paraId="6F9DCD20" w14:textId="77777777" w:rsidR="00E03362" w:rsidRPr="00E03362" w:rsidRDefault="00E03362" w:rsidP="00EA6E85">
            <w:pPr>
              <w:pStyle w:val="tabelNummers"/>
            </w:pPr>
            <w:r w:rsidRPr="00E03362">
              <w:t>33,2</w:t>
            </w:r>
          </w:p>
        </w:tc>
        <w:tc>
          <w:tcPr>
            <w:tcW w:w="1764" w:type="dxa"/>
            <w:tcBorders>
              <w:bottom w:val="nil"/>
            </w:tcBorders>
          </w:tcPr>
          <w:p w14:paraId="13D346EE" w14:textId="77777777" w:rsidR="00E03362" w:rsidRPr="00E03362" w:rsidRDefault="00E03362" w:rsidP="00EA6E85">
            <w:pPr>
              <w:pStyle w:val="tabelNummers"/>
            </w:pPr>
            <w:r w:rsidRPr="00E03362">
              <w:t>3,56</w:t>
            </w:r>
          </w:p>
        </w:tc>
        <w:tc>
          <w:tcPr>
            <w:tcW w:w="1664" w:type="dxa"/>
            <w:tcBorders>
              <w:bottom w:val="nil"/>
            </w:tcBorders>
          </w:tcPr>
          <w:p w14:paraId="2B54C725" w14:textId="77777777" w:rsidR="00E03362" w:rsidRPr="00E03362" w:rsidRDefault="00E03362" w:rsidP="00EA6E85">
            <w:pPr>
              <w:pStyle w:val="tabelNummers"/>
            </w:pPr>
            <w:r w:rsidRPr="00E03362">
              <w:t>107</w:t>
            </w:r>
          </w:p>
        </w:tc>
      </w:tr>
      <w:tr w:rsidR="00E03362" w:rsidRPr="00E03362" w14:paraId="3E9A3913" w14:textId="77777777" w:rsidTr="000D2FB8">
        <w:tc>
          <w:tcPr>
            <w:tcW w:w="3632" w:type="dxa"/>
            <w:tcBorders>
              <w:top w:val="nil"/>
              <w:bottom w:val="nil"/>
            </w:tcBorders>
          </w:tcPr>
          <w:p w14:paraId="3C6E634F" w14:textId="77777777" w:rsidR="00E03362" w:rsidRPr="00E03362" w:rsidRDefault="00E03362" w:rsidP="00E03362">
            <w:pPr>
              <w:jc w:val="left"/>
              <w:rPr>
                <w:sz w:val="20"/>
                <w:szCs w:val="20"/>
              </w:rPr>
            </w:pPr>
            <w:r w:rsidRPr="00E03362">
              <w:rPr>
                <w:sz w:val="20"/>
                <w:szCs w:val="20"/>
              </w:rPr>
              <w:t>Geraffineerde aardolieproducten, cokes</w:t>
            </w:r>
          </w:p>
        </w:tc>
        <w:tc>
          <w:tcPr>
            <w:tcW w:w="2002" w:type="dxa"/>
            <w:tcBorders>
              <w:top w:val="nil"/>
              <w:bottom w:val="nil"/>
            </w:tcBorders>
          </w:tcPr>
          <w:p w14:paraId="71E4AA62" w14:textId="77777777" w:rsidR="00E03362" w:rsidRPr="00E03362" w:rsidRDefault="00E03362" w:rsidP="00EA6E85">
            <w:pPr>
              <w:pStyle w:val="tabelNummers"/>
            </w:pPr>
            <w:r w:rsidRPr="00E03362">
              <w:t>21,6</w:t>
            </w:r>
          </w:p>
        </w:tc>
        <w:tc>
          <w:tcPr>
            <w:tcW w:w="1764" w:type="dxa"/>
            <w:tcBorders>
              <w:top w:val="nil"/>
              <w:bottom w:val="nil"/>
            </w:tcBorders>
          </w:tcPr>
          <w:p w14:paraId="6C6965E3" w14:textId="77777777" w:rsidR="00E03362" w:rsidRPr="00E03362" w:rsidRDefault="00E03362" w:rsidP="00EA6E85">
            <w:pPr>
              <w:pStyle w:val="tabelNummers"/>
            </w:pPr>
            <w:r w:rsidRPr="00E03362">
              <w:t>2,24</w:t>
            </w:r>
          </w:p>
        </w:tc>
        <w:tc>
          <w:tcPr>
            <w:tcW w:w="1664" w:type="dxa"/>
            <w:tcBorders>
              <w:top w:val="nil"/>
              <w:bottom w:val="nil"/>
            </w:tcBorders>
          </w:tcPr>
          <w:p w14:paraId="2276B213" w14:textId="77777777" w:rsidR="00E03362" w:rsidRPr="00E03362" w:rsidRDefault="00E03362" w:rsidP="00EA6E85">
            <w:pPr>
              <w:pStyle w:val="tabelNummers"/>
            </w:pPr>
            <w:r w:rsidRPr="00E03362">
              <w:t>103</w:t>
            </w:r>
          </w:p>
        </w:tc>
      </w:tr>
      <w:tr w:rsidR="00E03362" w:rsidRPr="00E03362" w14:paraId="575EF170" w14:textId="77777777" w:rsidTr="000D2FB8">
        <w:tc>
          <w:tcPr>
            <w:tcW w:w="3632" w:type="dxa"/>
            <w:tcBorders>
              <w:top w:val="nil"/>
              <w:bottom w:val="nil"/>
            </w:tcBorders>
          </w:tcPr>
          <w:p w14:paraId="3D8C7441" w14:textId="77777777" w:rsidR="00E03362" w:rsidRPr="00E03362" w:rsidRDefault="00E03362" w:rsidP="00E03362">
            <w:pPr>
              <w:jc w:val="left"/>
              <w:rPr>
                <w:sz w:val="20"/>
                <w:szCs w:val="20"/>
              </w:rPr>
            </w:pPr>
            <w:r w:rsidRPr="00E03362">
              <w:rPr>
                <w:sz w:val="20"/>
                <w:szCs w:val="20"/>
              </w:rPr>
              <w:t>Containers</w:t>
            </w:r>
          </w:p>
        </w:tc>
        <w:tc>
          <w:tcPr>
            <w:tcW w:w="2002" w:type="dxa"/>
            <w:tcBorders>
              <w:top w:val="nil"/>
              <w:bottom w:val="nil"/>
            </w:tcBorders>
          </w:tcPr>
          <w:p w14:paraId="5054C019" w14:textId="77777777" w:rsidR="00E03362" w:rsidRPr="00E03362" w:rsidRDefault="00E03362" w:rsidP="00EA6E85">
            <w:pPr>
              <w:pStyle w:val="tabelNummers"/>
            </w:pPr>
            <w:r w:rsidRPr="00E03362">
              <w:t>19,1</w:t>
            </w:r>
          </w:p>
        </w:tc>
        <w:tc>
          <w:tcPr>
            <w:tcW w:w="1764" w:type="dxa"/>
            <w:tcBorders>
              <w:top w:val="nil"/>
              <w:bottom w:val="nil"/>
            </w:tcBorders>
          </w:tcPr>
          <w:p w14:paraId="5E5A5ACB" w14:textId="77777777" w:rsidR="00E03362" w:rsidRPr="00E03362" w:rsidRDefault="00E03362" w:rsidP="00EA6E85">
            <w:pPr>
              <w:pStyle w:val="tabelNummers"/>
            </w:pPr>
            <w:r w:rsidRPr="00E03362">
              <w:t>2,27</w:t>
            </w:r>
          </w:p>
        </w:tc>
        <w:tc>
          <w:tcPr>
            <w:tcW w:w="1664" w:type="dxa"/>
            <w:tcBorders>
              <w:top w:val="nil"/>
              <w:bottom w:val="nil"/>
            </w:tcBorders>
          </w:tcPr>
          <w:p w14:paraId="4B5A042C" w14:textId="77777777" w:rsidR="00E03362" w:rsidRPr="00E03362" w:rsidRDefault="00E03362" w:rsidP="00EA6E85">
            <w:pPr>
              <w:pStyle w:val="tabelNummers"/>
            </w:pPr>
            <w:r w:rsidRPr="00E03362">
              <w:t>119</w:t>
            </w:r>
          </w:p>
        </w:tc>
      </w:tr>
      <w:tr w:rsidR="00E03362" w:rsidRPr="00E03362" w14:paraId="0F522FFF" w14:textId="77777777" w:rsidTr="000D2FB8">
        <w:tc>
          <w:tcPr>
            <w:tcW w:w="3632" w:type="dxa"/>
            <w:tcBorders>
              <w:top w:val="nil"/>
              <w:bottom w:val="nil"/>
            </w:tcBorders>
          </w:tcPr>
          <w:p w14:paraId="70612D47" w14:textId="77777777" w:rsidR="00E03362" w:rsidRPr="00E03362" w:rsidRDefault="00E03362" w:rsidP="00E03362">
            <w:pPr>
              <w:jc w:val="left"/>
              <w:rPr>
                <w:sz w:val="20"/>
                <w:szCs w:val="20"/>
              </w:rPr>
            </w:pPr>
            <w:r w:rsidRPr="00E03362">
              <w:rPr>
                <w:sz w:val="20"/>
                <w:szCs w:val="20"/>
              </w:rPr>
              <w:t>Chemische producten</w:t>
            </w:r>
          </w:p>
        </w:tc>
        <w:tc>
          <w:tcPr>
            <w:tcW w:w="2002" w:type="dxa"/>
            <w:tcBorders>
              <w:top w:val="nil"/>
              <w:bottom w:val="nil"/>
            </w:tcBorders>
          </w:tcPr>
          <w:p w14:paraId="5B12E398" w14:textId="77777777" w:rsidR="00E03362" w:rsidRPr="00E03362" w:rsidRDefault="00E03362" w:rsidP="00EA6E85">
            <w:pPr>
              <w:pStyle w:val="tabelNummers"/>
            </w:pPr>
            <w:r w:rsidRPr="00E03362">
              <w:t>15,1</w:t>
            </w:r>
          </w:p>
        </w:tc>
        <w:tc>
          <w:tcPr>
            <w:tcW w:w="1764" w:type="dxa"/>
            <w:tcBorders>
              <w:top w:val="nil"/>
              <w:bottom w:val="nil"/>
            </w:tcBorders>
          </w:tcPr>
          <w:p w14:paraId="7EB22026" w14:textId="77777777" w:rsidR="00E03362" w:rsidRPr="00E03362" w:rsidRDefault="00E03362" w:rsidP="00EA6E85">
            <w:pPr>
              <w:pStyle w:val="tabelNummers"/>
            </w:pPr>
            <w:r w:rsidRPr="00E03362">
              <w:t>1,60</w:t>
            </w:r>
          </w:p>
        </w:tc>
        <w:tc>
          <w:tcPr>
            <w:tcW w:w="1664" w:type="dxa"/>
            <w:tcBorders>
              <w:top w:val="nil"/>
              <w:bottom w:val="nil"/>
            </w:tcBorders>
          </w:tcPr>
          <w:p w14:paraId="12883B28" w14:textId="77777777" w:rsidR="00E03362" w:rsidRPr="00E03362" w:rsidRDefault="00E03362" w:rsidP="00EA6E85">
            <w:pPr>
              <w:pStyle w:val="tabelNummers"/>
            </w:pPr>
            <w:r w:rsidRPr="00E03362">
              <w:t>105</w:t>
            </w:r>
          </w:p>
        </w:tc>
      </w:tr>
      <w:tr w:rsidR="00E03362" w:rsidRPr="00E03362" w14:paraId="5DE24125" w14:textId="77777777" w:rsidTr="000D2FB8">
        <w:tc>
          <w:tcPr>
            <w:tcW w:w="3632" w:type="dxa"/>
            <w:tcBorders>
              <w:top w:val="nil"/>
              <w:bottom w:val="nil"/>
            </w:tcBorders>
          </w:tcPr>
          <w:p w14:paraId="5F080188" w14:textId="77777777" w:rsidR="00E03362" w:rsidRPr="00E03362" w:rsidRDefault="00E03362" w:rsidP="00E03362">
            <w:pPr>
              <w:jc w:val="left"/>
              <w:rPr>
                <w:sz w:val="20"/>
                <w:szCs w:val="20"/>
              </w:rPr>
            </w:pPr>
            <w:r w:rsidRPr="00E03362">
              <w:rPr>
                <w:sz w:val="20"/>
                <w:szCs w:val="20"/>
              </w:rPr>
              <w:t>Voedings- en genotmiddelen (veevoer)</w:t>
            </w:r>
          </w:p>
        </w:tc>
        <w:tc>
          <w:tcPr>
            <w:tcW w:w="2002" w:type="dxa"/>
            <w:tcBorders>
              <w:top w:val="nil"/>
              <w:bottom w:val="nil"/>
            </w:tcBorders>
          </w:tcPr>
          <w:p w14:paraId="512FAB93" w14:textId="77777777" w:rsidR="00E03362" w:rsidRPr="00E03362" w:rsidRDefault="00E03362" w:rsidP="00EA6E85">
            <w:pPr>
              <w:pStyle w:val="tabelNummers"/>
            </w:pPr>
            <w:r w:rsidRPr="00E03362">
              <w:t>8,0</w:t>
            </w:r>
          </w:p>
        </w:tc>
        <w:tc>
          <w:tcPr>
            <w:tcW w:w="1764" w:type="dxa"/>
            <w:tcBorders>
              <w:top w:val="nil"/>
              <w:bottom w:val="nil"/>
            </w:tcBorders>
          </w:tcPr>
          <w:p w14:paraId="2CD61932" w14:textId="77777777" w:rsidR="00E03362" w:rsidRPr="00E03362" w:rsidRDefault="00E03362" w:rsidP="00EA6E85">
            <w:pPr>
              <w:pStyle w:val="tabelNummers"/>
            </w:pPr>
            <w:r w:rsidRPr="00E03362">
              <w:t>0,89</w:t>
            </w:r>
          </w:p>
        </w:tc>
        <w:tc>
          <w:tcPr>
            <w:tcW w:w="1664" w:type="dxa"/>
            <w:tcBorders>
              <w:top w:val="nil"/>
              <w:bottom w:val="nil"/>
            </w:tcBorders>
          </w:tcPr>
          <w:p w14:paraId="2C915122" w14:textId="77777777" w:rsidR="00E03362" w:rsidRPr="00E03362" w:rsidRDefault="00E03362" w:rsidP="00EA6E85">
            <w:pPr>
              <w:pStyle w:val="tabelNummers"/>
            </w:pPr>
            <w:r w:rsidRPr="00E03362">
              <w:t>111</w:t>
            </w:r>
          </w:p>
        </w:tc>
      </w:tr>
      <w:tr w:rsidR="00E03362" w:rsidRPr="00E03362" w14:paraId="41F823C2" w14:textId="77777777" w:rsidTr="000D2FB8">
        <w:tc>
          <w:tcPr>
            <w:tcW w:w="3632" w:type="dxa"/>
            <w:tcBorders>
              <w:top w:val="nil"/>
              <w:bottom w:val="nil"/>
            </w:tcBorders>
          </w:tcPr>
          <w:p w14:paraId="4BEA0055" w14:textId="77777777" w:rsidR="00E03362" w:rsidRPr="00E03362" w:rsidRDefault="00E03362" w:rsidP="00E03362">
            <w:pPr>
              <w:jc w:val="left"/>
              <w:rPr>
                <w:sz w:val="20"/>
                <w:szCs w:val="20"/>
              </w:rPr>
            </w:pPr>
            <w:r w:rsidRPr="00E03362">
              <w:rPr>
                <w:sz w:val="20"/>
                <w:szCs w:val="20"/>
              </w:rPr>
              <w:t>Metalen en metaalproducten</w:t>
            </w:r>
          </w:p>
        </w:tc>
        <w:tc>
          <w:tcPr>
            <w:tcW w:w="2002" w:type="dxa"/>
            <w:tcBorders>
              <w:top w:val="nil"/>
              <w:bottom w:val="nil"/>
            </w:tcBorders>
          </w:tcPr>
          <w:p w14:paraId="6B1B9930" w14:textId="77777777" w:rsidR="00E03362" w:rsidRPr="00E03362" w:rsidRDefault="00E03362" w:rsidP="00EA6E85">
            <w:pPr>
              <w:pStyle w:val="tabelNummers"/>
            </w:pPr>
            <w:r w:rsidRPr="00E03362">
              <w:t>4,5</w:t>
            </w:r>
          </w:p>
        </w:tc>
        <w:tc>
          <w:tcPr>
            <w:tcW w:w="1764" w:type="dxa"/>
            <w:tcBorders>
              <w:top w:val="nil"/>
              <w:bottom w:val="nil"/>
            </w:tcBorders>
          </w:tcPr>
          <w:p w14:paraId="1CD0BE40" w14:textId="77777777" w:rsidR="00E03362" w:rsidRPr="00E03362" w:rsidRDefault="00E03362" w:rsidP="00EA6E85">
            <w:pPr>
              <w:pStyle w:val="tabelNummers"/>
            </w:pPr>
            <w:r w:rsidRPr="00E03362">
              <w:t>0,58</w:t>
            </w:r>
          </w:p>
        </w:tc>
        <w:tc>
          <w:tcPr>
            <w:tcW w:w="1664" w:type="dxa"/>
            <w:tcBorders>
              <w:top w:val="nil"/>
              <w:bottom w:val="nil"/>
            </w:tcBorders>
          </w:tcPr>
          <w:p w14:paraId="0F1F61D0" w14:textId="77777777" w:rsidR="00E03362" w:rsidRPr="00E03362" w:rsidRDefault="00E03362" w:rsidP="00EA6E85">
            <w:pPr>
              <w:pStyle w:val="tabelNummers"/>
            </w:pPr>
            <w:r w:rsidRPr="00E03362">
              <w:t>130</w:t>
            </w:r>
          </w:p>
        </w:tc>
      </w:tr>
      <w:tr w:rsidR="00E03362" w:rsidRPr="00E03362" w14:paraId="5E962DA0" w14:textId="77777777" w:rsidTr="000D2FB8">
        <w:tc>
          <w:tcPr>
            <w:tcW w:w="3632" w:type="dxa"/>
            <w:tcBorders>
              <w:top w:val="nil"/>
              <w:bottom w:val="nil"/>
            </w:tcBorders>
          </w:tcPr>
          <w:p w14:paraId="67808FFB" w14:textId="77777777" w:rsidR="00E03362" w:rsidRPr="00E03362" w:rsidRDefault="00E03362" w:rsidP="00E03362">
            <w:pPr>
              <w:jc w:val="left"/>
              <w:rPr>
                <w:sz w:val="20"/>
                <w:szCs w:val="20"/>
              </w:rPr>
            </w:pPr>
            <w:r w:rsidRPr="00E03362">
              <w:rPr>
                <w:sz w:val="20"/>
                <w:szCs w:val="20"/>
              </w:rPr>
              <w:t>Landbouwproducten</w:t>
            </w:r>
          </w:p>
        </w:tc>
        <w:tc>
          <w:tcPr>
            <w:tcW w:w="2002" w:type="dxa"/>
            <w:tcBorders>
              <w:top w:val="nil"/>
              <w:bottom w:val="nil"/>
            </w:tcBorders>
          </w:tcPr>
          <w:p w14:paraId="4A208D77" w14:textId="77777777" w:rsidR="00E03362" w:rsidRPr="00E03362" w:rsidRDefault="00E03362" w:rsidP="00EA6E85">
            <w:pPr>
              <w:pStyle w:val="tabelNummers"/>
            </w:pPr>
            <w:r w:rsidRPr="00E03362">
              <w:t>4,1</w:t>
            </w:r>
          </w:p>
        </w:tc>
        <w:tc>
          <w:tcPr>
            <w:tcW w:w="1764" w:type="dxa"/>
            <w:tcBorders>
              <w:top w:val="nil"/>
              <w:bottom w:val="nil"/>
            </w:tcBorders>
          </w:tcPr>
          <w:p w14:paraId="5DDFDCAE" w14:textId="77777777" w:rsidR="00E03362" w:rsidRPr="00E03362" w:rsidRDefault="00E03362" w:rsidP="00EA6E85">
            <w:pPr>
              <w:pStyle w:val="tabelNummers"/>
            </w:pPr>
            <w:r w:rsidRPr="00E03362">
              <w:t>0,51</w:t>
            </w:r>
          </w:p>
        </w:tc>
        <w:tc>
          <w:tcPr>
            <w:tcW w:w="1664" w:type="dxa"/>
            <w:tcBorders>
              <w:top w:val="nil"/>
              <w:bottom w:val="nil"/>
            </w:tcBorders>
          </w:tcPr>
          <w:p w14:paraId="7021DFDE" w14:textId="77777777" w:rsidR="00E03362" w:rsidRPr="00E03362" w:rsidRDefault="00E03362" w:rsidP="00EA6E85">
            <w:pPr>
              <w:pStyle w:val="tabelNummers"/>
            </w:pPr>
            <w:r w:rsidRPr="00E03362">
              <w:t>124</w:t>
            </w:r>
          </w:p>
        </w:tc>
      </w:tr>
      <w:tr w:rsidR="00E03362" w:rsidRPr="00E03362" w14:paraId="063DF018" w14:textId="77777777" w:rsidTr="000D2FB8">
        <w:tc>
          <w:tcPr>
            <w:tcW w:w="3632" w:type="dxa"/>
            <w:tcBorders>
              <w:top w:val="nil"/>
              <w:bottom w:val="nil"/>
            </w:tcBorders>
          </w:tcPr>
          <w:p w14:paraId="42613535" w14:textId="77777777" w:rsidR="00E03362" w:rsidRPr="00E03362" w:rsidRDefault="00E03362" w:rsidP="00E03362">
            <w:pPr>
              <w:jc w:val="left"/>
              <w:rPr>
                <w:sz w:val="20"/>
                <w:szCs w:val="20"/>
              </w:rPr>
            </w:pPr>
            <w:r w:rsidRPr="00E03362">
              <w:rPr>
                <w:sz w:val="20"/>
                <w:szCs w:val="20"/>
              </w:rPr>
              <w:t>Afval en secundaire grondstoffen</w:t>
            </w:r>
          </w:p>
        </w:tc>
        <w:tc>
          <w:tcPr>
            <w:tcW w:w="2002" w:type="dxa"/>
            <w:tcBorders>
              <w:top w:val="nil"/>
              <w:bottom w:val="nil"/>
            </w:tcBorders>
          </w:tcPr>
          <w:p w14:paraId="2643032E" w14:textId="77777777" w:rsidR="00E03362" w:rsidRPr="00E03362" w:rsidRDefault="00E03362" w:rsidP="00EA6E85">
            <w:pPr>
              <w:pStyle w:val="tabelNummers"/>
            </w:pPr>
            <w:r w:rsidRPr="00E03362">
              <w:t>2,3</w:t>
            </w:r>
          </w:p>
        </w:tc>
        <w:tc>
          <w:tcPr>
            <w:tcW w:w="1764" w:type="dxa"/>
            <w:tcBorders>
              <w:top w:val="nil"/>
              <w:bottom w:val="nil"/>
            </w:tcBorders>
          </w:tcPr>
          <w:p w14:paraId="73DDB5C7" w14:textId="77777777" w:rsidR="00E03362" w:rsidRPr="00E03362" w:rsidRDefault="00E03362" w:rsidP="00EA6E85">
            <w:pPr>
              <w:pStyle w:val="tabelNummers"/>
            </w:pPr>
            <w:r w:rsidRPr="00E03362">
              <w:t>0,33</w:t>
            </w:r>
          </w:p>
        </w:tc>
        <w:tc>
          <w:tcPr>
            <w:tcW w:w="1664" w:type="dxa"/>
            <w:tcBorders>
              <w:top w:val="nil"/>
              <w:bottom w:val="nil"/>
            </w:tcBorders>
          </w:tcPr>
          <w:p w14:paraId="1B938ABB" w14:textId="77777777" w:rsidR="00E03362" w:rsidRPr="00E03362" w:rsidRDefault="00E03362" w:rsidP="00EA6E85">
            <w:pPr>
              <w:pStyle w:val="tabelNummers"/>
            </w:pPr>
            <w:r w:rsidRPr="00E03362">
              <w:t>145</w:t>
            </w:r>
          </w:p>
        </w:tc>
      </w:tr>
      <w:tr w:rsidR="00E03362" w:rsidRPr="00E03362" w14:paraId="6A5F5363" w14:textId="77777777" w:rsidTr="000D2FB8">
        <w:tc>
          <w:tcPr>
            <w:tcW w:w="3632" w:type="dxa"/>
            <w:tcBorders>
              <w:top w:val="nil"/>
              <w:bottom w:val="nil"/>
            </w:tcBorders>
          </w:tcPr>
          <w:p w14:paraId="11307920" w14:textId="77777777" w:rsidR="00E03362" w:rsidRPr="00E03362" w:rsidRDefault="00E03362" w:rsidP="00E03362">
            <w:pPr>
              <w:jc w:val="left"/>
              <w:rPr>
                <w:sz w:val="20"/>
                <w:szCs w:val="20"/>
              </w:rPr>
            </w:pPr>
            <w:r w:rsidRPr="00E03362">
              <w:rPr>
                <w:sz w:val="20"/>
                <w:szCs w:val="20"/>
              </w:rPr>
              <w:t>Hout en houtproducten</w:t>
            </w:r>
          </w:p>
        </w:tc>
        <w:tc>
          <w:tcPr>
            <w:tcW w:w="2002" w:type="dxa"/>
            <w:tcBorders>
              <w:top w:val="nil"/>
              <w:bottom w:val="nil"/>
            </w:tcBorders>
          </w:tcPr>
          <w:p w14:paraId="0BA38124" w14:textId="77777777" w:rsidR="00E03362" w:rsidRPr="00E03362" w:rsidRDefault="00E03362" w:rsidP="00EA6E85">
            <w:pPr>
              <w:pStyle w:val="tabelNummers"/>
            </w:pPr>
            <w:r w:rsidRPr="00E03362">
              <w:t>2,1</w:t>
            </w:r>
          </w:p>
        </w:tc>
        <w:tc>
          <w:tcPr>
            <w:tcW w:w="1764" w:type="dxa"/>
            <w:tcBorders>
              <w:top w:val="nil"/>
              <w:bottom w:val="nil"/>
            </w:tcBorders>
          </w:tcPr>
          <w:p w14:paraId="1A9E049E" w14:textId="77777777" w:rsidR="00E03362" w:rsidRPr="00E03362" w:rsidRDefault="00E03362" w:rsidP="00EA6E85">
            <w:pPr>
              <w:pStyle w:val="tabelNummers"/>
            </w:pPr>
            <w:r w:rsidRPr="00E03362">
              <w:t>0,28</w:t>
            </w:r>
          </w:p>
        </w:tc>
        <w:tc>
          <w:tcPr>
            <w:tcW w:w="1664" w:type="dxa"/>
            <w:tcBorders>
              <w:top w:val="nil"/>
              <w:bottom w:val="nil"/>
            </w:tcBorders>
          </w:tcPr>
          <w:p w14:paraId="3B23E044" w14:textId="77777777" w:rsidR="00E03362" w:rsidRPr="00E03362" w:rsidRDefault="00E03362" w:rsidP="00EA6E85">
            <w:pPr>
              <w:pStyle w:val="tabelNummers"/>
            </w:pPr>
            <w:r w:rsidRPr="00E03362">
              <w:t>131</w:t>
            </w:r>
          </w:p>
        </w:tc>
      </w:tr>
      <w:tr w:rsidR="00E03362" w:rsidRPr="00E03362" w14:paraId="3BFAE999" w14:textId="77777777" w:rsidTr="000D2FB8">
        <w:tc>
          <w:tcPr>
            <w:tcW w:w="3632" w:type="dxa"/>
            <w:tcBorders>
              <w:top w:val="nil"/>
            </w:tcBorders>
          </w:tcPr>
          <w:p w14:paraId="660EF021" w14:textId="77777777" w:rsidR="00E03362" w:rsidRPr="00E03362" w:rsidRDefault="00E03362" w:rsidP="00E03362">
            <w:pPr>
              <w:jc w:val="left"/>
              <w:rPr>
                <w:sz w:val="20"/>
                <w:szCs w:val="20"/>
              </w:rPr>
            </w:pPr>
            <w:r w:rsidRPr="00E03362">
              <w:rPr>
                <w:sz w:val="20"/>
                <w:szCs w:val="20"/>
              </w:rPr>
              <w:t>Overig</w:t>
            </w:r>
          </w:p>
        </w:tc>
        <w:tc>
          <w:tcPr>
            <w:tcW w:w="2002" w:type="dxa"/>
            <w:tcBorders>
              <w:top w:val="nil"/>
            </w:tcBorders>
          </w:tcPr>
          <w:p w14:paraId="661F02CB" w14:textId="77777777" w:rsidR="00E03362" w:rsidRPr="00E03362" w:rsidRDefault="00E03362" w:rsidP="00EA6E85">
            <w:pPr>
              <w:pStyle w:val="tabelNummers"/>
            </w:pPr>
            <w:r w:rsidRPr="00E03362">
              <w:t>5,3</w:t>
            </w:r>
          </w:p>
        </w:tc>
        <w:tc>
          <w:tcPr>
            <w:tcW w:w="1764" w:type="dxa"/>
            <w:tcBorders>
              <w:top w:val="nil"/>
            </w:tcBorders>
          </w:tcPr>
          <w:p w14:paraId="4EBB19A9" w14:textId="77777777" w:rsidR="00E03362" w:rsidRPr="00E03362" w:rsidRDefault="00E03362" w:rsidP="00EA6E85">
            <w:pPr>
              <w:pStyle w:val="tabelNummers"/>
            </w:pPr>
            <w:r w:rsidRPr="00E03362">
              <w:t>0,54</w:t>
            </w:r>
          </w:p>
        </w:tc>
        <w:tc>
          <w:tcPr>
            <w:tcW w:w="1664" w:type="dxa"/>
            <w:tcBorders>
              <w:top w:val="nil"/>
            </w:tcBorders>
          </w:tcPr>
          <w:p w14:paraId="7AD44228" w14:textId="77777777" w:rsidR="00E03362" w:rsidRPr="00E03362" w:rsidRDefault="00E03362" w:rsidP="00EA6E85">
            <w:pPr>
              <w:pStyle w:val="tabelNummers"/>
            </w:pPr>
            <w:r w:rsidRPr="00E03362">
              <w:t>102</w:t>
            </w:r>
          </w:p>
        </w:tc>
      </w:tr>
      <w:tr w:rsidR="00E03362" w:rsidRPr="00E03362" w14:paraId="65193730" w14:textId="77777777" w:rsidTr="000D2FB8">
        <w:tc>
          <w:tcPr>
            <w:tcW w:w="3632" w:type="dxa"/>
          </w:tcPr>
          <w:p w14:paraId="23E0702B" w14:textId="77777777" w:rsidR="00E03362" w:rsidRPr="00E03362" w:rsidRDefault="00E03362" w:rsidP="00EA6E85">
            <w:pPr>
              <w:rPr>
                <w:sz w:val="20"/>
                <w:szCs w:val="20"/>
              </w:rPr>
            </w:pPr>
            <w:r w:rsidRPr="00E03362">
              <w:rPr>
                <w:sz w:val="20"/>
                <w:szCs w:val="20"/>
              </w:rPr>
              <w:t>Totaal</w:t>
            </w:r>
          </w:p>
        </w:tc>
        <w:tc>
          <w:tcPr>
            <w:tcW w:w="2002" w:type="dxa"/>
          </w:tcPr>
          <w:p w14:paraId="743BF670" w14:textId="77777777" w:rsidR="00E03362" w:rsidRPr="00E03362" w:rsidRDefault="00E03362" w:rsidP="00EA6E85">
            <w:pPr>
              <w:pStyle w:val="tabelNummers"/>
            </w:pPr>
            <w:r w:rsidRPr="00E03362">
              <w:t>115,3</w:t>
            </w:r>
          </w:p>
        </w:tc>
        <w:tc>
          <w:tcPr>
            <w:tcW w:w="1764" w:type="dxa"/>
          </w:tcPr>
          <w:p w14:paraId="3B6A1834" w14:textId="77777777" w:rsidR="00E03362" w:rsidRPr="00E03362" w:rsidRDefault="00E03362" w:rsidP="00EA6E85">
            <w:pPr>
              <w:pStyle w:val="tabelNummers"/>
            </w:pPr>
            <w:r w:rsidRPr="00E03362">
              <w:t>12,80</w:t>
            </w:r>
          </w:p>
        </w:tc>
        <w:tc>
          <w:tcPr>
            <w:tcW w:w="1664" w:type="dxa"/>
          </w:tcPr>
          <w:p w14:paraId="702F63EC" w14:textId="77777777" w:rsidR="00E03362" w:rsidRPr="00E03362" w:rsidRDefault="00E03362" w:rsidP="00EA6E85">
            <w:pPr>
              <w:pStyle w:val="tabelNummers"/>
            </w:pPr>
            <w:r w:rsidRPr="00E03362">
              <w:t>111</w:t>
            </w:r>
          </w:p>
        </w:tc>
      </w:tr>
    </w:tbl>
    <w:p w14:paraId="1367205B" w14:textId="77777777" w:rsidR="00E03362" w:rsidRPr="00E03362" w:rsidRDefault="00E03362" w:rsidP="00E03362">
      <w:pPr>
        <w:jc w:val="left"/>
      </w:pPr>
    </w:p>
    <w:p w14:paraId="62047774" w14:textId="5555E400" w:rsidR="00C820C8" w:rsidRDefault="00E03362" w:rsidP="00DE08B1">
      <w:pPr>
        <w:jc w:val="left"/>
      </w:pPr>
      <w:r w:rsidRPr="00E03362">
        <w:rPr>
          <w:i/>
          <w:iCs/>
        </w:rPr>
        <w:t>Tabel 10</w:t>
      </w:r>
      <w:r w:rsidR="00DA39FC">
        <w:rPr>
          <w:i/>
          <w:iCs/>
        </w:rPr>
        <w:t>:</w:t>
      </w:r>
      <w:r w:rsidRPr="00E03362">
        <w:rPr>
          <w:i/>
          <w:iCs/>
        </w:rPr>
        <w:t xml:space="preserve"> Binnenlands vervoer met binnenschepen, 2022.</w:t>
      </w:r>
      <w:r w:rsidRPr="00484224">
        <w:rPr>
          <w:vertAlign w:val="superscript"/>
        </w:rPr>
        <w:endnoteReference w:id="38"/>
      </w:r>
    </w:p>
    <w:p w14:paraId="6BE79E97" w14:textId="77777777" w:rsidR="00E03362" w:rsidRDefault="00E03362" w:rsidP="00DE08B1">
      <w:pPr>
        <w:jc w:val="left"/>
      </w:pPr>
    </w:p>
    <w:p w14:paraId="56A18719" w14:textId="77777777" w:rsidR="00E03362" w:rsidRDefault="00E03362" w:rsidP="00DE08B1">
      <w:pPr>
        <w:jc w:val="left"/>
      </w:pPr>
    </w:p>
    <w:p w14:paraId="36155D1D" w14:textId="4973F8C6" w:rsidR="00142A52" w:rsidRDefault="006A6D18" w:rsidP="00C820C8">
      <w:pPr>
        <w:pStyle w:val="Heading2"/>
      </w:pPr>
      <w:bookmarkStart w:id="28" w:name="_Hlk85280425"/>
      <w:r>
        <w:t>E</w:t>
      </w:r>
      <w:r w:rsidR="00142A52">
        <w:t xml:space="preserve">venredige </w:t>
      </w:r>
      <w:r>
        <w:t>V</w:t>
      </w:r>
      <w:r w:rsidR="00142A52">
        <w:t xml:space="preserve">rachtverdeling </w:t>
      </w:r>
      <w:r w:rsidR="00CC60F3">
        <w:t xml:space="preserve">en overcapaciteit </w:t>
      </w:r>
      <w:r w:rsidR="00142A52">
        <w:t>(1945-1998)</w:t>
      </w:r>
      <w:bookmarkEnd w:id="28"/>
    </w:p>
    <w:p w14:paraId="64D254CF" w14:textId="354E16E6" w:rsidR="004C6F29" w:rsidRDefault="00C733FD" w:rsidP="00DF6F31">
      <w:pPr>
        <w:jc w:val="left"/>
      </w:pPr>
      <w:r>
        <w:br/>
      </w:r>
      <w:r w:rsidR="008B1656" w:rsidRPr="00A02EE5">
        <w:t>Na de oorlog besloot de regering de Evenredige Vrachtverdeling (EV) te handhaven. In 1954 kwam ze met een nieuwe wet, de Wet Goederenvervoer Binnenvaart, die de vervoersverhoudingen opnieuw regelde</w:t>
      </w:r>
      <w:r w:rsidR="008B1656">
        <w:t>,</w:t>
      </w:r>
      <w:r w:rsidR="008B1656" w:rsidRPr="00A02EE5">
        <w:t xml:space="preserve"> maar de EV liet</w:t>
      </w:r>
      <w:r w:rsidR="00E475ED">
        <w:t xml:space="preserve"> voortbestaan</w:t>
      </w:r>
      <w:r w:rsidR="008B1656" w:rsidRPr="00A02EE5">
        <w:t>.</w:t>
      </w:r>
      <w:r w:rsidR="004C6F29">
        <w:t xml:space="preserve"> </w:t>
      </w:r>
      <w:r w:rsidR="004C6F29" w:rsidRPr="00223AE9">
        <w:t xml:space="preserve">Bij </w:t>
      </w:r>
      <w:r w:rsidR="00223AE9">
        <w:t xml:space="preserve">het beursvervoer </w:t>
      </w:r>
      <w:r w:rsidR="004C6F29" w:rsidRPr="00223AE9">
        <w:t>waren veel kleine schippers betrokken, waarvan een aantal voortdurend op de rand van een bestaans</w:t>
      </w:r>
      <w:r w:rsidR="004C6F29" w:rsidRPr="00223AE9">
        <w:softHyphen/>
        <w:t>minimum leefde. Veranderingen in het beursvervoer hadden dus een grote sociale impact en vormden daarom vaak de aanleiding voor schippers</w:t>
      </w:r>
      <w:r w:rsidR="004C6F29" w:rsidRPr="00223AE9">
        <w:softHyphen/>
        <w:t>acties, stakingen en blokkades. Aan de andere kant drongen verladers en reders bij de regering voortdurend aan op opheffing van de EV.</w:t>
      </w:r>
      <w:r w:rsidR="004C6F29" w:rsidRPr="004C6F29">
        <w:rPr>
          <w:rStyle w:val="EndnoteReference"/>
        </w:rPr>
        <w:endnoteReference w:id="39"/>
      </w:r>
      <w:r w:rsidR="004C6F29" w:rsidRPr="004C6F29">
        <w:t xml:space="preserve"> </w:t>
      </w:r>
    </w:p>
    <w:p w14:paraId="26FDEBAA" w14:textId="1920CA48" w:rsidR="008B1656" w:rsidRDefault="008B1656" w:rsidP="00DF6F31">
      <w:pPr>
        <w:ind w:firstLine="708"/>
        <w:jc w:val="left"/>
      </w:pPr>
      <w:r>
        <w:t>Volgens de</w:t>
      </w:r>
      <w:r w:rsidR="00223AE9">
        <w:t xml:space="preserve"> nieuwe </w:t>
      </w:r>
      <w:r>
        <w:t xml:space="preserve">wet was voor </w:t>
      </w:r>
      <w:r w:rsidRPr="00E15B37">
        <w:t xml:space="preserve">ieder schip dat binnenlands vervoer verrichtte een vervoersvergunning </w:t>
      </w:r>
      <w:r w:rsidR="004C6F29">
        <w:t>vereist</w:t>
      </w:r>
      <w:r w:rsidR="00E826CE">
        <w:t>, die hoogstens tien jaar geldig kon zijn, maar</w:t>
      </w:r>
      <w:r w:rsidR="00A45E04">
        <w:t xml:space="preserve"> ook</w:t>
      </w:r>
      <w:r w:rsidR="00E826CE">
        <w:t xml:space="preserve"> in het algemeen belang eerder kon worden herzien of ingetrokken.</w:t>
      </w:r>
      <w:r w:rsidR="004C6F29">
        <w:t xml:space="preserve"> </w:t>
      </w:r>
      <w:r w:rsidRPr="00E15B37">
        <w:t xml:space="preserve">Deze vergunningen werden verleend door een onafhankelijk orgaan, de Commissie Vervoervergunningen (CVV), </w:t>
      </w:r>
      <w:r>
        <w:t xml:space="preserve">bestaande </w:t>
      </w:r>
      <w:r w:rsidRPr="00E15B37">
        <w:t xml:space="preserve">uit vervoersdeskundigen </w:t>
      </w:r>
      <w:r>
        <w:t xml:space="preserve">van </w:t>
      </w:r>
      <w:r w:rsidRPr="00E15B37">
        <w:t>de verschillende politieke partijen.</w:t>
      </w:r>
      <w:r>
        <w:t xml:space="preserve"> </w:t>
      </w:r>
      <w:r w:rsidRPr="00E15B37">
        <w:t>Als hoofdregel gold dat al het binnenlandse vervoer, met uitzondering van de tankvaart, beurtvaart en campagnevaart, via de beurs werd geregeld.</w:t>
      </w:r>
      <w:r>
        <w:t xml:space="preserve"> </w:t>
      </w:r>
      <w:r w:rsidR="009002C7">
        <w:t xml:space="preserve">Daarnaast </w:t>
      </w:r>
      <w:r w:rsidR="003B4996">
        <w:t>n</w:t>
      </w:r>
      <w:r w:rsidR="009002C7">
        <w:t xml:space="preserve">oemde de wet </w:t>
      </w:r>
      <w:r w:rsidR="009002C7" w:rsidRPr="00E15B37">
        <w:t xml:space="preserve">twee uitzonderingen, waarvoor de CVV buiten de beurs om aparte </w:t>
      </w:r>
      <w:r w:rsidR="009002C7">
        <w:t>vervoersv</w:t>
      </w:r>
      <w:r w:rsidR="009002C7" w:rsidRPr="00E15B37">
        <w:t>ergunning</w:t>
      </w:r>
      <w:r w:rsidR="009002C7">
        <w:t>en</w:t>
      </w:r>
      <w:r w:rsidR="009002C7" w:rsidRPr="00E15B37">
        <w:t xml:space="preserve"> kon verlenen: </w:t>
      </w:r>
      <w:r w:rsidR="009C5CB3">
        <w:t>‘</w:t>
      </w:r>
      <w:r w:rsidR="009002C7" w:rsidRPr="00E15B37">
        <w:t>bijzonder vervoer’</w:t>
      </w:r>
      <w:r w:rsidR="008E328A">
        <w:t xml:space="preserve"> en ‘eigen vervoer’</w:t>
      </w:r>
      <w:r w:rsidR="009C5CB3">
        <w:t>.</w:t>
      </w:r>
      <w:r w:rsidR="009C5CB3" w:rsidRPr="009C5CB3">
        <w:t xml:space="preserve"> </w:t>
      </w:r>
      <w:r w:rsidR="008E328A">
        <w:t xml:space="preserve">Het bijzonder vervoer was in de wet op vage wijze omschreven. </w:t>
      </w:r>
      <w:r w:rsidR="008E328A" w:rsidRPr="00E15B37">
        <w:t>Bijzonder vervoer was transport waarbij verplicht gebruik van de beurs ‘een doelmatige vervoersvoorziening meer zou belemmeren dan met het algemeen vervoerbelang strookt’.</w:t>
      </w:r>
      <w:r w:rsidR="008E328A">
        <w:t xml:space="preserve"> Volgens de wet moest het met deze vergunningen verrichte vervoer zich beperken tot een of meer soorten goederen, tot een of enkele verladers, of tot bepaalde delen van het land. </w:t>
      </w:r>
      <w:r w:rsidR="009C5CB3" w:rsidRPr="00A83661">
        <w:t xml:space="preserve">Onder eigen vervoer viel </w:t>
      </w:r>
      <w:r w:rsidR="009C5CB3" w:rsidRPr="00A83661">
        <w:lastRenderedPageBreak/>
        <w:t>volgens de wet niet alleen het vervoer met eigen vaartuigen, maar ook vervoer waarbij verladers langdurig van huurschepen gebruikmaakten.</w:t>
      </w:r>
      <w:r w:rsidR="00F275AC">
        <w:rPr>
          <w:rStyle w:val="EndnoteReference"/>
        </w:rPr>
        <w:endnoteReference w:id="40"/>
      </w:r>
      <w:r w:rsidR="00180420">
        <w:t xml:space="preserve"> </w:t>
      </w:r>
    </w:p>
    <w:p w14:paraId="02BA27F1" w14:textId="1A6A88CB" w:rsidR="000264FA" w:rsidRPr="00121738" w:rsidRDefault="0050438D" w:rsidP="00D0089D">
      <w:pPr>
        <w:jc w:val="left"/>
        <w:rPr>
          <w:rFonts w:eastAsia="Times New Roman" w:cs="Times New Roman"/>
          <w:color w:val="FF0000"/>
          <w:shd w:val="clear" w:color="auto" w:fill="FFFFFF"/>
          <w:lang w:eastAsia="nl-NL"/>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213E3A">
        <w:rPr>
          <w:rFonts w:eastAsia="Times New Roman" w:cs="Times New Roman"/>
          <w:color w:val="FF0000"/>
          <w:shd w:val="clear" w:color="auto" w:fill="FFFFFF"/>
          <w:lang w:eastAsia="nl-NL"/>
        </w:rPr>
        <w:t>18</w:t>
      </w:r>
      <w:r w:rsidR="000D0E28">
        <w:rPr>
          <w:rFonts w:eastAsia="Times New Roman" w:cs="Times New Roman"/>
          <w:color w:val="FF0000"/>
          <w:shd w:val="clear" w:color="auto" w:fill="FFFFFF"/>
          <w:lang w:eastAsia="nl-NL"/>
        </w:rPr>
        <w:t>a</w:t>
      </w:r>
      <w:r w:rsidR="00052875" w:rsidRPr="00E20838">
        <w:rPr>
          <w:rFonts w:eastAsia="Times New Roman" w:cs="Times New Roman"/>
          <w:color w:val="FF0000"/>
          <w:shd w:val="clear" w:color="auto" w:fill="FFFFFF"/>
          <w:lang w:eastAsia="nl-NL"/>
        </w:rPr>
        <w:t>-12_Schippersbeurs_Rotterdam.jpg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27354CF1" w14:textId="2755C0C9" w:rsidR="003B4996" w:rsidRPr="00C733FD" w:rsidRDefault="008E328A" w:rsidP="00B51432">
      <w:pPr>
        <w:ind w:firstLine="708"/>
        <w:jc w:val="left"/>
        <w:rPr>
          <w:rFonts w:cstheme="minorHAnsi"/>
        </w:rPr>
      </w:pPr>
      <w:r>
        <w:t xml:space="preserve">De </w:t>
      </w:r>
      <w:r w:rsidRPr="00E6547A">
        <w:t xml:space="preserve">CVV voerde lange tijd een soepel vergunningenbeleid. Nederlandse schepen kregen vrij </w:t>
      </w:r>
      <w:r w:rsidR="00F001C3" w:rsidRPr="00E6547A">
        <w:t xml:space="preserve">eenvoudig </w:t>
      </w:r>
      <w:r w:rsidRPr="00E6547A">
        <w:t>vergunning om aan het beursvervoer deel te nemen, ook wanneer ze hoofd</w:t>
      </w:r>
      <w:r w:rsidRPr="00E6547A">
        <w:softHyphen/>
        <w:t xml:space="preserve">zakelijk internationaal vervoer verzorgden. Vervoerders van zand en grind kregen gemakkelijk een bijzonder-vervoer-vergunning. In 1978 maakte meer dan </w:t>
      </w:r>
      <w:r w:rsidR="00042178" w:rsidRPr="00E6547A">
        <w:t>twee</w:t>
      </w:r>
      <w:r w:rsidR="00C12272">
        <w:t xml:space="preserve"> </w:t>
      </w:r>
      <w:r w:rsidR="00042178" w:rsidRPr="00E6547A">
        <w:t xml:space="preserve">derde </w:t>
      </w:r>
      <w:r w:rsidRPr="00E6547A">
        <w:t xml:space="preserve">van het zand-grind-vervoer van zo’n vergunning gebruik. Omdat veel schepen die dit vervoer verzorgden ongeschikt waren voor andere lading vormden ze voor het beursvervoer geen ernstige bedreiging. Andere bijzonder-vervoer-vergunningen gaven meer problemen. Zo keurde de CVV in 1961 goed dat de helft van de steenkolen naar de elektrische centrales van Geertruidenberg en Nijmegen buiten de beurs om zou worden vervoerd. Later volgden soortgelijke regelingen voor de elektrische centrale bij Roermond en het chemisch bedrijf van de Staatsmijnen. </w:t>
      </w:r>
      <w:r w:rsidR="00DC6FB5" w:rsidRPr="00E6547A">
        <w:t xml:space="preserve">Anderzijds meenden veel </w:t>
      </w:r>
      <w:r w:rsidR="00564AE9" w:rsidRPr="00E6547A">
        <w:t xml:space="preserve">verladers </w:t>
      </w:r>
      <w:r w:rsidR="004C1660" w:rsidRPr="00E6547A">
        <w:t xml:space="preserve">dat ze hun transport zelf doelmatiger konden organiseren dan via de beurs. Ze </w:t>
      </w:r>
      <w:r w:rsidR="00564AE9" w:rsidRPr="00E6547A">
        <w:t xml:space="preserve">kochten eigen vaartuigen of huurden langdurig schepen in, die ze vervolgens voor eigen vervoer gebruikten. Omdat deze vaartuigen continu konden worden ingezet, </w:t>
      </w:r>
      <w:r w:rsidR="00BC6851" w:rsidRPr="00E6547A">
        <w:t xml:space="preserve">waren </w:t>
      </w:r>
      <w:r w:rsidR="00625D75" w:rsidRPr="00E6547A">
        <w:t xml:space="preserve">ze </w:t>
      </w:r>
      <w:r w:rsidR="00BC6851" w:rsidRPr="00E6547A">
        <w:t>daarmee goedkoper uit dan</w:t>
      </w:r>
      <w:r w:rsidR="00564AE9" w:rsidRPr="00E6547A">
        <w:t xml:space="preserve"> via de EV. </w:t>
      </w:r>
      <w:r w:rsidR="00DC6FB5" w:rsidRPr="00E6547A">
        <w:t xml:space="preserve">Door de uitzonderingsbepalingen en door het CVV-beleid ontstond overcapaciteit van de vloot, terwijl het aandeel van het beursvervoer in verhouding tot het eigen vervoer en het bijzonder vervoer geleidelijk afnam. Veel schippers volgden deze ontwikkeling met argusogen. </w:t>
      </w:r>
      <w:r w:rsidR="00CC60F3" w:rsidRPr="00E6547A">
        <w:t>Tegelijk groeide binnen de overheid het besef dat de EV een ondoelmatig</w:t>
      </w:r>
      <w:r w:rsidR="00CC60F3">
        <w:t xml:space="preserve"> middel was om het binnenvaartvervoer te organiseren.</w:t>
      </w:r>
      <w:r w:rsidR="00FC046C">
        <w:rPr>
          <w:rStyle w:val="EndnoteReference"/>
        </w:rPr>
        <w:endnoteReference w:id="41"/>
      </w:r>
    </w:p>
    <w:p w14:paraId="17DAC454" w14:textId="5BFDEC2D" w:rsidR="00F275AC" w:rsidRDefault="00023D69" w:rsidP="0054133B">
      <w:pPr>
        <w:ind w:firstLine="708"/>
        <w:jc w:val="left"/>
      </w:pPr>
      <w:r>
        <w:t xml:space="preserve">Midden jaren zeventig </w:t>
      </w:r>
      <w:r w:rsidR="002C0E7D">
        <w:t xml:space="preserve">was het aantal schepen met vergunning om aan het beursvervoer deel te nemen ongeveer vier keer groter dan de daadwerkelijk benodigde vloot. In 1978 leverde het </w:t>
      </w:r>
      <w:r w:rsidR="00B56E95">
        <w:t>beurs</w:t>
      </w:r>
      <w:r w:rsidR="002C0E7D">
        <w:t>vervoer een vervoersprestatie van 2,</w:t>
      </w:r>
      <w:r w:rsidR="00B56E95">
        <w:t>8</w:t>
      </w:r>
      <w:r w:rsidR="002C0E7D">
        <w:t xml:space="preserve"> miljard</w:t>
      </w:r>
      <w:r w:rsidR="006631D1">
        <w:t xml:space="preserve"> tonkilometer, het </w:t>
      </w:r>
      <w:r w:rsidR="00B56E95">
        <w:t xml:space="preserve">eigen vervoer kwam op 2,3 </w:t>
      </w:r>
      <w:r w:rsidR="006631D1">
        <w:t xml:space="preserve">miljard en het bijzonder vervoer op 1,2 miljard. </w:t>
      </w:r>
      <w:r w:rsidR="00F9206D">
        <w:t xml:space="preserve">Vooral het eigen vervoer vormde voor het beursvervoer een geduchte concurrent. </w:t>
      </w:r>
      <w:r w:rsidR="00B56E95">
        <w:t xml:space="preserve">Kennelijk </w:t>
      </w:r>
      <w:r w:rsidR="004C1660">
        <w:t xml:space="preserve">vonden </w:t>
      </w:r>
      <w:r w:rsidR="00B56E95">
        <w:t xml:space="preserve">veel verladers </w:t>
      </w:r>
      <w:r w:rsidR="00CC60F3">
        <w:t xml:space="preserve">de organisatie van hun eigen transport doelmatiger dan het beursvervoer. </w:t>
      </w:r>
      <w:r w:rsidR="00F9206D" w:rsidRPr="004A51DA">
        <w:t xml:space="preserve">Toen Nederland in 1973 in een economische </w:t>
      </w:r>
      <w:r w:rsidR="00F9206D">
        <w:t xml:space="preserve">recessie </w:t>
      </w:r>
      <w:r w:rsidR="00F9206D" w:rsidRPr="004A51DA">
        <w:t>belandde, ontstond een explosieve situatie. De vloot vertoonde grote overcapaciteit, veel Rijnschippers zochten hun heil op de beurs, de wachttijden liepen sterk op</w:t>
      </w:r>
      <w:r w:rsidR="003F65C5">
        <w:t xml:space="preserve"> </w:t>
      </w:r>
      <w:r w:rsidR="00926F2C">
        <w:t>en</w:t>
      </w:r>
      <w:r w:rsidR="00926F2C" w:rsidRPr="004A51DA">
        <w:t xml:space="preserve"> </w:t>
      </w:r>
      <w:r w:rsidR="00F9206D" w:rsidRPr="004A51DA">
        <w:t>bij de beursschippers ontstond grote onrust.</w:t>
      </w:r>
      <w:r w:rsidR="00F9206D" w:rsidRPr="004A51DA">
        <w:rPr>
          <w:rStyle w:val="EndnoteReference"/>
        </w:rPr>
        <w:endnoteReference w:id="42"/>
      </w:r>
    </w:p>
    <w:p w14:paraId="3BE8F615" w14:textId="67586384" w:rsidR="00C02320" w:rsidRPr="00483B10" w:rsidRDefault="00E542AF" w:rsidP="0054133B">
      <w:pPr>
        <w:jc w:val="left"/>
        <w:rPr>
          <w:bCs/>
          <w:color w:val="FF0000"/>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213E3A">
        <w:rPr>
          <w:rFonts w:eastAsia="Times New Roman" w:cs="Times New Roman"/>
          <w:color w:val="FF0000"/>
          <w:szCs w:val="24"/>
          <w:lang w:eastAsia="nl-NL"/>
        </w:rPr>
        <w:t>19</w:t>
      </w:r>
      <w:r>
        <w:rPr>
          <w:bCs/>
          <w:color w:val="FF0000"/>
        </w:rPr>
        <w:t>-43_</w:t>
      </w:r>
      <w:r>
        <w:rPr>
          <w:rFonts w:cstheme="minorHAnsi"/>
          <w:color w:val="FF0000"/>
        </w:rPr>
        <w:t>blokkadeMaas.jpg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r w:rsidR="00FE0049">
        <w:br/>
        <w:t xml:space="preserve"> </w:t>
      </w:r>
      <w:r w:rsidR="00FE0049">
        <w:tab/>
      </w:r>
      <w:r w:rsidR="00E475ED">
        <w:t xml:space="preserve">Toen de regering twee jaar later, middenin de economische crisis, met het plan kwam om de EV af te schaffen sloeg de vlam in de pan. </w:t>
      </w:r>
      <w:r w:rsidR="00E475ED" w:rsidRPr="001879CA">
        <w:t>In de schipperswereld ontstonden grote spanningen. De bestuurders van de schippersbonden en een deel van hun leden wilden met deze ontwikkeling meegaan. Veel kleinere schippers – bevreesd dat ze zich op een vrije markt moeilijk konden handhaven – waren mordicus tegen. Boze schippers stichtten een nieuwe bond, de Onafhankelijke Nederlandse Schippersbond (ONS), die een ‘schippersblokkade’ organiseerde, waarmee ze het binnenvaartvervoer in het hele land platlegden. Daarmee begon de grootste schippersactie, die ooit in ons land heeft plaatsgevonden.</w:t>
      </w:r>
      <w:r w:rsidR="00E475ED" w:rsidRPr="007F02F0">
        <w:t xml:space="preserve"> Op de eerste stakingsavond kon heel televisiekijkend Nederland – toen bijna de hele bevolking – de blokkades zien en de commentaren horen. </w:t>
      </w:r>
      <w:r w:rsidR="00E475ED">
        <w:t xml:space="preserve">De schippers </w:t>
      </w:r>
      <w:r w:rsidR="00E475ED" w:rsidRPr="007F02F0">
        <w:t>wonnen onder de bevolking veel sympathie. Een grote meerderheid van de Tweede Kamer wilde zich</w:t>
      </w:r>
      <w:r w:rsidR="008449CE">
        <w:t xml:space="preserve"> bij de publieke opinie</w:t>
      </w:r>
      <w:r w:rsidR="00E475ED" w:rsidRPr="007F02F0">
        <w:t xml:space="preserve"> niet impopulair maken en floot de regering terug. </w:t>
      </w:r>
      <w:r w:rsidR="00CC60F3">
        <w:t xml:space="preserve">Na dit echec waagde geen enkele minister </w:t>
      </w:r>
      <w:r w:rsidR="00CC60F3">
        <w:lastRenderedPageBreak/>
        <w:t xml:space="preserve">zich voorlopig meer aan de opheffing. In plaats daarvan benoemde de regering een Commissie Binnenvaart, bestaande uit vertegenwoordigers van alle partijen, om de regering te adviseren. Omdat de verhoudingen tussen verladers, reders, schippers, schippersbonden en de overheid onwrikbaar vastzaten, kwam ook deze niet met een oplossing. De problemen bleven nog ruim </w:t>
      </w:r>
      <w:r w:rsidR="00146E14">
        <w:t xml:space="preserve">twintig </w:t>
      </w:r>
      <w:r w:rsidR="00CC60F3">
        <w:t>jaar bestaan. Druk vanuit Brussel leidde pas in 1998 tot opheffing van de EV.</w:t>
      </w:r>
      <w:r w:rsidR="00CC60F3">
        <w:rPr>
          <w:rStyle w:val="EndnoteReference"/>
        </w:rPr>
        <w:endnoteReference w:id="43"/>
      </w:r>
    </w:p>
    <w:p w14:paraId="0D08ED6F" w14:textId="690750A2" w:rsidR="000B188B" w:rsidRPr="000B188B" w:rsidRDefault="000B188B" w:rsidP="000B188B">
      <w:pPr>
        <w:rPr>
          <w:color w:val="FF0000"/>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213E3A">
        <w:rPr>
          <w:color w:val="FF0000"/>
        </w:rPr>
        <w:t>20</w:t>
      </w:r>
      <w:r>
        <w:rPr>
          <w:color w:val="FF0000"/>
        </w:rPr>
        <w:t>-13_EV.jpg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43F8D3DC" w14:textId="77777777" w:rsidR="00595F15" w:rsidRDefault="00595F15" w:rsidP="0054133B">
      <w:pPr>
        <w:jc w:val="left"/>
      </w:pPr>
    </w:p>
    <w:p w14:paraId="03D5B731" w14:textId="77777777" w:rsidR="00483B10" w:rsidRDefault="00483B10" w:rsidP="0054133B">
      <w:pPr>
        <w:jc w:val="left"/>
      </w:pPr>
    </w:p>
    <w:p w14:paraId="39F472CD" w14:textId="17294A85" w:rsidR="00460EDD" w:rsidRDefault="00A3315E" w:rsidP="00467FF3">
      <w:pPr>
        <w:pStyle w:val="Heading2"/>
      </w:pPr>
      <w:r w:rsidRPr="00467FF3">
        <w:t>Sloopregelinge</w:t>
      </w:r>
      <w:r w:rsidR="008C0B47" w:rsidRPr="00467FF3">
        <w:t>n</w:t>
      </w:r>
    </w:p>
    <w:p w14:paraId="30D6B203" w14:textId="77777777" w:rsidR="00467FF3" w:rsidRPr="00467FF3" w:rsidRDefault="00467FF3" w:rsidP="00467FF3"/>
    <w:p w14:paraId="24503F9C" w14:textId="00EB8459" w:rsidR="00664371" w:rsidRDefault="00664371" w:rsidP="00DE08B1">
      <w:pPr>
        <w:jc w:val="left"/>
        <w:rPr>
          <w:rFonts w:eastAsia="Calibri" w:cs="Times New Roman"/>
          <w:color w:val="auto"/>
          <w:szCs w:val="24"/>
        </w:rPr>
      </w:pPr>
      <w:r w:rsidRPr="00664371">
        <w:t xml:space="preserve">Vanaf de jaren zestig bleek dat de EV niet goed functioneerde. Kleine, verouderde schepen bleven te lang in de vaart, terwijl de overheid ondanks het vergunningenstelsel niet kon voorkomen dat reders en schippers in gunstige tijden nieuwe of grotere schepen kochten, waardoor bij laagconjunctuur telkens opnieuw een overschot aan scheepsruimte ontstond. Omdat de overheid zich voor het goed functioneren van de vervoersmarkt verantwoordelijk had gemaakt, lag op haar ook de druk om </w:t>
      </w:r>
      <w:r w:rsidR="00A60C82">
        <w:t>hiervoor een oplossing te vinden.</w:t>
      </w:r>
      <w:r w:rsidR="00467FF3" w:rsidRPr="008C0B47">
        <w:rPr>
          <w:rStyle w:val="EndnoteReference"/>
          <w:rFonts w:cs="Times New Roman"/>
          <w:bCs/>
        </w:rPr>
        <w:endnoteReference w:id="44"/>
      </w:r>
      <w:r w:rsidR="00A60C82">
        <w:t xml:space="preserve"> </w:t>
      </w:r>
    </w:p>
    <w:p w14:paraId="055A1A30" w14:textId="0379BB50" w:rsidR="00664371" w:rsidRDefault="00A60C82" w:rsidP="00DE08B1">
      <w:pPr>
        <w:jc w:val="left"/>
        <w:rPr>
          <w:rFonts w:eastAsia="Calibri" w:cs="Times New Roman"/>
          <w:color w:val="auto"/>
          <w:szCs w:val="24"/>
        </w:rPr>
      </w:pPr>
      <w:r>
        <w:rPr>
          <w:rFonts w:eastAsia="Calibri" w:cs="Times New Roman"/>
          <w:color w:val="auto"/>
          <w:szCs w:val="24"/>
        </w:rPr>
        <w:t xml:space="preserve">  </w:t>
      </w:r>
      <w:r w:rsidR="00177F0A">
        <w:rPr>
          <w:rFonts w:eastAsia="Calibri" w:cs="Times New Roman"/>
          <w:color w:val="auto"/>
          <w:szCs w:val="24"/>
        </w:rPr>
        <w:tab/>
      </w:r>
      <w:r>
        <w:rPr>
          <w:rFonts w:eastAsia="Calibri" w:cs="Times New Roman"/>
          <w:color w:val="auto"/>
          <w:szCs w:val="24"/>
        </w:rPr>
        <w:t xml:space="preserve">Als middel daartoe kwam ze tussen 1965 en 1986 voortdurend met nieuwe, steeds uitgebreidere sloopregelingen, die overigens het probleem niet oplosten. </w:t>
      </w:r>
      <w:r w:rsidRPr="00A60C82">
        <w:rPr>
          <w:rFonts w:eastAsia="Calibri" w:cs="Times New Roman"/>
          <w:color w:val="auto"/>
          <w:szCs w:val="24"/>
        </w:rPr>
        <w:t>Immers, de overheid had geen middelen om overcapaciteit in het internationale vervoer tegen te gaan, die telkens opnieuw tot verstoring van de binnenlandse markt leidde.</w:t>
      </w:r>
      <w:r w:rsidR="00A55B80" w:rsidRPr="00A55B80">
        <w:rPr>
          <w:rFonts w:eastAsia="Calibri" w:cs="Times New Roman"/>
          <w:color w:val="auto"/>
          <w:szCs w:val="24"/>
        </w:rPr>
        <w:t xml:space="preserve"> In totaal werd in </w:t>
      </w:r>
      <w:r w:rsidR="00A55B80">
        <w:rPr>
          <w:rFonts w:eastAsia="Calibri" w:cs="Times New Roman"/>
          <w:color w:val="auto"/>
          <w:szCs w:val="24"/>
        </w:rPr>
        <w:t xml:space="preserve">ons land </w:t>
      </w:r>
      <w:r w:rsidR="00A55B80" w:rsidRPr="00A55B80">
        <w:rPr>
          <w:rFonts w:eastAsia="Calibri" w:cs="Times New Roman"/>
          <w:color w:val="auto"/>
          <w:szCs w:val="24"/>
        </w:rPr>
        <w:t xml:space="preserve">tussen 1964 en 1988 </w:t>
      </w:r>
      <w:r w:rsidR="00A55B80">
        <w:rPr>
          <w:rFonts w:eastAsia="Calibri" w:cs="Times New Roman"/>
          <w:color w:val="auto"/>
          <w:szCs w:val="24"/>
        </w:rPr>
        <w:t xml:space="preserve">meer dan </w:t>
      </w:r>
      <w:r w:rsidR="005800BF">
        <w:rPr>
          <w:rFonts w:eastAsia="Calibri" w:cs="Times New Roman"/>
          <w:color w:val="auto"/>
          <w:szCs w:val="24"/>
        </w:rPr>
        <w:t xml:space="preserve">veertig </w:t>
      </w:r>
      <w:r w:rsidR="00A55B80">
        <w:rPr>
          <w:rFonts w:eastAsia="Calibri" w:cs="Times New Roman"/>
          <w:color w:val="auto"/>
          <w:szCs w:val="24"/>
        </w:rPr>
        <w:t xml:space="preserve">procent van het gezamenlijke laadvermogen van de vloot gesloopt. Bij ruim </w:t>
      </w:r>
      <w:r w:rsidR="005800BF">
        <w:rPr>
          <w:rFonts w:eastAsia="Calibri" w:cs="Times New Roman"/>
          <w:color w:val="auto"/>
          <w:szCs w:val="24"/>
        </w:rPr>
        <w:t xml:space="preserve">zestig </w:t>
      </w:r>
      <w:r w:rsidR="00A55B80">
        <w:rPr>
          <w:rFonts w:eastAsia="Calibri" w:cs="Times New Roman"/>
          <w:color w:val="auto"/>
          <w:szCs w:val="24"/>
        </w:rPr>
        <w:t xml:space="preserve">procent daarvan </w:t>
      </w:r>
      <w:r w:rsidR="00A55B80" w:rsidRPr="00A55B80">
        <w:rPr>
          <w:rFonts w:eastAsia="Calibri" w:cs="Times New Roman"/>
          <w:color w:val="auto"/>
          <w:szCs w:val="24"/>
        </w:rPr>
        <w:t>werd gebruik gemaakt van een sloopregeling. Een deel van de kosten werd gedragen door de vervoerders, de rest door de belastingbetaler.</w:t>
      </w:r>
      <w:r w:rsidR="008C0B47">
        <w:rPr>
          <w:rFonts w:eastAsia="Calibri" w:cs="Times New Roman"/>
          <w:color w:val="auto"/>
          <w:szCs w:val="24"/>
        </w:rPr>
        <w:t xml:space="preserve"> In 1989 startte de Europese Unie met Europese sloopregelingen, die overigens </w:t>
      </w:r>
      <w:r w:rsidR="00B93E15">
        <w:rPr>
          <w:rFonts w:eastAsia="Calibri" w:cs="Times New Roman"/>
          <w:color w:val="auto"/>
          <w:szCs w:val="24"/>
        </w:rPr>
        <w:t xml:space="preserve">ook </w:t>
      </w:r>
      <w:r w:rsidR="008C0B47">
        <w:rPr>
          <w:rFonts w:eastAsia="Calibri" w:cs="Times New Roman"/>
          <w:color w:val="auto"/>
          <w:szCs w:val="24"/>
        </w:rPr>
        <w:t xml:space="preserve">niet konden verhinderen dat </w:t>
      </w:r>
      <w:r w:rsidR="008C0B47" w:rsidRPr="008C0B47">
        <w:rPr>
          <w:rFonts w:eastAsia="Calibri" w:cs="Times New Roman"/>
          <w:color w:val="auto"/>
          <w:szCs w:val="24"/>
        </w:rPr>
        <w:t xml:space="preserve">tijdens de </w:t>
      </w:r>
      <w:r w:rsidR="008C0B47">
        <w:rPr>
          <w:rFonts w:eastAsia="Calibri" w:cs="Times New Roman"/>
          <w:color w:val="auto"/>
          <w:szCs w:val="24"/>
        </w:rPr>
        <w:t xml:space="preserve">economische </w:t>
      </w:r>
      <w:r w:rsidR="008C0B47" w:rsidRPr="008C0B47">
        <w:rPr>
          <w:rFonts w:eastAsia="Calibri" w:cs="Times New Roman"/>
          <w:color w:val="auto"/>
          <w:szCs w:val="24"/>
        </w:rPr>
        <w:t xml:space="preserve">crisis van 2008 opnieuw een ernstige </w:t>
      </w:r>
      <w:r w:rsidR="008C0B47">
        <w:rPr>
          <w:rFonts w:eastAsia="Calibri" w:cs="Times New Roman"/>
          <w:color w:val="auto"/>
          <w:szCs w:val="24"/>
        </w:rPr>
        <w:t>scheeps</w:t>
      </w:r>
      <w:r w:rsidR="008C0B47" w:rsidRPr="008C0B47">
        <w:rPr>
          <w:rFonts w:eastAsia="Calibri" w:cs="Times New Roman"/>
          <w:color w:val="auto"/>
          <w:szCs w:val="24"/>
        </w:rPr>
        <w:t>overschot ontstond. Inmiddels is iedere overheidsbemoeienis met de vlootomvang beëindigd.</w:t>
      </w:r>
    </w:p>
    <w:p w14:paraId="5A36AA1B" w14:textId="77777777" w:rsidR="00C43DDA" w:rsidRDefault="00C43DDA" w:rsidP="00DE08B1">
      <w:pPr>
        <w:jc w:val="left"/>
        <w:rPr>
          <w:rFonts w:eastAsia="Calibri" w:cs="Times New Roman"/>
          <w:color w:val="auto"/>
          <w:szCs w:val="24"/>
        </w:rPr>
      </w:pPr>
    </w:p>
    <w:p w14:paraId="2222D3A9" w14:textId="77777777" w:rsidR="004C1037" w:rsidRDefault="004C1037" w:rsidP="00DE08B1">
      <w:pPr>
        <w:jc w:val="left"/>
        <w:rPr>
          <w:rFonts w:eastAsia="Calibri" w:cs="Times New Roman"/>
          <w:color w:val="auto"/>
          <w:szCs w:val="24"/>
        </w:rPr>
      </w:pPr>
    </w:p>
    <w:p w14:paraId="4DB2D666" w14:textId="77777777" w:rsidR="00C43DDA" w:rsidRDefault="00C43DDA" w:rsidP="00C43DDA">
      <w:pPr>
        <w:pStyle w:val="Heading2"/>
      </w:pPr>
      <w:r>
        <w:t>De komende periode</w:t>
      </w:r>
    </w:p>
    <w:p w14:paraId="7B077B14" w14:textId="77777777" w:rsidR="00C43DDA" w:rsidRPr="00C43DDA" w:rsidRDefault="00C43DDA" w:rsidP="00C43DDA"/>
    <w:p w14:paraId="60D7F6B2" w14:textId="5D26F97B" w:rsidR="00C43DDA" w:rsidRPr="004C1037" w:rsidRDefault="00C43DDA" w:rsidP="00D40EE8">
      <w:pPr>
        <w:jc w:val="left"/>
        <w:rPr>
          <w:color w:val="auto"/>
        </w:rPr>
      </w:pPr>
      <w:r w:rsidRPr="004C1037">
        <w:rPr>
          <w:color w:val="auto"/>
        </w:rPr>
        <w:t xml:space="preserve">De komende periode wordt voor de binnenvaart een moeilijke tijd, zowel voor het binnenlandse als het internationale vervoer. Door de energietransitie zal de belading met steenkolen en vloeibare brandstoffen sterk verminderen, terwijl de mestoverschotten in Nederland vrijwel zeker tot een beperking van het veevoer-transport zullen leiden. Daar staat tegenover dat de bestaande krappe vaarwegen in Noord-Frankrijk in 2028 worden vervangen door het </w:t>
      </w:r>
      <w:proofErr w:type="spellStart"/>
      <w:r w:rsidRPr="004C1037">
        <w:rPr>
          <w:color w:val="auto"/>
        </w:rPr>
        <w:t>Canal</w:t>
      </w:r>
      <w:proofErr w:type="spellEnd"/>
      <w:r w:rsidRPr="004C1037">
        <w:rPr>
          <w:color w:val="auto"/>
        </w:rPr>
        <w:t xml:space="preserve"> Seine-Nord Europe, dat voor grote moderne containerschepen en tweebaksduwstellen tot 4</w:t>
      </w:r>
      <w:r w:rsidR="00EC38A5" w:rsidRPr="004C1037">
        <w:rPr>
          <w:color w:val="auto"/>
        </w:rPr>
        <w:t>.</w:t>
      </w:r>
      <w:r w:rsidRPr="004C1037">
        <w:rPr>
          <w:color w:val="auto"/>
        </w:rPr>
        <w:t xml:space="preserve">400 ton toegankelijk wordt. Hierdoor zal het binnenvaartvervoer van containers en massagoederen van en naar Noord-Frankrijk sterk toenemen. Verder zal ook het aandeel van de binnenvaart in het containervervoer in Nederland en met België en Duitsland waarschijnlijk toenemen. Per saldo moet worden verwacht dat het totale binnenvaartvervoer terug zal lopen.  </w:t>
      </w:r>
    </w:p>
    <w:p w14:paraId="495A25DB" w14:textId="77777777" w:rsidR="00C43DDA" w:rsidRDefault="00C43DDA" w:rsidP="00DE08B1">
      <w:pPr>
        <w:jc w:val="left"/>
        <w:rPr>
          <w:rFonts w:eastAsia="Calibri" w:cs="Times New Roman"/>
          <w:color w:val="auto"/>
          <w:szCs w:val="24"/>
        </w:rPr>
      </w:pPr>
    </w:p>
    <w:p w14:paraId="5AFBA6AE" w14:textId="77777777" w:rsidR="00D319B0" w:rsidRDefault="00D319B0" w:rsidP="00DE08B1">
      <w:pPr>
        <w:jc w:val="left"/>
        <w:rPr>
          <w:rFonts w:eastAsia="Calibri" w:cs="Times New Roman"/>
          <w:color w:val="auto"/>
          <w:szCs w:val="24"/>
        </w:rPr>
      </w:pPr>
    </w:p>
    <w:p w14:paraId="499FFC98" w14:textId="0F004951" w:rsidR="003E738B" w:rsidRDefault="00D319B0" w:rsidP="00D319B0">
      <w:pPr>
        <w:pStyle w:val="Heading2"/>
      </w:pPr>
      <w:r>
        <w:t>4 De ondernemingen</w:t>
      </w:r>
    </w:p>
    <w:p w14:paraId="39E26602" w14:textId="77777777" w:rsidR="003E738B" w:rsidRDefault="003E738B" w:rsidP="00287536">
      <w:pPr>
        <w:jc w:val="left"/>
      </w:pPr>
    </w:p>
    <w:p w14:paraId="20052781" w14:textId="37CF4268" w:rsidR="00287536" w:rsidRPr="008D46FD" w:rsidRDefault="001E66EA" w:rsidP="00287536">
      <w:pPr>
        <w:jc w:val="left"/>
        <w:rPr>
          <w:rFonts w:cstheme="minorHAnsi"/>
        </w:rPr>
      </w:pPr>
      <w:r w:rsidRPr="00581E31">
        <w:t xml:space="preserve">De vooroorlogse Nederlandse binnenvaartrederijen kunnen ruwweg in vier groepen worden verdeeld: </w:t>
      </w:r>
      <w:r>
        <w:t>Rijn- en binnenvaart</w:t>
      </w:r>
      <w:r w:rsidRPr="00581E31">
        <w:t>ondernemingen</w:t>
      </w:r>
      <w:r>
        <w:t xml:space="preserve">, beurtvaartondernemingen, sleepvaartbedrijven en ondernemingen voor het personenvervoer. </w:t>
      </w:r>
      <w:r w:rsidRPr="00581E31">
        <w:t>De Rijn- en binnenvaart</w:t>
      </w:r>
      <w:r>
        <w:t xml:space="preserve">ondernemingen waren </w:t>
      </w:r>
      <w:r w:rsidRPr="00581E31">
        <w:t xml:space="preserve">vooral werkzaam op de Rijn en de Duitse kanalen. </w:t>
      </w:r>
      <w:r>
        <w:t xml:space="preserve">Verder </w:t>
      </w:r>
      <w:r w:rsidRPr="00581E31">
        <w:t xml:space="preserve">verzorgden </w:t>
      </w:r>
      <w:r>
        <w:t xml:space="preserve">ze </w:t>
      </w:r>
      <w:r w:rsidRPr="00581E31">
        <w:t>een deel van de relatievaart voor grote binnenlandse verladers als de Staatsmijnen</w:t>
      </w:r>
      <w:r>
        <w:t xml:space="preserve">, terwijl ze ook actief waren in </w:t>
      </w:r>
      <w:r w:rsidRPr="00581E31">
        <w:t xml:space="preserve">het vervoer naar België. </w:t>
      </w:r>
    </w:p>
    <w:p w14:paraId="1B9ADD66" w14:textId="5219E3DD" w:rsidR="001E66EA" w:rsidRDefault="001E66EA" w:rsidP="00DE08B1">
      <w:pPr>
        <w:jc w:val="left"/>
      </w:pPr>
    </w:p>
    <w:p w14:paraId="1F2C51AC" w14:textId="77777777" w:rsidR="001E66EA" w:rsidRDefault="001E66EA" w:rsidP="00DE08B1">
      <w:pPr>
        <w:jc w:val="left"/>
      </w:pPr>
    </w:p>
    <w:p w14:paraId="0245EF22" w14:textId="77777777" w:rsidR="001E66EA" w:rsidRDefault="001E66EA" w:rsidP="00632A45">
      <w:pPr>
        <w:pStyle w:val="Heading2"/>
      </w:pPr>
      <w:r>
        <w:t>Voor de Tweede Wereldoorlog</w:t>
      </w:r>
    </w:p>
    <w:p w14:paraId="2390372C" w14:textId="77777777" w:rsidR="00235294" w:rsidRPr="00235294" w:rsidRDefault="00235294" w:rsidP="00235294"/>
    <w:p w14:paraId="4FF38EF1" w14:textId="1C70B14E" w:rsidR="001E66EA" w:rsidRPr="00581E31" w:rsidRDefault="001E66EA" w:rsidP="00DE08B1">
      <w:pPr>
        <w:jc w:val="left"/>
      </w:pPr>
      <w:r w:rsidRPr="00581E31">
        <w:t xml:space="preserve">In 1935 waren volgens het Rijnschepenregister 61 Nederlandse rederijen met </w:t>
      </w:r>
      <w:r>
        <w:t xml:space="preserve">samen </w:t>
      </w:r>
      <w:r w:rsidRPr="00581E31">
        <w:t>1</w:t>
      </w:r>
      <w:r w:rsidR="00235294">
        <w:t>.</w:t>
      </w:r>
      <w:r w:rsidRPr="00581E31">
        <w:t>213 vaartuigen bij de Rijnvaart betrokken.</w:t>
      </w:r>
      <w:r>
        <w:t xml:space="preserve"> </w:t>
      </w:r>
      <w:r w:rsidRPr="00581E31">
        <w:t xml:space="preserve">De grootste was de Nederlandsche Transport Maatschappij NV (NTM) uit Rotterdam met 267 vaartuigen met een gezamenlijk laadvermogen van ongeveer 420.000 ton, meer dan </w:t>
      </w:r>
      <w:r w:rsidR="00235294">
        <w:t>tien</w:t>
      </w:r>
      <w:r w:rsidR="00235294" w:rsidRPr="00581E31">
        <w:t xml:space="preserve"> </w:t>
      </w:r>
      <w:r w:rsidRPr="00581E31">
        <w:t xml:space="preserve">procent van het </w:t>
      </w:r>
      <w:r>
        <w:t xml:space="preserve">totale </w:t>
      </w:r>
      <w:r w:rsidRPr="00581E31">
        <w:t>laadvermogen van de Nederlandse Rijnvloot.</w:t>
      </w:r>
      <w:r>
        <w:t xml:space="preserve"> Daarnaast waren er zeker vijf andere rederijen, die ieder over meer dan veertig vaartuigen beschikten. De grootste sleepvaartonderneming was de NV Nederlandsche Stoomsleepdienst v/h. van Piet Smit jr. met een vloot van 77 sleepboten.</w:t>
      </w:r>
      <w:r>
        <w:rPr>
          <w:rStyle w:val="EndnoteReference"/>
        </w:rPr>
        <w:endnoteReference w:id="45"/>
      </w:r>
      <w:r>
        <w:t xml:space="preserve"> </w:t>
      </w:r>
      <w:r w:rsidRPr="00581E31">
        <w:t xml:space="preserve">   </w:t>
      </w:r>
    </w:p>
    <w:p w14:paraId="1F0785FE" w14:textId="6DAE83B2" w:rsidR="004B4202" w:rsidRDefault="001E66EA" w:rsidP="008B29E3">
      <w:pPr>
        <w:ind w:firstLine="708"/>
        <w:jc w:val="left"/>
        <w:rPr>
          <w:bCs/>
        </w:rPr>
      </w:pPr>
      <w:r w:rsidRPr="00435E7B">
        <w:rPr>
          <w:bCs/>
        </w:rPr>
        <w:t xml:space="preserve">De beurtvaartrederijen waren kleiner dan de Rijnvaartondernemingen. </w:t>
      </w:r>
      <w:r>
        <w:rPr>
          <w:bCs/>
        </w:rPr>
        <w:t xml:space="preserve">Omstreeks 1935 </w:t>
      </w:r>
      <w:r w:rsidRPr="00435E7B">
        <w:rPr>
          <w:bCs/>
        </w:rPr>
        <w:t xml:space="preserve">beschikten zes van de zeven grootste beurtvaartrederijen samen over ruim </w:t>
      </w:r>
      <w:r w:rsidR="00235294">
        <w:rPr>
          <w:bCs/>
        </w:rPr>
        <w:t>tweehonderd</w:t>
      </w:r>
      <w:r w:rsidR="00235294" w:rsidRPr="00435E7B">
        <w:rPr>
          <w:bCs/>
        </w:rPr>
        <w:t xml:space="preserve"> </w:t>
      </w:r>
      <w:r w:rsidRPr="00435E7B">
        <w:rPr>
          <w:bCs/>
        </w:rPr>
        <w:t xml:space="preserve">vrachtschepen met een gezamenlijk laadvermogen van circa 22.000 ton. De grootste was </w:t>
      </w:r>
      <w:r>
        <w:rPr>
          <w:bCs/>
        </w:rPr>
        <w:t xml:space="preserve">waarschijnlijk </w:t>
      </w:r>
      <w:r w:rsidRPr="00435E7B">
        <w:rPr>
          <w:bCs/>
        </w:rPr>
        <w:t>Re</w:t>
      </w:r>
      <w:r>
        <w:rPr>
          <w:bCs/>
        </w:rPr>
        <w:t>e</w:t>
      </w:r>
      <w:r w:rsidRPr="00435E7B">
        <w:rPr>
          <w:bCs/>
        </w:rPr>
        <w:t xml:space="preserve">derij Van der </w:t>
      </w:r>
      <w:proofErr w:type="spellStart"/>
      <w:r w:rsidRPr="00435E7B">
        <w:rPr>
          <w:bCs/>
        </w:rPr>
        <w:t>Schuyt</w:t>
      </w:r>
      <w:proofErr w:type="spellEnd"/>
      <w:r w:rsidRPr="00435E7B">
        <w:rPr>
          <w:bCs/>
        </w:rPr>
        <w:t xml:space="preserve">, die met 73 vaartuigen door het hele land verbindingen onderhield. </w:t>
      </w:r>
      <w:r>
        <w:rPr>
          <w:bCs/>
        </w:rPr>
        <w:t xml:space="preserve">Verder waren er tenminste zes andere beurtvaartondernemingen, die over een vloot van meer dan </w:t>
      </w:r>
      <w:r w:rsidR="00235294">
        <w:rPr>
          <w:bCs/>
        </w:rPr>
        <w:t xml:space="preserve">twintig </w:t>
      </w:r>
      <w:r>
        <w:rPr>
          <w:bCs/>
        </w:rPr>
        <w:t xml:space="preserve">vaartuigen beschikten. Bovendien </w:t>
      </w:r>
      <w:r w:rsidRPr="00435E7B">
        <w:rPr>
          <w:bCs/>
        </w:rPr>
        <w:t>waren er tal</w:t>
      </w:r>
      <w:r>
        <w:rPr>
          <w:bCs/>
        </w:rPr>
        <w:t>loze</w:t>
      </w:r>
      <w:r w:rsidRPr="00435E7B">
        <w:rPr>
          <w:bCs/>
        </w:rPr>
        <w:t xml:space="preserve"> kleinere </w:t>
      </w:r>
      <w:r>
        <w:rPr>
          <w:bCs/>
        </w:rPr>
        <w:t>beurtvaart</w:t>
      </w:r>
      <w:r w:rsidRPr="00435E7B">
        <w:rPr>
          <w:bCs/>
        </w:rPr>
        <w:t xml:space="preserve">rederijen, die het vervoer tussen de havensteden en hun regio en </w:t>
      </w:r>
      <w:r>
        <w:rPr>
          <w:bCs/>
        </w:rPr>
        <w:t xml:space="preserve">het </w:t>
      </w:r>
      <w:r w:rsidRPr="00435E7B">
        <w:rPr>
          <w:bCs/>
        </w:rPr>
        <w:t>vervoer binnen hun regio verzorgden.</w:t>
      </w:r>
      <w:r>
        <w:rPr>
          <w:bCs/>
        </w:rPr>
        <w:t xml:space="preserve"> Over de stoomvaartpassagiersdiensten is weinig bekend.</w:t>
      </w:r>
      <w:r>
        <w:rPr>
          <w:rStyle w:val="EndnoteReference"/>
          <w:bCs/>
        </w:rPr>
        <w:endnoteReference w:id="46"/>
      </w:r>
      <w:r>
        <w:rPr>
          <w:bCs/>
        </w:rPr>
        <w:t xml:space="preserve">  </w:t>
      </w:r>
    </w:p>
    <w:p w14:paraId="143A04DD" w14:textId="1504C2B2" w:rsidR="004B4202" w:rsidRPr="00755A7F" w:rsidRDefault="004B4202" w:rsidP="004B4202">
      <w:pPr>
        <w:rPr>
          <w:bCs/>
          <w:color w:val="FF0000"/>
        </w:rPr>
      </w:pPr>
      <w:r w:rsidRPr="00C77244">
        <w:rPr>
          <w:rFonts w:ascii="Calibri" w:eastAsia="Times New Roman" w:hAnsi="Calibri" w:cs="Calibri"/>
          <w:color w:val="FF0000"/>
          <w:szCs w:val="24"/>
          <w:shd w:val="clear" w:color="auto" w:fill="FFFFFF"/>
          <w:lang w:eastAsia="nl-NL"/>
        </w:rPr>
        <w:t>@i@</w:t>
      </w:r>
      <w:r w:rsidRPr="00C77244">
        <w:rPr>
          <w:rFonts w:eastAsia="Times New Roman" w:cs="Times New Roman"/>
          <w:color w:val="FF0000"/>
          <w:szCs w:val="24"/>
          <w:lang w:eastAsia="nl-NL"/>
        </w:rPr>
        <w:t>[[[</w:t>
      </w:r>
      <w:r w:rsidR="00213E3A">
        <w:rPr>
          <w:rFonts w:eastAsia="Times New Roman" w:cs="Times New Roman"/>
          <w:color w:val="FF0000"/>
          <w:szCs w:val="24"/>
          <w:lang w:eastAsia="nl-NL"/>
        </w:rPr>
        <w:t>21</w:t>
      </w:r>
      <w:r>
        <w:rPr>
          <w:rFonts w:eastAsia="Times New Roman" w:cs="Times New Roman"/>
          <w:color w:val="FF0000"/>
          <w:szCs w:val="24"/>
          <w:lang w:eastAsia="nl-NL"/>
        </w:rPr>
        <w:t>-</w:t>
      </w:r>
      <w:r w:rsidRPr="00287DB2">
        <w:rPr>
          <w:bCs/>
          <w:color w:val="FF0000"/>
        </w:rPr>
        <w:t>06_Stukgoederen</w:t>
      </w:r>
      <w:r>
        <w:rPr>
          <w:bCs/>
          <w:color w:val="FF0000"/>
        </w:rPr>
        <w:t>_</w:t>
      </w:r>
      <w:r w:rsidRPr="00287DB2">
        <w:rPr>
          <w:bCs/>
          <w:color w:val="FF0000"/>
        </w:rPr>
        <w:t>Utrecht.jpg</w:t>
      </w:r>
      <w:r w:rsidRPr="00C77244">
        <w:rPr>
          <w:rFonts w:cstheme="minorHAnsi"/>
          <w:color w:val="FF0000"/>
        </w:rPr>
        <w:t>]]]</w:t>
      </w:r>
      <w:r w:rsidRPr="00C77244">
        <w:rPr>
          <w:rFonts w:ascii="Calibri" w:eastAsia="Times New Roman" w:hAnsi="Calibri" w:cs="Calibri"/>
          <w:color w:val="FF0000"/>
          <w:szCs w:val="24"/>
          <w:shd w:val="clear" w:color="auto" w:fill="FFFFFF"/>
          <w:lang w:eastAsia="nl-NL"/>
        </w:rPr>
        <w:t xml:space="preserve">@/i@​  </w:t>
      </w:r>
    </w:p>
    <w:p w14:paraId="4A3B2B82" w14:textId="21E71928" w:rsidR="001E66EA" w:rsidRDefault="001E66EA" w:rsidP="003D3311">
      <w:pPr>
        <w:ind w:firstLine="708"/>
        <w:jc w:val="left"/>
        <w:rPr>
          <w:bCs/>
        </w:rPr>
      </w:pPr>
      <w:r>
        <w:rPr>
          <w:bCs/>
        </w:rPr>
        <w:t xml:space="preserve">Tussen </w:t>
      </w:r>
      <w:r w:rsidRPr="00CB67EA">
        <w:rPr>
          <w:bCs/>
        </w:rPr>
        <w:t>1930 en 1936</w:t>
      </w:r>
      <w:r>
        <w:rPr>
          <w:bCs/>
        </w:rPr>
        <w:t xml:space="preserve"> kwamen alle Rijnvaartrederijen in grote moeilijkheden. Ze keerden geen dividend uit en de NTM moest in 1932 de helft van haar schepen opleggen. De grote beurtvaartrederijen hadden aanvankelijk minder grote problemen, omdat ze op een afgescheiden markt opereerden, waarop Rijnvaartondernemingen en particuliere schippers moeilijk konden concurreren. Een rederij als Van der </w:t>
      </w:r>
      <w:proofErr w:type="spellStart"/>
      <w:r>
        <w:rPr>
          <w:bCs/>
        </w:rPr>
        <w:t>Schuyt</w:t>
      </w:r>
      <w:proofErr w:type="spellEnd"/>
      <w:r>
        <w:rPr>
          <w:bCs/>
        </w:rPr>
        <w:t xml:space="preserve"> meldde pas in haar jaarverslagen van 1935 en 1936 dat ze veel concurrentie ondervond van de spoorwegen en het wegvervoer. Over de boekjaren na 1937 wist deze onderneming alweer een mager dividend van </w:t>
      </w:r>
      <w:r w:rsidR="00235294">
        <w:rPr>
          <w:bCs/>
        </w:rPr>
        <w:t xml:space="preserve">twee </w:t>
      </w:r>
      <w:r>
        <w:rPr>
          <w:bCs/>
        </w:rPr>
        <w:t xml:space="preserve">procent uit te keren. Uit de jaarcijfers blijkt ook dat Van der </w:t>
      </w:r>
      <w:proofErr w:type="spellStart"/>
      <w:r>
        <w:rPr>
          <w:bCs/>
        </w:rPr>
        <w:t>Schuyt</w:t>
      </w:r>
      <w:proofErr w:type="spellEnd"/>
      <w:r>
        <w:rPr>
          <w:bCs/>
        </w:rPr>
        <w:t xml:space="preserve"> zijn bedrijfsstructuur tussen de beide wereldoorlogen ingrijpend veranderde. Tussen 1924 en 1938 daalde de boekwaarde van de vloot van 1,63 naar 0,87 miljoen gulden, terwijl daarvoor in de plaats vrachtwagens, autobussen, pakhuizen, steigers, kranen en gebouwen verschenen. Het bedrijf vormde zich dus om van een beurtvaartonderneming tot een gemengd vervoerbedrijf, waarbij </w:t>
      </w:r>
      <w:r>
        <w:rPr>
          <w:bCs/>
        </w:rPr>
        <w:lastRenderedPageBreak/>
        <w:t>de beurtvaart nog wel de hoofdmoot vormde. Bij andere grote beurtvaartrederijen vond een soortgelijk proces plaats.</w:t>
      </w:r>
      <w:r>
        <w:rPr>
          <w:rStyle w:val="EndnoteReference"/>
          <w:bCs/>
        </w:rPr>
        <w:endnoteReference w:id="47"/>
      </w:r>
      <w:r>
        <w:rPr>
          <w:bCs/>
        </w:rPr>
        <w:t xml:space="preserve"> </w:t>
      </w:r>
    </w:p>
    <w:p w14:paraId="5B01030D" w14:textId="77777777" w:rsidR="001E66EA" w:rsidRDefault="001E66EA" w:rsidP="00DE08B1">
      <w:pPr>
        <w:jc w:val="left"/>
        <w:rPr>
          <w:bCs/>
        </w:rPr>
      </w:pPr>
    </w:p>
    <w:p w14:paraId="5B050819" w14:textId="77777777" w:rsidR="009F43F1" w:rsidRDefault="009F43F1" w:rsidP="00DE08B1">
      <w:pPr>
        <w:jc w:val="left"/>
        <w:rPr>
          <w:bCs/>
        </w:rPr>
      </w:pPr>
    </w:p>
    <w:p w14:paraId="50DEE7FB" w14:textId="0EFCB739" w:rsidR="001E66EA" w:rsidRDefault="001E66EA" w:rsidP="00A40724">
      <w:pPr>
        <w:pStyle w:val="Heading2"/>
      </w:pPr>
      <w:r>
        <w:t>Na de Tweede Wereldoorlog</w:t>
      </w:r>
    </w:p>
    <w:p w14:paraId="405B586F" w14:textId="77777777" w:rsidR="009F43F1" w:rsidRPr="009F43F1" w:rsidRDefault="009F43F1" w:rsidP="009F43F1"/>
    <w:p w14:paraId="092656BB" w14:textId="77777777" w:rsidR="006A2B44" w:rsidRDefault="001E66EA" w:rsidP="00AB4BA6">
      <w:pPr>
        <w:jc w:val="left"/>
        <w:rPr>
          <w:rFonts w:ascii="Calibri" w:eastAsia="Times New Roman" w:hAnsi="Calibri" w:cs="Calibri"/>
          <w:color w:val="FF0000"/>
          <w:szCs w:val="24"/>
          <w:shd w:val="clear" w:color="auto" w:fill="FFFFFF"/>
          <w:lang w:eastAsia="nl-NL"/>
        </w:rPr>
      </w:pPr>
      <w:r>
        <w:rPr>
          <w:bCs/>
        </w:rPr>
        <w:t xml:space="preserve">Vanaf 1950 </w:t>
      </w:r>
      <w:r w:rsidRPr="0006681E">
        <w:rPr>
          <w:bCs/>
        </w:rPr>
        <w:t xml:space="preserve">nam het aandeel van de </w:t>
      </w:r>
      <w:r>
        <w:rPr>
          <w:bCs/>
        </w:rPr>
        <w:t xml:space="preserve">rederijen </w:t>
      </w:r>
      <w:r w:rsidRPr="0006681E">
        <w:rPr>
          <w:bCs/>
        </w:rPr>
        <w:t xml:space="preserve">in de </w:t>
      </w:r>
      <w:r>
        <w:rPr>
          <w:bCs/>
        </w:rPr>
        <w:t xml:space="preserve">Nederlandse </w:t>
      </w:r>
      <w:r w:rsidRPr="0006681E">
        <w:rPr>
          <w:bCs/>
        </w:rPr>
        <w:t xml:space="preserve">vloot geleidelijk </w:t>
      </w:r>
      <w:r>
        <w:rPr>
          <w:bCs/>
        </w:rPr>
        <w:t>af</w:t>
      </w:r>
      <w:r w:rsidRPr="0006681E">
        <w:rPr>
          <w:bCs/>
        </w:rPr>
        <w:t xml:space="preserve">. In 1950 bezaten </w:t>
      </w:r>
      <w:r>
        <w:rPr>
          <w:bCs/>
        </w:rPr>
        <w:t xml:space="preserve">de rederijen </w:t>
      </w:r>
      <w:r w:rsidRPr="0006681E">
        <w:rPr>
          <w:bCs/>
        </w:rPr>
        <w:t xml:space="preserve">ongeveer </w:t>
      </w:r>
      <w:r w:rsidR="00A40724">
        <w:rPr>
          <w:bCs/>
        </w:rPr>
        <w:t>veertig</w:t>
      </w:r>
      <w:r>
        <w:rPr>
          <w:bCs/>
        </w:rPr>
        <w:t xml:space="preserve"> procent </w:t>
      </w:r>
      <w:r w:rsidRPr="0006681E">
        <w:rPr>
          <w:bCs/>
        </w:rPr>
        <w:t xml:space="preserve">van het laadvermogen van de geregistreerde vloot, twintig jaar later was hun aandeel </w:t>
      </w:r>
      <w:r>
        <w:rPr>
          <w:bCs/>
        </w:rPr>
        <w:t>terug</w:t>
      </w:r>
      <w:r w:rsidRPr="0006681E">
        <w:rPr>
          <w:bCs/>
        </w:rPr>
        <w:t xml:space="preserve">gelopen naar </w:t>
      </w:r>
      <w:r>
        <w:rPr>
          <w:bCs/>
        </w:rPr>
        <w:t xml:space="preserve">een derde </w:t>
      </w:r>
      <w:r w:rsidRPr="0006681E">
        <w:rPr>
          <w:bCs/>
        </w:rPr>
        <w:t xml:space="preserve">van het laadvermogen van de actieve vloot en in 1998 naar </w:t>
      </w:r>
      <w:r>
        <w:rPr>
          <w:bCs/>
        </w:rPr>
        <w:t>22 procent.</w:t>
      </w:r>
      <w:r w:rsidRPr="0006681E">
        <w:rPr>
          <w:bCs/>
        </w:rPr>
        <w:t xml:space="preserve"> </w:t>
      </w:r>
      <w:r>
        <w:rPr>
          <w:bCs/>
        </w:rPr>
        <w:t xml:space="preserve">Voor latere jaren zijn geen cijfers bekend, maar de tendens was dat rederijen, bevrachtingskantoren en containerterminals zich steeds meer beperkten tot een regisseursrol. </w:t>
      </w:r>
      <w:r w:rsidRPr="0006681E">
        <w:rPr>
          <w:bCs/>
        </w:rPr>
        <w:t>Zo maakte een grote containervervoerder al</w:t>
      </w:r>
      <w:r w:rsidRPr="00A40724">
        <w:rPr>
          <w:bCs/>
        </w:rPr>
        <w:t xml:space="preserve">s </w:t>
      </w:r>
      <w:proofErr w:type="spellStart"/>
      <w:r w:rsidRPr="00A40724">
        <w:rPr>
          <w:bCs/>
        </w:rPr>
        <w:t>Rhinecontainer</w:t>
      </w:r>
      <w:proofErr w:type="spellEnd"/>
      <w:r w:rsidRPr="0006681E">
        <w:rPr>
          <w:bCs/>
        </w:rPr>
        <w:t xml:space="preserve"> in 2012 uitsluitend van ingehuurde schepen gebruik, terwijl een andere grote containervervoerder, Danser Container Line, in 2012 over </w:t>
      </w:r>
      <w:r w:rsidR="00180931">
        <w:rPr>
          <w:bCs/>
        </w:rPr>
        <w:t>tien</w:t>
      </w:r>
      <w:r w:rsidR="00180931" w:rsidRPr="0006681E">
        <w:rPr>
          <w:bCs/>
        </w:rPr>
        <w:t xml:space="preserve"> </w:t>
      </w:r>
      <w:r w:rsidRPr="0006681E">
        <w:rPr>
          <w:bCs/>
        </w:rPr>
        <w:t xml:space="preserve">eigen schepen en </w:t>
      </w:r>
      <w:r w:rsidR="00180931">
        <w:rPr>
          <w:bCs/>
        </w:rPr>
        <w:t>vijftig</w:t>
      </w:r>
      <w:r w:rsidRPr="0006681E">
        <w:rPr>
          <w:bCs/>
        </w:rPr>
        <w:t xml:space="preserve"> ingehuurde vaartuigen beschikte.</w:t>
      </w:r>
      <w:r w:rsidR="00A40724" w:rsidRPr="008C0B47">
        <w:rPr>
          <w:rStyle w:val="EndnoteReference"/>
          <w:rFonts w:cs="Times New Roman"/>
          <w:bCs/>
        </w:rPr>
        <w:endnoteReference w:id="48"/>
      </w:r>
    </w:p>
    <w:p w14:paraId="3911F2C2" w14:textId="33381264" w:rsidR="00F03600" w:rsidRDefault="001E66EA" w:rsidP="006A2B44">
      <w:pPr>
        <w:ind w:firstLine="708"/>
        <w:jc w:val="left"/>
        <w:rPr>
          <w:bCs/>
        </w:rPr>
      </w:pPr>
      <w:r>
        <w:rPr>
          <w:bCs/>
        </w:rPr>
        <w:t>Het omschakelingsproces begon in de droge ladingvaart met de opkomst van de duwvaart en de motorschepen. Na 1960 schakelden de grote rederijen in het erts- en steenkolenvervoer massaal op de duwvaart over, omdat dit een aanzienlijke besparing op hun transportkosten opleverde.</w:t>
      </w:r>
      <w:r w:rsidRPr="00EA0981">
        <w:rPr>
          <w:bCs/>
        </w:rPr>
        <w:t xml:space="preserve"> </w:t>
      </w:r>
      <w:r>
        <w:rPr>
          <w:bCs/>
        </w:rPr>
        <w:t>Vanwege de hoge investeringskosten konden alleen de grootste ondernemingen deze overstap maken. Bovendien moesten ze langdurig kunnen rekenen op omvangrijke goederenstromen naar vaste bestemmingen aan een grote vaarweg. Hun overblijvende sleepschepen lieten ze slopen, of verkochten ze aan particuliere schippers. Kleine rederijen en particuliere schippers misten voor een dergelijke omschakeling het kapitaal, de expertise en de goede contacten met verladers.</w:t>
      </w:r>
      <w:r w:rsidRPr="00EA0981">
        <w:rPr>
          <w:bCs/>
        </w:rPr>
        <w:t xml:space="preserve"> </w:t>
      </w:r>
      <w:r>
        <w:rPr>
          <w:bCs/>
        </w:rPr>
        <w:t xml:space="preserve">Aangelokt door een gunstige markt investeerden zij vooral in nieuwe motorschepen, de aankoop van een groter schip, de ombouw van een sleepschip tot motorschip of de verlenging van hun bestaande vaartuig. </w:t>
      </w:r>
      <w:r w:rsidRPr="00306D6C">
        <w:rPr>
          <w:bCs/>
        </w:rPr>
        <w:t>Door de omvangrijke nieuwbouw van duw</w:t>
      </w:r>
      <w:r>
        <w:rPr>
          <w:bCs/>
        </w:rPr>
        <w:t xml:space="preserve">eenheden </w:t>
      </w:r>
      <w:r w:rsidRPr="00306D6C">
        <w:rPr>
          <w:bCs/>
        </w:rPr>
        <w:t>en motorschepen ontstond aan het eind van de jaren zestig in de droge ladingvaart een langdurig overschot aan motor- en sleepschepen.</w:t>
      </w:r>
      <w:r w:rsidRPr="00AC5FDE">
        <w:rPr>
          <w:b/>
        </w:rPr>
        <w:t xml:space="preserve"> </w:t>
      </w:r>
      <w:r>
        <w:rPr>
          <w:bCs/>
        </w:rPr>
        <w:t xml:space="preserve">Dit leidde tot een voortdurende druk op de vrachtprijzen en maakte het scheepvaartbedrijf weinig winstgevend. Vandaar dat de rederijen en bevrachtingskantoren zich steeds meer beperkten tot een regisseursrol, die vaste opbrengsten garandeerde, terwijl ze de riskante exploitatie van de vaartuigen overlieten aan particuliere schippers.   </w:t>
      </w:r>
      <w:r w:rsidRPr="00306D6C">
        <w:rPr>
          <w:bCs/>
        </w:rPr>
        <w:t xml:space="preserve">    </w:t>
      </w:r>
    </w:p>
    <w:p w14:paraId="4F870E50" w14:textId="28E24C16" w:rsidR="00F03600" w:rsidRDefault="00576F11" w:rsidP="00AB4BA6">
      <w:pPr>
        <w:jc w:val="left"/>
        <w:rPr>
          <w:rFonts w:ascii="Calibri" w:eastAsia="Times New Roman" w:hAnsi="Calibri" w:cs="Calibri"/>
          <w:color w:val="FF0000"/>
          <w:szCs w:val="24"/>
          <w:shd w:val="clear" w:color="auto" w:fill="FFFFFF"/>
          <w:lang w:eastAsia="nl-NL"/>
        </w:rPr>
      </w:pPr>
      <w:r w:rsidRPr="00701060">
        <w:rPr>
          <w:rFonts w:ascii="Calibri" w:eastAsia="Times New Roman" w:hAnsi="Calibri" w:cs="Calibri"/>
          <w:color w:val="FF0000"/>
          <w:szCs w:val="24"/>
          <w:shd w:val="clear" w:color="auto" w:fill="FFFFFF"/>
          <w:lang w:eastAsia="nl-NL"/>
        </w:rPr>
        <w:t>@i@</w:t>
      </w:r>
      <w:r w:rsidRPr="00701060">
        <w:rPr>
          <w:rFonts w:eastAsia="Times New Roman" w:cs="Times New Roman"/>
          <w:color w:val="FF0000"/>
          <w:szCs w:val="24"/>
          <w:lang w:eastAsia="nl-NL"/>
        </w:rPr>
        <w:t>[[[</w:t>
      </w:r>
      <w:bookmarkStart w:id="29" w:name="_Hlk167379615"/>
      <w:r w:rsidR="003E4F74">
        <w:rPr>
          <w:rFonts w:eastAsia="Times New Roman" w:cs="Times New Roman"/>
          <w:color w:val="FF0000"/>
          <w:szCs w:val="24"/>
          <w:lang w:eastAsia="nl-NL"/>
        </w:rPr>
        <w:t>22</w:t>
      </w:r>
      <w:r w:rsidRPr="00500ECA">
        <w:rPr>
          <w:rFonts w:eastAsia="Times New Roman" w:cs="Times New Roman"/>
          <w:color w:val="FF0000"/>
          <w:szCs w:val="24"/>
          <w:lang w:eastAsia="nl-NL"/>
        </w:rPr>
        <w:t>-40b</w:t>
      </w:r>
      <w:r w:rsidR="00A775AF">
        <w:rPr>
          <w:rFonts w:eastAsia="Times New Roman" w:cs="Times New Roman"/>
          <w:color w:val="FF0000"/>
          <w:szCs w:val="24"/>
          <w:lang w:eastAsia="nl-NL"/>
        </w:rPr>
        <w:t>2</w:t>
      </w:r>
      <w:r w:rsidRPr="00500ECA">
        <w:rPr>
          <w:rFonts w:eastAsia="Times New Roman" w:cs="Times New Roman"/>
          <w:color w:val="FF0000"/>
          <w:szCs w:val="24"/>
          <w:lang w:eastAsia="nl-NL"/>
        </w:rPr>
        <w:t>_Cornelia.jpg</w:t>
      </w:r>
      <w:bookmarkEnd w:id="29"/>
      <w:r w:rsidRPr="00701060">
        <w:rPr>
          <w:rFonts w:cstheme="minorHAnsi"/>
          <w:color w:val="FF0000"/>
        </w:rPr>
        <w:t>]]]</w:t>
      </w:r>
      <w:r w:rsidRPr="00701060">
        <w:rPr>
          <w:rFonts w:ascii="Calibri" w:eastAsia="Times New Roman" w:hAnsi="Calibri" w:cs="Calibri"/>
          <w:color w:val="FF0000"/>
          <w:szCs w:val="24"/>
          <w:shd w:val="clear" w:color="auto" w:fill="FFFFFF"/>
          <w:lang w:eastAsia="nl-NL"/>
        </w:rPr>
        <w:t>@/i@​</w:t>
      </w:r>
    </w:p>
    <w:p w14:paraId="32861A41" w14:textId="59830B08" w:rsidR="000908A7" w:rsidRPr="000908A7" w:rsidRDefault="000908A7" w:rsidP="00AB4BA6">
      <w:pPr>
        <w:jc w:val="left"/>
        <w:rPr>
          <w:rFonts w:cstheme="minorHAnsi"/>
          <w:color w:val="FF0000"/>
        </w:rPr>
      </w:pPr>
      <w:r w:rsidRPr="00701060">
        <w:rPr>
          <w:rFonts w:ascii="Calibri" w:eastAsia="Times New Roman" w:hAnsi="Calibri" w:cs="Calibri"/>
          <w:color w:val="FF0000"/>
          <w:szCs w:val="24"/>
          <w:shd w:val="clear" w:color="auto" w:fill="FFFFFF"/>
          <w:lang w:eastAsia="nl-NL"/>
        </w:rPr>
        <w:t>@i@</w:t>
      </w:r>
      <w:r w:rsidRPr="00701060">
        <w:rPr>
          <w:rFonts w:eastAsia="Times New Roman" w:cs="Times New Roman"/>
          <w:color w:val="FF0000"/>
          <w:szCs w:val="24"/>
          <w:lang w:eastAsia="nl-NL"/>
        </w:rPr>
        <w:t>[[[</w:t>
      </w:r>
      <w:r>
        <w:rPr>
          <w:color w:val="FF0000"/>
        </w:rPr>
        <w:t>22a-</w:t>
      </w:r>
      <w:r w:rsidRPr="00E575B2">
        <w:rPr>
          <w:color w:val="FF0000"/>
        </w:rPr>
        <w:t>29a_</w:t>
      </w:r>
      <w:r>
        <w:rPr>
          <w:color w:val="FF0000"/>
        </w:rPr>
        <w:t>O</w:t>
      </w:r>
      <w:r w:rsidRPr="00E575B2">
        <w:rPr>
          <w:color w:val="FF0000"/>
        </w:rPr>
        <w:t>ploopmanoeuvre.jpg</w:t>
      </w:r>
      <w:r w:rsidRPr="00701060">
        <w:rPr>
          <w:rFonts w:cstheme="minorHAnsi"/>
          <w:color w:val="FF0000"/>
        </w:rPr>
        <w:t>]]]</w:t>
      </w:r>
      <w:r w:rsidRPr="00701060">
        <w:rPr>
          <w:rFonts w:ascii="Calibri" w:eastAsia="Times New Roman" w:hAnsi="Calibri" w:cs="Calibri"/>
          <w:color w:val="FF0000"/>
          <w:szCs w:val="24"/>
          <w:shd w:val="clear" w:color="auto" w:fill="FFFFFF"/>
          <w:lang w:eastAsia="nl-NL"/>
        </w:rPr>
        <w:t>@/i@​</w:t>
      </w:r>
    </w:p>
    <w:p w14:paraId="1E96A961" w14:textId="009AD918" w:rsidR="001E66EA" w:rsidRDefault="001E66EA" w:rsidP="00F03600">
      <w:pPr>
        <w:ind w:firstLine="708"/>
        <w:jc w:val="left"/>
        <w:rPr>
          <w:bCs/>
        </w:rPr>
      </w:pPr>
      <w:r>
        <w:rPr>
          <w:bCs/>
        </w:rPr>
        <w:t xml:space="preserve">Daarnaast waren er nog andere factoren, waardoor particuliere schippers zich op een weinig florissante markt beter konden handhaven dan rederijen. Ten eerste was er de schippersvrouw. Later zal blijken dat de Rijnvaartreglementen pas vanaf 1948 toestonden dat schippersvrouwen deel uitmaakten van de voorgeschreven bemanning. </w:t>
      </w:r>
      <w:r w:rsidRPr="009213C2">
        <w:rPr>
          <w:rFonts w:eastAsia="Calibri" w:cs="Times New Roman"/>
          <w:color w:val="auto"/>
          <w:szCs w:val="24"/>
        </w:rPr>
        <w:t>Daar</w:t>
      </w:r>
      <w:r>
        <w:rPr>
          <w:rFonts w:eastAsia="Calibri" w:cs="Times New Roman"/>
          <w:color w:val="auto"/>
          <w:szCs w:val="24"/>
        </w:rPr>
        <w:t xml:space="preserve">na </w:t>
      </w:r>
      <w:r w:rsidRPr="009213C2">
        <w:rPr>
          <w:rFonts w:eastAsia="Calibri" w:cs="Times New Roman"/>
          <w:color w:val="auto"/>
          <w:szCs w:val="24"/>
        </w:rPr>
        <w:t xml:space="preserve">kon de schippersvrouw de taak van een matroos overnemen, waardoor diens loon </w:t>
      </w:r>
      <w:r>
        <w:rPr>
          <w:rFonts w:eastAsia="Calibri" w:cs="Times New Roman"/>
          <w:color w:val="auto"/>
          <w:szCs w:val="24"/>
        </w:rPr>
        <w:t xml:space="preserve">werd uitgespaard. </w:t>
      </w:r>
      <w:r w:rsidRPr="009213C2">
        <w:rPr>
          <w:rFonts w:eastAsia="Calibri" w:cs="Times New Roman"/>
          <w:color w:val="auto"/>
          <w:szCs w:val="24"/>
        </w:rPr>
        <w:t xml:space="preserve">Ten tweede bespaarde het schippersgezin zich door het samenwonen aan boord de kosten van een </w:t>
      </w:r>
      <w:r>
        <w:rPr>
          <w:rFonts w:eastAsia="Calibri" w:cs="Times New Roman"/>
          <w:color w:val="auto"/>
          <w:szCs w:val="24"/>
        </w:rPr>
        <w:t>wal</w:t>
      </w:r>
      <w:r w:rsidRPr="009213C2">
        <w:rPr>
          <w:rFonts w:eastAsia="Calibri" w:cs="Times New Roman"/>
          <w:color w:val="auto"/>
          <w:szCs w:val="24"/>
        </w:rPr>
        <w:t xml:space="preserve">woning, terwijl een medewerker van een rederij die wél moest betalen. Ten derde voerde de schipper/eigenaar vaak zelfstandig onderhouds- en reparatiewerkzaamheden uit, die een reder door een dure walorganisatie </w:t>
      </w:r>
      <w:r>
        <w:rPr>
          <w:rFonts w:eastAsia="Calibri" w:cs="Times New Roman"/>
          <w:color w:val="auto"/>
          <w:szCs w:val="24"/>
        </w:rPr>
        <w:t>liet v</w:t>
      </w:r>
      <w:r w:rsidRPr="009213C2">
        <w:rPr>
          <w:rFonts w:eastAsia="Calibri" w:cs="Times New Roman"/>
          <w:color w:val="auto"/>
          <w:szCs w:val="24"/>
        </w:rPr>
        <w:t>erricht</w:t>
      </w:r>
      <w:r>
        <w:rPr>
          <w:rFonts w:eastAsia="Calibri" w:cs="Times New Roman"/>
          <w:color w:val="auto"/>
          <w:szCs w:val="24"/>
        </w:rPr>
        <w:t>en</w:t>
      </w:r>
      <w:r w:rsidRPr="009213C2">
        <w:rPr>
          <w:rFonts w:eastAsia="Calibri" w:cs="Times New Roman"/>
          <w:color w:val="auto"/>
          <w:szCs w:val="24"/>
        </w:rPr>
        <w:t xml:space="preserve">. Ten vierde konden schippersgezinnen </w:t>
      </w:r>
      <w:r w:rsidRPr="009213C2">
        <w:rPr>
          <w:rFonts w:eastAsia="Calibri" w:cs="Times New Roman"/>
          <w:color w:val="auto"/>
          <w:szCs w:val="24"/>
        </w:rPr>
        <w:lastRenderedPageBreak/>
        <w:t>in slechte tijden langdurig met een laag inkomen volstaan, terwijl rederijen hun bemanningen tevoren vastgestelde lonen en eventuele overuren moe</w:t>
      </w:r>
      <w:r>
        <w:rPr>
          <w:rFonts w:eastAsia="Calibri" w:cs="Times New Roman"/>
          <w:color w:val="auto"/>
          <w:szCs w:val="24"/>
        </w:rPr>
        <w:t>s</w:t>
      </w:r>
      <w:r w:rsidRPr="009213C2">
        <w:rPr>
          <w:rFonts w:eastAsia="Calibri" w:cs="Times New Roman"/>
          <w:color w:val="auto"/>
          <w:szCs w:val="24"/>
        </w:rPr>
        <w:t xml:space="preserve">ten betalen. En tenslotte konden schippersgezinnen in slechte tijden minder op hun vaartuig afschrijven, terwijl de kapitaalverschaffers van de rederijen een gezonde afschrijving en een redelijk dividend verwachtten. </w:t>
      </w:r>
      <w:r>
        <w:rPr>
          <w:bCs/>
        </w:rPr>
        <w:t xml:space="preserve"> </w:t>
      </w:r>
    </w:p>
    <w:p w14:paraId="446353D8" w14:textId="10755594" w:rsidR="0096501F" w:rsidRPr="0096501F" w:rsidRDefault="00DD5F24" w:rsidP="00C43E6E">
      <w:pPr>
        <w:jc w:val="left"/>
        <w:rPr>
          <w:bCs/>
          <w:color w:val="FF0000"/>
        </w:rPr>
      </w:pPr>
      <w:r w:rsidRPr="00701060">
        <w:rPr>
          <w:rFonts w:ascii="Calibri" w:eastAsia="Times New Roman" w:hAnsi="Calibri" w:cs="Calibri"/>
          <w:color w:val="FF0000"/>
          <w:szCs w:val="24"/>
          <w:shd w:val="clear" w:color="auto" w:fill="FFFFFF"/>
          <w:lang w:eastAsia="nl-NL"/>
        </w:rPr>
        <w:t>@i@</w:t>
      </w:r>
      <w:r>
        <w:rPr>
          <w:bCs/>
          <w:color w:val="FF0000"/>
        </w:rPr>
        <w:t>[[</w:t>
      </w:r>
      <w:r w:rsidR="0096501F" w:rsidRPr="0096501F">
        <w:rPr>
          <w:bCs/>
          <w:color w:val="FF0000"/>
        </w:rPr>
        <w:t>[</w:t>
      </w:r>
      <w:r w:rsidR="00F40A03">
        <w:rPr>
          <w:bCs/>
          <w:color w:val="FF0000"/>
        </w:rPr>
        <w:t>23</w:t>
      </w:r>
      <w:r w:rsidR="00237F22">
        <w:rPr>
          <w:bCs/>
          <w:color w:val="FF0000"/>
        </w:rPr>
        <w:t>-</w:t>
      </w:r>
      <w:r w:rsidR="00474273">
        <w:rPr>
          <w:bCs/>
          <w:color w:val="FF0000"/>
        </w:rPr>
        <w:t>30</w:t>
      </w:r>
      <w:r w:rsidR="0055635D">
        <w:rPr>
          <w:bCs/>
          <w:color w:val="FF0000"/>
        </w:rPr>
        <w:t>a</w:t>
      </w:r>
      <w:r w:rsidR="00474273">
        <w:rPr>
          <w:bCs/>
          <w:color w:val="FF0000"/>
        </w:rPr>
        <w:t>a_</w:t>
      </w:r>
      <w:r w:rsidR="0096501F" w:rsidRPr="0096501F">
        <w:rPr>
          <w:bCs/>
          <w:color w:val="FF0000"/>
        </w:rPr>
        <w:t>getuigschrift</w:t>
      </w:r>
      <w:r w:rsidR="002D60EF">
        <w:rPr>
          <w:bCs/>
          <w:color w:val="FF0000"/>
        </w:rPr>
        <w:t>.jpg</w:t>
      </w:r>
      <w:r w:rsidR="001F0514" w:rsidRPr="00701060">
        <w:rPr>
          <w:rFonts w:cstheme="minorHAnsi"/>
          <w:color w:val="FF0000"/>
        </w:rPr>
        <w:t>]]]</w:t>
      </w:r>
      <w:r w:rsidR="001F0514" w:rsidRPr="00701060">
        <w:rPr>
          <w:rFonts w:ascii="Calibri" w:eastAsia="Times New Roman" w:hAnsi="Calibri" w:cs="Calibri"/>
          <w:color w:val="FF0000"/>
          <w:szCs w:val="24"/>
          <w:shd w:val="clear" w:color="auto" w:fill="FFFFFF"/>
          <w:lang w:eastAsia="nl-NL"/>
        </w:rPr>
        <w:t>@/i@​</w:t>
      </w:r>
    </w:p>
    <w:p w14:paraId="14ECAA09" w14:textId="77777777" w:rsidR="001E66EA" w:rsidRDefault="001E66EA" w:rsidP="0077557E">
      <w:pPr>
        <w:ind w:firstLine="708"/>
        <w:jc w:val="left"/>
        <w:rPr>
          <w:bCs/>
        </w:rPr>
      </w:pPr>
      <w:r>
        <w:rPr>
          <w:bCs/>
        </w:rPr>
        <w:t xml:space="preserve">Op den duur verschenen particuliere schippers, in opdracht van een rederij of een bevrachtingskantoor, ook in de duwvaart, de tankvaart en het containervervoer. Op deze wijze verdwenen tussen 1960 en 2000 alle grote, in het vervoer van droge lading gespecialiseerde, rederijen. Van de grote duwvaartrederijen bleef alleen de rederij Veerhaven over, die thans over 7 duwboten, 1 havenduwboot en 70 duwbakken beschikt en 170 personeelsleden telt. Na 1995 verdwenen ook de grote tankvaartrederijen. Echte grote Nederlandse binnenvaartrederijen bestaan niet meer. Wel zijn nog enkele middelgrote ondernemingen als rederij-bevrachtingskantoor of in speciaal vervoer werkzaam. </w:t>
      </w:r>
    </w:p>
    <w:p w14:paraId="54799C6D" w14:textId="77777777" w:rsidR="00EB1CBE" w:rsidRDefault="00EB1CBE" w:rsidP="00EB1CBE"/>
    <w:p w14:paraId="368439A5" w14:textId="77777777" w:rsidR="00DE5766" w:rsidRDefault="00DE5766" w:rsidP="00DE08B1">
      <w:pPr>
        <w:jc w:val="left"/>
        <w:rPr>
          <w:bCs/>
        </w:rPr>
      </w:pPr>
    </w:p>
    <w:p w14:paraId="02148A6D" w14:textId="77777777" w:rsidR="001E66EA" w:rsidRDefault="001E66EA" w:rsidP="00255DF5">
      <w:pPr>
        <w:pStyle w:val="Heading2"/>
      </w:pPr>
      <w:r>
        <w:t xml:space="preserve">De bedrijfstak binnenvaart      </w:t>
      </w:r>
    </w:p>
    <w:p w14:paraId="40133DE0" w14:textId="77777777" w:rsidR="00255DF5" w:rsidRPr="00255DF5" w:rsidRDefault="00255DF5" w:rsidP="00255DF5"/>
    <w:p w14:paraId="690F22AE" w14:textId="7647B169" w:rsidR="001E66EA" w:rsidRDefault="001E66EA" w:rsidP="00DE08B1">
      <w:pPr>
        <w:jc w:val="left"/>
      </w:pPr>
      <w:r>
        <w:t>In 2017 waren er in ons land 4</w:t>
      </w:r>
      <w:r w:rsidR="002C10F3">
        <w:t>.</w:t>
      </w:r>
      <w:r>
        <w:t>130 binnenvaartondernemingen, waarvan 3</w:t>
      </w:r>
      <w:r w:rsidR="00710BC3">
        <w:t>.</w:t>
      </w:r>
      <w:r>
        <w:t>050 in het goederenvervoer en 1</w:t>
      </w:r>
      <w:r w:rsidR="00710BC3">
        <w:t>.</w:t>
      </w:r>
      <w:r>
        <w:t xml:space="preserve">080 in de passagiersvaart of als veerdienst werkzaam waren. Samen werkten hier 18.300 mensen, die jaarlijks voor 15.400 arbeidsjaren aan werk verrichtten. Hun gezamenlijke omzet bedroeg 2,7 miljard </w:t>
      </w:r>
      <w:r w:rsidR="00343D90">
        <w:t>euro</w:t>
      </w:r>
      <w:r>
        <w:t>. Het kleinbedrijf overheerste sterk. Van al deze ondernemingen gaven 4</w:t>
      </w:r>
      <w:r w:rsidR="006C7BF4">
        <w:t>.</w:t>
      </w:r>
      <w:r>
        <w:t xml:space="preserve">015 werkgelegenheid aan minder dan 10 personen, terwijl slechts 15 rederijen meer dan 50 mensen telden. Daarnaast biedt de binnenvaartbranche werk aan ondernemingen buiten de sector, zoals de scheepsbouw. Recente cijfers hierover zijn niet beschikbaar. Volgens onderzoek uit 1999 ging het daarbij om een externe omzet van 1,2 miljard gulden (huidige waarde 820 miljoen </w:t>
      </w:r>
      <w:r w:rsidR="006C7BF4">
        <w:t>e</w:t>
      </w:r>
      <w:r>
        <w:t>uro) en werkgelegenheid voor 3</w:t>
      </w:r>
      <w:r w:rsidR="000F466C">
        <w:t>.</w:t>
      </w:r>
      <w:r>
        <w:t>720 personen.</w:t>
      </w:r>
      <w:r>
        <w:rPr>
          <w:rStyle w:val="EndnoteReference"/>
        </w:rPr>
        <w:endnoteReference w:id="49"/>
      </w:r>
      <w:r>
        <w:t xml:space="preserve">  </w:t>
      </w:r>
    </w:p>
    <w:p w14:paraId="04B25811" w14:textId="07643E62" w:rsidR="001E66EA" w:rsidRDefault="000F466C" w:rsidP="00DE08B1">
      <w:pPr>
        <w:jc w:val="left"/>
      </w:pPr>
      <w:r>
        <w:br/>
      </w:r>
    </w:p>
    <w:p w14:paraId="28A749D1" w14:textId="6D7F878A" w:rsidR="00DE5766" w:rsidRDefault="000F466C" w:rsidP="003112BF">
      <w:pPr>
        <w:pStyle w:val="Heading2"/>
      </w:pPr>
      <w:r>
        <w:t>5 Recreatievaart en recreatief personenvervoer</w:t>
      </w:r>
    </w:p>
    <w:p w14:paraId="6D8F797E" w14:textId="77777777" w:rsidR="00DE5766" w:rsidRPr="00DE5766" w:rsidRDefault="00DE5766" w:rsidP="00DE5766"/>
    <w:p w14:paraId="0BFDE152" w14:textId="4F9526C1" w:rsidR="001E66EA" w:rsidRDefault="001E66EA" w:rsidP="0077557E">
      <w:pPr>
        <w:jc w:val="left"/>
      </w:pPr>
      <w:r>
        <w:t xml:space="preserve">Afgezien van een dissertatie waarin de ontwikkeling van de recreatievaart van elitesport naar ontspanningsmogelijkheid voor de gewone man in ons land wordt geanalyseerd, is er geen onderzoek dat de ontwikkeling van de watersport in al zijn facetten beschrijft. </w:t>
      </w:r>
      <w:r w:rsidRPr="004714BC">
        <w:rPr>
          <w:bCs/>
        </w:rPr>
        <w:t xml:space="preserve">Al voor de </w:t>
      </w:r>
      <w:r>
        <w:rPr>
          <w:bCs/>
        </w:rPr>
        <w:t>T</w:t>
      </w:r>
      <w:r w:rsidRPr="004714BC">
        <w:rPr>
          <w:bCs/>
        </w:rPr>
        <w:t xml:space="preserve">weede </w:t>
      </w:r>
      <w:r>
        <w:rPr>
          <w:bCs/>
        </w:rPr>
        <w:t>W</w:t>
      </w:r>
      <w:r w:rsidRPr="004714BC">
        <w:rPr>
          <w:bCs/>
        </w:rPr>
        <w:t xml:space="preserve">ereldoorlog waren regio’s als de Hollandse meren, de Friese meren en de Biesbosch </w:t>
      </w:r>
      <w:r>
        <w:rPr>
          <w:bCs/>
        </w:rPr>
        <w:t xml:space="preserve">als watersportgebied </w:t>
      </w:r>
      <w:r w:rsidRPr="004714BC">
        <w:rPr>
          <w:bCs/>
        </w:rPr>
        <w:t xml:space="preserve">in trek, maar het aantal watersporters was betrekkelijk gering. </w:t>
      </w:r>
      <w:r>
        <w:rPr>
          <w:bCs/>
        </w:rPr>
        <w:t xml:space="preserve">Bijna alle watersporters behoorden tot de elite. Meestal waren zijzelf eigenaar van hun vaartuig, soms een fraai platbodemjacht, dat ze gebruikten voor wedstrijden en korte vaartochten in de omgeving van hun ligplaats. </w:t>
      </w:r>
      <w:r w:rsidRPr="004714BC">
        <w:rPr>
          <w:bCs/>
        </w:rPr>
        <w:t>De oversteek over het IJsselmeer en de vaart op de Zeeuwse stromen was voor de toenmalige kleine, open, vaak ongemotoriseerde vaartuigen meestal te gevaarlijk.</w:t>
      </w:r>
      <w:r w:rsidR="00AA2F4A" w:rsidRPr="00AA2F4A">
        <w:rPr>
          <w:rStyle w:val="EndnoteReference"/>
        </w:rPr>
        <w:endnoteReference w:id="50"/>
      </w:r>
    </w:p>
    <w:p w14:paraId="25B9B253" w14:textId="625573D1" w:rsidR="001E66EA" w:rsidRDefault="0077557E" w:rsidP="0077557E">
      <w:pPr>
        <w:jc w:val="left"/>
        <w:rPr>
          <w:rFonts w:ascii="Calibri" w:eastAsia="Times New Roman" w:hAnsi="Calibri" w:cs="Calibri"/>
          <w:color w:val="FF0000"/>
          <w:szCs w:val="24"/>
          <w:shd w:val="clear" w:color="auto" w:fill="FFFFFF"/>
          <w:lang w:eastAsia="nl-NL"/>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51426A">
        <w:rPr>
          <w:rFonts w:eastAsia="Times New Roman" w:cs="Times New Roman"/>
          <w:color w:val="FF0000"/>
          <w:lang w:eastAsia="nl-NL"/>
        </w:rPr>
        <w:t>2</w:t>
      </w:r>
      <w:r w:rsidR="000B398F">
        <w:rPr>
          <w:rFonts w:eastAsia="Times New Roman" w:cs="Times New Roman"/>
          <w:color w:val="FF0000"/>
          <w:lang w:eastAsia="nl-NL"/>
        </w:rPr>
        <w:t>4</w:t>
      </w:r>
      <w:r w:rsidR="0051426A">
        <w:rPr>
          <w:rFonts w:eastAsia="Times New Roman" w:cs="Times New Roman"/>
          <w:color w:val="FF0000"/>
          <w:lang w:eastAsia="nl-NL"/>
        </w:rPr>
        <w:t>-18_</w:t>
      </w:r>
      <w:r w:rsidR="0051426A">
        <w:rPr>
          <w:rFonts w:cstheme="minorHAnsi"/>
          <w:color w:val="FF0000"/>
        </w:rPr>
        <w:t>BM.jpg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r>
        <w:rPr>
          <w:rFonts w:ascii="Calibri" w:eastAsia="Times New Roman" w:hAnsi="Calibri" w:cs="Calibri"/>
          <w:color w:val="FF0000"/>
          <w:szCs w:val="24"/>
          <w:shd w:val="clear" w:color="auto" w:fill="FFFFFF"/>
          <w:lang w:eastAsia="nl-NL"/>
        </w:rPr>
        <w:t xml:space="preserve"> </w:t>
      </w:r>
    </w:p>
    <w:p w14:paraId="580907CC" w14:textId="457D81EA" w:rsidR="00DE5766" w:rsidRDefault="00DE5766" w:rsidP="0077557E">
      <w:pPr>
        <w:jc w:val="left"/>
        <w:rPr>
          <w:rFonts w:cstheme="minorHAnsi"/>
        </w:rPr>
      </w:pPr>
    </w:p>
    <w:p w14:paraId="7AEDCD03" w14:textId="77777777" w:rsidR="00371E2D" w:rsidRPr="0077557E" w:rsidRDefault="00371E2D" w:rsidP="0077557E">
      <w:pPr>
        <w:jc w:val="left"/>
        <w:rPr>
          <w:rFonts w:cstheme="minorHAnsi"/>
        </w:rPr>
      </w:pPr>
    </w:p>
    <w:p w14:paraId="5FFAE215" w14:textId="77777777" w:rsidR="001E66EA" w:rsidRDefault="001E66EA" w:rsidP="00DE5766">
      <w:pPr>
        <w:pStyle w:val="Heading2"/>
      </w:pPr>
      <w:r>
        <w:t>De vloot van recreatievaartuigen</w:t>
      </w:r>
    </w:p>
    <w:p w14:paraId="3815B54A" w14:textId="77777777" w:rsidR="00DE5766" w:rsidRPr="00DE5766" w:rsidRDefault="00DE5766" w:rsidP="00DE5766"/>
    <w:p w14:paraId="36C027DB" w14:textId="3BCAF355" w:rsidR="001E66EA" w:rsidRDefault="001E66EA" w:rsidP="00DE08B1">
      <w:pPr>
        <w:jc w:val="left"/>
      </w:pPr>
      <w:r>
        <w:t>In 1953 bestond de recreatievloot naar schatting uit 26.000 vaartuigen, 18</w:t>
      </w:r>
      <w:r w:rsidR="00DA2969">
        <w:t>.</w:t>
      </w:r>
      <w:r>
        <w:t>000 zeilboten en 8</w:t>
      </w:r>
      <w:r w:rsidR="00DA2969">
        <w:t>.</w:t>
      </w:r>
      <w:r>
        <w:t xml:space="preserve">000 motorboten, met daarnaast een aantal kleine vaartuigen. Door toenemende welvaart en meer vrije tijd groeide de vloot in de daaropvolgende jaren sterk, terwijl naast de elite geleidelijk ook de middengroepen en arbeiders op het water verschenen. </w:t>
      </w:r>
      <w:r w:rsidRPr="00E2723B">
        <w:rPr>
          <w:bCs/>
        </w:rPr>
        <w:t xml:space="preserve">Traditionele vaargebieden als de Hollandse en Friese meren raakten vol. Veel watersporters konden zich grotere, meer comfortabele vaartuigen permitteren, die beter voor toertochten en de vaart op ruwe wateren geschikt waren. </w:t>
      </w:r>
      <w:r>
        <w:rPr>
          <w:bCs/>
        </w:rPr>
        <w:t xml:space="preserve">Vaak </w:t>
      </w:r>
      <w:r w:rsidRPr="00E2723B">
        <w:rPr>
          <w:bCs/>
        </w:rPr>
        <w:t xml:space="preserve">weken </w:t>
      </w:r>
      <w:r>
        <w:rPr>
          <w:bCs/>
        </w:rPr>
        <w:t xml:space="preserve">ze </w:t>
      </w:r>
      <w:r w:rsidRPr="00E2723B">
        <w:rPr>
          <w:bCs/>
        </w:rPr>
        <w:t>uit naar andere gebieden: eerst het IJsselmeer en de Zeeuwse wateren, later ook de Waddenzee en de Noordzee. Daarnaast begonnen watersporters meerdaagse toertochten tussen verschillende vaar</w:t>
      </w:r>
      <w:r w:rsidRPr="00E2723B">
        <w:rPr>
          <w:bCs/>
        </w:rPr>
        <w:softHyphen/>
        <w:t>gebieden te maken.</w:t>
      </w:r>
      <w:r>
        <w:rPr>
          <w:bCs/>
        </w:rPr>
        <w:t xml:space="preserve"> </w:t>
      </w:r>
      <w:r>
        <w:t>Uit verkeerstellingen van Rijkswaterstaat blijkt dat het recreatieverkeer tussen 1970 en 1992 vervijfvoudigde. Daarna volgde hoogstens een bescheiden groei.</w:t>
      </w:r>
    </w:p>
    <w:p w14:paraId="45E734AB" w14:textId="6C6F63CF" w:rsidR="00B64EEB" w:rsidRDefault="009636AB" w:rsidP="00DE08B1">
      <w:pPr>
        <w:jc w:val="left"/>
        <w:rPr>
          <w:color w:val="FF0000"/>
        </w:rPr>
      </w:pPr>
      <w:r w:rsidRPr="009636AB">
        <w:rPr>
          <w:rFonts w:ascii="Calibri" w:eastAsia="Times New Roman" w:hAnsi="Calibri" w:cs="Calibri"/>
          <w:color w:val="FF0000"/>
          <w:szCs w:val="24"/>
          <w:shd w:val="clear" w:color="auto" w:fill="FFFFFF"/>
          <w:lang w:eastAsia="nl-NL"/>
        </w:rPr>
        <w:t>@i@</w:t>
      </w:r>
      <w:r w:rsidRPr="009636AB">
        <w:rPr>
          <w:color w:val="FF0000"/>
        </w:rPr>
        <w:t>[[[</w:t>
      </w:r>
      <w:r w:rsidR="00857CB0" w:rsidRPr="00857CB0">
        <w:rPr>
          <w:color w:val="FF0000"/>
        </w:rPr>
        <w:t>25a_Volkeraksluizen_RF320</w:t>
      </w:r>
      <w:r w:rsidRPr="009636AB">
        <w:rPr>
          <w:color w:val="FF0000"/>
        </w:rPr>
        <w:t>.jpg]]]</w:t>
      </w:r>
      <w:r w:rsidR="003F5AA5" w:rsidRPr="009636AB">
        <w:rPr>
          <w:rFonts w:ascii="Calibri" w:eastAsia="Times New Roman" w:hAnsi="Calibri" w:cs="Calibri"/>
          <w:color w:val="FF0000"/>
          <w:szCs w:val="24"/>
          <w:shd w:val="clear" w:color="auto" w:fill="FFFFFF"/>
          <w:lang w:eastAsia="nl-NL"/>
        </w:rPr>
        <w:t>@/i@​</w:t>
      </w:r>
    </w:p>
    <w:p w14:paraId="7FCA27B2" w14:textId="5399A5AF" w:rsidR="009636AB" w:rsidRPr="009636AB" w:rsidRDefault="00B64EEB" w:rsidP="00DE08B1">
      <w:pPr>
        <w:jc w:val="left"/>
        <w:rPr>
          <w:color w:val="FF0000"/>
        </w:rPr>
      </w:pPr>
      <w:r w:rsidRPr="009636AB">
        <w:rPr>
          <w:rFonts w:ascii="Calibri" w:eastAsia="Times New Roman" w:hAnsi="Calibri" w:cs="Calibri"/>
          <w:color w:val="FF0000"/>
          <w:szCs w:val="24"/>
          <w:shd w:val="clear" w:color="auto" w:fill="FFFFFF"/>
          <w:lang w:eastAsia="nl-NL"/>
        </w:rPr>
        <w:t>@i@</w:t>
      </w:r>
      <w:r w:rsidR="009636AB" w:rsidRPr="009636AB">
        <w:rPr>
          <w:color w:val="FF0000"/>
        </w:rPr>
        <w:t>[[[25b_SkutsjesPS.jpg]]]</w:t>
      </w:r>
      <w:r w:rsidR="009636AB" w:rsidRPr="009636AB">
        <w:rPr>
          <w:rFonts w:ascii="Calibri" w:eastAsia="Times New Roman" w:hAnsi="Calibri" w:cs="Calibri"/>
          <w:color w:val="FF0000"/>
          <w:szCs w:val="24"/>
          <w:shd w:val="clear" w:color="auto" w:fill="FFFFFF"/>
          <w:lang w:eastAsia="nl-NL"/>
        </w:rPr>
        <w:t>@/i@​</w:t>
      </w:r>
    </w:p>
    <w:p w14:paraId="04C5C970" w14:textId="0BF62D62" w:rsidR="001E66EA" w:rsidRDefault="001E66EA" w:rsidP="00615E38">
      <w:pPr>
        <w:ind w:firstLine="708"/>
        <w:jc w:val="left"/>
        <w:rPr>
          <w:rFonts w:eastAsia="Calibri" w:cs="Times New Roman"/>
          <w:color w:val="auto"/>
          <w:szCs w:val="24"/>
        </w:rPr>
      </w:pPr>
      <w:r w:rsidRPr="00105DF2">
        <w:rPr>
          <w:rFonts w:eastAsia="Calibri" w:cs="Times New Roman"/>
          <w:color w:val="auto"/>
          <w:szCs w:val="24"/>
        </w:rPr>
        <w:t xml:space="preserve">Volgens </w:t>
      </w:r>
      <w:r>
        <w:rPr>
          <w:rFonts w:eastAsia="Calibri" w:cs="Times New Roman"/>
          <w:color w:val="auto"/>
          <w:szCs w:val="24"/>
        </w:rPr>
        <w:t xml:space="preserve">een schatting </w:t>
      </w:r>
      <w:r w:rsidRPr="00105DF2">
        <w:rPr>
          <w:rFonts w:eastAsia="Calibri" w:cs="Times New Roman"/>
          <w:color w:val="auto"/>
          <w:szCs w:val="24"/>
        </w:rPr>
        <w:t xml:space="preserve">bestond de Nederlandse recreatievloot in 2005 uit ruim 400.000 vaartuigen, die met enige regelmaat werden gebruikt. Ruwweg </w:t>
      </w:r>
      <w:r>
        <w:rPr>
          <w:rFonts w:eastAsia="Calibri" w:cs="Times New Roman"/>
          <w:color w:val="auto"/>
          <w:szCs w:val="24"/>
        </w:rPr>
        <w:t xml:space="preserve">bestond de actieve vloot uit </w:t>
      </w:r>
      <w:r w:rsidRPr="00105DF2">
        <w:rPr>
          <w:rFonts w:eastAsia="Calibri" w:cs="Times New Roman"/>
          <w:color w:val="auto"/>
          <w:szCs w:val="24"/>
        </w:rPr>
        <w:t>115.000 open motorboten, 85.000 kajuitzeilboten, 65.000 kajuitmotorboten, 60.000 open zeilboten, 40.000 kano’s en roeiboten, 30.000 surfplanken en 5</w:t>
      </w:r>
      <w:r w:rsidR="00244DF6">
        <w:rPr>
          <w:rFonts w:eastAsia="Calibri" w:cs="Times New Roman"/>
          <w:color w:val="auto"/>
          <w:szCs w:val="24"/>
        </w:rPr>
        <w:t>.</w:t>
      </w:r>
      <w:r w:rsidRPr="00105DF2">
        <w:rPr>
          <w:rFonts w:eastAsia="Calibri" w:cs="Times New Roman"/>
          <w:color w:val="auto"/>
          <w:szCs w:val="24"/>
        </w:rPr>
        <w:t>000 platbodems.</w:t>
      </w:r>
      <w:r>
        <w:t xml:space="preserve"> </w:t>
      </w:r>
      <w:r w:rsidRPr="00105DF2">
        <w:rPr>
          <w:rFonts w:eastAsia="Calibri" w:cs="Times New Roman"/>
          <w:color w:val="auto"/>
          <w:szCs w:val="24"/>
        </w:rPr>
        <w:t>Vooral in watersportgebieden als Friesland, Zeeland, het IJsselmeergebied</w:t>
      </w:r>
      <w:r>
        <w:rPr>
          <w:rFonts w:eastAsia="Calibri" w:cs="Times New Roman"/>
          <w:color w:val="auto"/>
          <w:szCs w:val="24"/>
        </w:rPr>
        <w:t xml:space="preserve">, </w:t>
      </w:r>
      <w:r w:rsidRPr="00105DF2">
        <w:rPr>
          <w:rFonts w:eastAsia="Calibri" w:cs="Times New Roman"/>
          <w:color w:val="auto"/>
          <w:szCs w:val="24"/>
        </w:rPr>
        <w:t xml:space="preserve">de </w:t>
      </w:r>
      <w:proofErr w:type="spellStart"/>
      <w:r w:rsidRPr="00105DF2">
        <w:rPr>
          <w:rFonts w:eastAsia="Calibri" w:cs="Times New Roman"/>
          <w:color w:val="auto"/>
          <w:szCs w:val="24"/>
        </w:rPr>
        <w:t>Loosdrechtse</w:t>
      </w:r>
      <w:proofErr w:type="spellEnd"/>
      <w:r w:rsidRPr="00105DF2">
        <w:rPr>
          <w:rFonts w:eastAsia="Calibri" w:cs="Times New Roman"/>
          <w:color w:val="auto"/>
          <w:szCs w:val="24"/>
        </w:rPr>
        <w:t xml:space="preserve"> plassen </w:t>
      </w:r>
      <w:r>
        <w:rPr>
          <w:rFonts w:eastAsia="Calibri" w:cs="Times New Roman"/>
          <w:color w:val="auto"/>
          <w:szCs w:val="24"/>
        </w:rPr>
        <w:t xml:space="preserve">en de Waddenzee </w:t>
      </w:r>
      <w:r w:rsidRPr="00105DF2">
        <w:rPr>
          <w:rFonts w:eastAsia="Calibri" w:cs="Times New Roman"/>
          <w:color w:val="auto"/>
          <w:szCs w:val="24"/>
        </w:rPr>
        <w:t xml:space="preserve">heeft de recreatievaart een grote economische betekenis. </w:t>
      </w:r>
      <w:r>
        <w:rPr>
          <w:rFonts w:eastAsia="Calibri" w:cs="Times New Roman"/>
          <w:color w:val="auto"/>
          <w:szCs w:val="24"/>
        </w:rPr>
        <w:t xml:space="preserve">In 2010 gingen de </w:t>
      </w:r>
      <w:r w:rsidRPr="00105DF2">
        <w:rPr>
          <w:rFonts w:eastAsia="Calibri" w:cs="Times New Roman"/>
          <w:color w:val="auto"/>
          <w:szCs w:val="24"/>
        </w:rPr>
        <w:t xml:space="preserve">gezamenlijke watersporters jaarlijks 238.000 keer op een korte en 420.000 keer op een langere vakantie, waarbij zij op hun vaartuigen bijna </w:t>
      </w:r>
      <w:r w:rsidR="008F0813">
        <w:rPr>
          <w:rFonts w:eastAsia="Calibri" w:cs="Times New Roman"/>
          <w:color w:val="auto"/>
          <w:szCs w:val="24"/>
        </w:rPr>
        <w:t>vijf</w:t>
      </w:r>
      <w:r w:rsidRPr="00105DF2">
        <w:rPr>
          <w:rFonts w:eastAsia="Calibri" w:cs="Times New Roman"/>
          <w:color w:val="auto"/>
          <w:szCs w:val="24"/>
        </w:rPr>
        <w:t xml:space="preserve"> miljoen overnachtingen ma</w:t>
      </w:r>
      <w:r>
        <w:rPr>
          <w:rFonts w:eastAsia="Calibri" w:cs="Times New Roman"/>
          <w:color w:val="auto"/>
          <w:szCs w:val="24"/>
        </w:rPr>
        <w:t>a</w:t>
      </w:r>
      <w:r w:rsidRPr="00105DF2">
        <w:rPr>
          <w:rFonts w:eastAsia="Calibri" w:cs="Times New Roman"/>
          <w:color w:val="auto"/>
          <w:szCs w:val="24"/>
        </w:rPr>
        <w:t>k</w:t>
      </w:r>
      <w:r>
        <w:rPr>
          <w:rFonts w:eastAsia="Calibri" w:cs="Times New Roman"/>
          <w:color w:val="auto"/>
          <w:szCs w:val="24"/>
        </w:rPr>
        <w:t>t</w:t>
      </w:r>
      <w:r w:rsidRPr="00105DF2">
        <w:rPr>
          <w:rFonts w:eastAsia="Calibri" w:cs="Times New Roman"/>
          <w:color w:val="auto"/>
          <w:szCs w:val="24"/>
        </w:rPr>
        <w:t>en. Bij hun tochten beste</w:t>
      </w:r>
      <w:r>
        <w:rPr>
          <w:rFonts w:eastAsia="Calibri" w:cs="Times New Roman"/>
          <w:color w:val="auto"/>
          <w:szCs w:val="24"/>
        </w:rPr>
        <w:t>ed</w:t>
      </w:r>
      <w:r w:rsidRPr="00105DF2">
        <w:rPr>
          <w:rFonts w:eastAsia="Calibri" w:cs="Times New Roman"/>
          <w:color w:val="auto"/>
          <w:szCs w:val="24"/>
        </w:rPr>
        <w:t xml:space="preserve">den ze per boot ongeveer 75 </w:t>
      </w:r>
      <w:r w:rsidR="00EB03C5">
        <w:rPr>
          <w:rFonts w:eastAsia="Calibri" w:cs="Times New Roman"/>
          <w:color w:val="auto"/>
          <w:szCs w:val="24"/>
        </w:rPr>
        <w:t xml:space="preserve">euro </w:t>
      </w:r>
      <w:r w:rsidRPr="00105DF2">
        <w:rPr>
          <w:rFonts w:eastAsia="Calibri" w:cs="Times New Roman"/>
          <w:color w:val="auto"/>
          <w:szCs w:val="24"/>
        </w:rPr>
        <w:t xml:space="preserve">per dag. </w:t>
      </w:r>
      <w:r w:rsidR="00EB03C5">
        <w:rPr>
          <w:rFonts w:eastAsia="Calibri" w:cs="Times New Roman"/>
          <w:color w:val="auto"/>
          <w:szCs w:val="24"/>
        </w:rPr>
        <w:t>W</w:t>
      </w:r>
      <w:r w:rsidRPr="00105DF2">
        <w:rPr>
          <w:rFonts w:eastAsia="Calibri" w:cs="Times New Roman"/>
          <w:color w:val="auto"/>
          <w:szCs w:val="24"/>
        </w:rPr>
        <w:t>atersportondernemingen b</w:t>
      </w:r>
      <w:r>
        <w:rPr>
          <w:rFonts w:eastAsia="Calibri" w:cs="Times New Roman"/>
          <w:color w:val="auto"/>
          <w:szCs w:val="24"/>
        </w:rPr>
        <w:t>o</w:t>
      </w:r>
      <w:r w:rsidRPr="00105DF2">
        <w:rPr>
          <w:rFonts w:eastAsia="Calibri" w:cs="Times New Roman"/>
          <w:color w:val="auto"/>
          <w:szCs w:val="24"/>
        </w:rPr>
        <w:t xml:space="preserve">den werk aan bijna 20.000 mensen en </w:t>
      </w:r>
      <w:r>
        <w:rPr>
          <w:rFonts w:eastAsia="Calibri" w:cs="Times New Roman"/>
          <w:color w:val="auto"/>
          <w:szCs w:val="24"/>
        </w:rPr>
        <w:t xml:space="preserve">haalden </w:t>
      </w:r>
      <w:r w:rsidRPr="00105DF2">
        <w:rPr>
          <w:rFonts w:eastAsia="Calibri" w:cs="Times New Roman"/>
          <w:color w:val="auto"/>
          <w:szCs w:val="24"/>
        </w:rPr>
        <w:t xml:space="preserve">jaarlijks een gezamenlijke omzet van bijna </w:t>
      </w:r>
      <w:r w:rsidR="00DE0F3E">
        <w:rPr>
          <w:rFonts w:eastAsia="Calibri" w:cs="Times New Roman"/>
          <w:color w:val="auto"/>
          <w:szCs w:val="24"/>
        </w:rPr>
        <w:t>twee</w:t>
      </w:r>
      <w:r w:rsidR="00DE0F3E" w:rsidRPr="00105DF2">
        <w:rPr>
          <w:rFonts w:eastAsia="Calibri" w:cs="Times New Roman"/>
          <w:color w:val="auto"/>
          <w:szCs w:val="24"/>
        </w:rPr>
        <w:t xml:space="preserve"> </w:t>
      </w:r>
      <w:r w:rsidRPr="00105DF2">
        <w:rPr>
          <w:rFonts w:eastAsia="Calibri" w:cs="Times New Roman"/>
          <w:color w:val="auto"/>
          <w:szCs w:val="24"/>
        </w:rPr>
        <w:t>miljard</w:t>
      </w:r>
      <w:r>
        <w:rPr>
          <w:rFonts w:eastAsia="Calibri" w:cs="Times New Roman"/>
          <w:color w:val="auto"/>
          <w:szCs w:val="24"/>
        </w:rPr>
        <w:t xml:space="preserve"> </w:t>
      </w:r>
      <w:r w:rsidR="00DE0F3E">
        <w:rPr>
          <w:rFonts w:eastAsia="Calibri" w:cs="Times New Roman"/>
          <w:color w:val="auto"/>
          <w:szCs w:val="24"/>
        </w:rPr>
        <w:t>e</w:t>
      </w:r>
      <w:r>
        <w:rPr>
          <w:rFonts w:eastAsia="Calibri" w:cs="Times New Roman"/>
          <w:color w:val="auto"/>
          <w:szCs w:val="24"/>
        </w:rPr>
        <w:t>uro</w:t>
      </w:r>
      <w:r w:rsidRPr="00105DF2">
        <w:rPr>
          <w:rFonts w:eastAsia="Calibri" w:cs="Times New Roman"/>
          <w:color w:val="auto"/>
          <w:szCs w:val="24"/>
        </w:rPr>
        <w:t xml:space="preserve">. Daarmee </w:t>
      </w:r>
      <w:r>
        <w:rPr>
          <w:rFonts w:eastAsia="Calibri" w:cs="Times New Roman"/>
          <w:color w:val="auto"/>
          <w:szCs w:val="24"/>
        </w:rPr>
        <w:t xml:space="preserve">was </w:t>
      </w:r>
      <w:r w:rsidRPr="00105DF2">
        <w:rPr>
          <w:rFonts w:eastAsia="Calibri" w:cs="Times New Roman"/>
          <w:color w:val="auto"/>
          <w:szCs w:val="24"/>
        </w:rPr>
        <w:t xml:space="preserve">de omzet van de </w:t>
      </w:r>
      <w:r>
        <w:rPr>
          <w:rFonts w:eastAsia="Calibri" w:cs="Times New Roman"/>
          <w:color w:val="auto"/>
          <w:szCs w:val="24"/>
        </w:rPr>
        <w:t xml:space="preserve">watersportondernemingen </w:t>
      </w:r>
      <w:r w:rsidRPr="00105DF2">
        <w:rPr>
          <w:rFonts w:eastAsia="Calibri" w:cs="Times New Roman"/>
          <w:color w:val="auto"/>
          <w:szCs w:val="24"/>
        </w:rPr>
        <w:t>bijna even groot als die van de binnenvaart</w:t>
      </w:r>
      <w:r>
        <w:rPr>
          <w:rFonts w:eastAsia="Calibri" w:cs="Times New Roman"/>
          <w:color w:val="auto"/>
          <w:szCs w:val="24"/>
        </w:rPr>
        <w:t>ondernemingen</w:t>
      </w:r>
      <w:r w:rsidRPr="00105DF2">
        <w:rPr>
          <w:rFonts w:eastAsia="Calibri" w:cs="Times New Roman"/>
          <w:color w:val="auto"/>
          <w:szCs w:val="24"/>
        </w:rPr>
        <w:t xml:space="preserve"> (</w:t>
      </w:r>
      <w:r>
        <w:rPr>
          <w:rFonts w:eastAsia="Calibri" w:cs="Times New Roman"/>
          <w:color w:val="auto"/>
          <w:szCs w:val="24"/>
        </w:rPr>
        <w:t xml:space="preserve">toen </w:t>
      </w:r>
      <w:r w:rsidRPr="00105DF2">
        <w:rPr>
          <w:rFonts w:eastAsia="Calibri" w:cs="Times New Roman"/>
          <w:color w:val="auto"/>
          <w:szCs w:val="24"/>
        </w:rPr>
        <w:t>ongeveer 2,1 miljard</w:t>
      </w:r>
      <w:r>
        <w:rPr>
          <w:rFonts w:eastAsia="Calibri" w:cs="Times New Roman"/>
          <w:color w:val="auto"/>
          <w:szCs w:val="24"/>
        </w:rPr>
        <w:t xml:space="preserve"> </w:t>
      </w:r>
      <w:r w:rsidR="005925A9">
        <w:rPr>
          <w:rFonts w:eastAsia="Calibri" w:cs="Times New Roman"/>
          <w:color w:val="auto"/>
          <w:szCs w:val="24"/>
        </w:rPr>
        <w:t>euro</w:t>
      </w:r>
      <w:r>
        <w:rPr>
          <w:rFonts w:eastAsia="Calibri" w:cs="Times New Roman"/>
          <w:color w:val="auto"/>
          <w:szCs w:val="24"/>
        </w:rPr>
        <w:t>, exclusief toeleveranciers en scheepswerven</w:t>
      </w:r>
      <w:r w:rsidRPr="00105DF2">
        <w:rPr>
          <w:rFonts w:eastAsia="Calibri" w:cs="Times New Roman"/>
          <w:color w:val="auto"/>
          <w:szCs w:val="24"/>
        </w:rPr>
        <w:t>). Daarnaast k</w:t>
      </w:r>
      <w:r>
        <w:rPr>
          <w:rFonts w:eastAsia="Calibri" w:cs="Times New Roman"/>
          <w:color w:val="auto"/>
          <w:szCs w:val="24"/>
        </w:rPr>
        <w:t xml:space="preserve">wamen </w:t>
      </w:r>
      <w:r w:rsidRPr="00105DF2">
        <w:rPr>
          <w:rFonts w:eastAsia="Calibri" w:cs="Times New Roman"/>
          <w:color w:val="auto"/>
          <w:szCs w:val="24"/>
        </w:rPr>
        <w:t>dan nog de werkgelegenheid en de inkomsten van de plaatselijke horeca en lokale winkels.</w:t>
      </w:r>
    </w:p>
    <w:p w14:paraId="372768F1" w14:textId="77777777" w:rsidR="00055526" w:rsidRDefault="00055526" w:rsidP="00615E38">
      <w:pPr>
        <w:ind w:firstLine="708"/>
        <w:jc w:val="left"/>
        <w:rPr>
          <w:rFonts w:eastAsia="Calibri" w:cs="Times New Roman"/>
          <w:color w:val="auto"/>
          <w:szCs w:val="24"/>
        </w:rPr>
      </w:pPr>
    </w:p>
    <w:p w14:paraId="32CD8F1A" w14:textId="77777777" w:rsidR="001E66EA" w:rsidRDefault="001E66EA" w:rsidP="00DE08B1">
      <w:pPr>
        <w:jc w:val="left"/>
        <w:rPr>
          <w:rFonts w:eastAsia="Calibri" w:cs="Times New Roman"/>
          <w:color w:val="auto"/>
          <w:szCs w:val="24"/>
        </w:rPr>
      </w:pPr>
    </w:p>
    <w:p w14:paraId="12F7A1E1" w14:textId="15D02EB7" w:rsidR="001E66EA" w:rsidRDefault="001E66EA" w:rsidP="00EA6C3C">
      <w:pPr>
        <w:pStyle w:val="Heading2"/>
        <w:jc w:val="left"/>
        <w:rPr>
          <w:rFonts w:eastAsia="Calibri"/>
        </w:rPr>
      </w:pPr>
      <w:r>
        <w:rPr>
          <w:rFonts w:eastAsia="Calibri"/>
        </w:rPr>
        <w:t xml:space="preserve">Zeilende beroepsvaart en recreatieve passagiersvaart </w:t>
      </w:r>
      <w:r w:rsidR="00EA6C3C">
        <w:rPr>
          <w:rFonts w:eastAsia="Calibri"/>
        </w:rPr>
        <w:br/>
      </w:r>
    </w:p>
    <w:p w14:paraId="4109E884" w14:textId="2757843E" w:rsidR="001E66EA" w:rsidRDefault="001E66EA" w:rsidP="00DE08B1">
      <w:pPr>
        <w:jc w:val="left"/>
        <w:rPr>
          <w:rFonts w:eastAsia="Calibri" w:cs="Times New Roman"/>
          <w:color w:val="auto"/>
          <w:szCs w:val="24"/>
        </w:rPr>
      </w:pPr>
      <w:r>
        <w:rPr>
          <w:rFonts w:eastAsia="Calibri" w:cs="Times New Roman"/>
          <w:color w:val="auto"/>
          <w:szCs w:val="24"/>
        </w:rPr>
        <w:t xml:space="preserve">Door de ondergang van de kleine beroepsvaart kwamen veel tjalken en klippers in de jaren vijftig in de verkoop. Liefhebbers kochten deze schepen voor een prikje en restaureerden ze. In de jaren zestig begonnen eigenaren van oude zeilschepen in Spakenburg met de organisatie van dagtochtjes voor passagiers op het IJsselmeer. Spoedig bleek dit een snelgroeiende markt. Dagtochten werden uitgebreid tot meerdaagse tochten, oude zeilschepen werden omgebouwd met een luxueuze verblijfsaccommodatie. Het vaargebied omvatte naast het IJsselmeer al spoedig de Waddenzee, de Zuid-Hollandse en Zeeuwse stromen, de Friese meren, het Duitse waddengebied en de westelijke Oostzee. Op deze wijze ontstond een vloot van passagierszeilschepen, die samen worden aangeduid als ‘de zeilende vloot’ of de ‘bruine </w:t>
      </w:r>
      <w:r>
        <w:rPr>
          <w:rFonts w:eastAsia="Calibri" w:cs="Times New Roman"/>
          <w:color w:val="auto"/>
          <w:szCs w:val="24"/>
        </w:rPr>
        <w:lastRenderedPageBreak/>
        <w:t>vloot’. Later werden ook historische motorvrachtschepen omgebouwd voor personenvervoer. Historische zeil- en motorschepen samen staan bekend als de ‘chartervaart’.</w:t>
      </w:r>
      <w:r w:rsidRPr="004252A8">
        <w:rPr>
          <w:rStyle w:val="EndnoteReference"/>
        </w:rPr>
        <w:t xml:space="preserve"> </w:t>
      </w:r>
    </w:p>
    <w:p w14:paraId="3429D723" w14:textId="56B4DFCF" w:rsidR="001E66EA" w:rsidRPr="009240E1" w:rsidRDefault="00A3786B" w:rsidP="00A3786B">
      <w:pPr>
        <w:rPr>
          <w:rFonts w:ascii="Calibri" w:eastAsia="Times New Roman" w:hAnsi="Calibri" w:cs="Calibri"/>
          <w:color w:val="FF0000"/>
          <w:shd w:val="clear" w:color="auto" w:fill="FFFFFF"/>
          <w:lang w:eastAsia="nl-NL"/>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371E2D">
        <w:rPr>
          <w:rFonts w:ascii="Calibri" w:eastAsia="Times New Roman" w:hAnsi="Calibri" w:cs="Calibri"/>
          <w:color w:val="FF0000"/>
          <w:shd w:val="clear" w:color="auto" w:fill="FFFFFF"/>
          <w:lang w:eastAsia="nl-NL"/>
        </w:rPr>
        <w:t>26-</w:t>
      </w:r>
      <w:r w:rsidR="00371E2D">
        <w:rPr>
          <w:rFonts w:eastAsia="Times New Roman" w:cs="Times New Roman"/>
          <w:color w:val="FF0000"/>
          <w:lang w:eastAsia="nl-NL"/>
        </w:rPr>
        <w:t>19_</w:t>
      </w:r>
      <w:r w:rsidR="00371E2D">
        <w:rPr>
          <w:rFonts w:cstheme="minorHAnsi"/>
          <w:color w:val="FF0000"/>
        </w:rPr>
        <w:t>BruineVloot.png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r>
        <w:rPr>
          <w:rFonts w:eastAsia="Calibri" w:cs="Times New Roman"/>
          <w:color w:val="auto"/>
          <w:szCs w:val="24"/>
        </w:rPr>
        <w:br/>
        <w:t xml:space="preserve"> </w:t>
      </w:r>
      <w:r>
        <w:rPr>
          <w:rFonts w:eastAsia="Calibri" w:cs="Times New Roman"/>
          <w:color w:val="auto"/>
          <w:szCs w:val="24"/>
        </w:rPr>
        <w:tab/>
      </w:r>
      <w:r w:rsidR="001E66EA">
        <w:rPr>
          <w:rFonts w:eastAsia="Calibri" w:cs="Times New Roman"/>
          <w:color w:val="auto"/>
          <w:szCs w:val="24"/>
        </w:rPr>
        <w:t xml:space="preserve">Naast de chartervaart bestaat ook de ‘recreatieve passagiersvaart’: vervoer met moderne rondvaartboten, hotelschepen, partyschepen en hospitaalschepen. Samen beschikten deze beide sectoren in 2010 naar schatting over een vloot van 742 vaartuigen, met een totale omzet van 236 miljoen </w:t>
      </w:r>
      <w:r w:rsidR="00590D5D">
        <w:rPr>
          <w:rFonts w:eastAsia="Calibri" w:cs="Times New Roman"/>
          <w:color w:val="auto"/>
          <w:szCs w:val="24"/>
        </w:rPr>
        <w:t>euro</w:t>
      </w:r>
      <w:r w:rsidR="001E66EA">
        <w:rPr>
          <w:rFonts w:eastAsia="Calibri" w:cs="Times New Roman"/>
          <w:color w:val="auto"/>
          <w:szCs w:val="24"/>
        </w:rPr>
        <w:t>, die voor bijna 3</w:t>
      </w:r>
      <w:r w:rsidR="00AF5F8D">
        <w:rPr>
          <w:rFonts w:eastAsia="Calibri" w:cs="Times New Roman"/>
          <w:color w:val="auto"/>
          <w:szCs w:val="24"/>
        </w:rPr>
        <w:t>.</w:t>
      </w:r>
      <w:r w:rsidR="001E66EA">
        <w:rPr>
          <w:rFonts w:eastAsia="Calibri" w:cs="Times New Roman"/>
          <w:color w:val="auto"/>
          <w:szCs w:val="24"/>
        </w:rPr>
        <w:t xml:space="preserve">000 arbeidsjaren aan werk opleverde. Daarmee namen beide sectoren samen ongeveer </w:t>
      </w:r>
      <w:r w:rsidR="00AF5F8D">
        <w:rPr>
          <w:rFonts w:eastAsia="Calibri" w:cs="Times New Roman"/>
          <w:color w:val="auto"/>
          <w:szCs w:val="24"/>
        </w:rPr>
        <w:t xml:space="preserve">tien </w:t>
      </w:r>
      <w:r w:rsidR="001E66EA">
        <w:rPr>
          <w:rFonts w:eastAsia="Calibri" w:cs="Times New Roman"/>
          <w:color w:val="auto"/>
          <w:szCs w:val="24"/>
        </w:rPr>
        <w:t xml:space="preserve">procent van de totale omzet van de binnenvaart (toen ongeveer 2,2 miljard </w:t>
      </w:r>
      <w:r w:rsidR="00590D5D">
        <w:rPr>
          <w:rFonts w:eastAsia="Calibri" w:cs="Times New Roman"/>
          <w:color w:val="auto"/>
          <w:szCs w:val="24"/>
        </w:rPr>
        <w:t>euro</w:t>
      </w:r>
      <w:r w:rsidR="001E66EA">
        <w:rPr>
          <w:rFonts w:eastAsia="Calibri" w:cs="Times New Roman"/>
          <w:color w:val="auto"/>
          <w:szCs w:val="24"/>
        </w:rPr>
        <w:t xml:space="preserve">) voor hun rekening.        </w:t>
      </w:r>
    </w:p>
    <w:p w14:paraId="442F229F" w14:textId="644AC49B" w:rsidR="001E66EA" w:rsidRDefault="007708C3" w:rsidP="00DE08B1">
      <w:pPr>
        <w:jc w:val="left"/>
        <w:rPr>
          <w:rFonts w:eastAsia="Calibri" w:cs="Times New Roman"/>
          <w:color w:val="auto"/>
          <w:szCs w:val="24"/>
        </w:rPr>
      </w:pPr>
      <w:r>
        <w:rPr>
          <w:rFonts w:eastAsia="Calibri" w:cs="Times New Roman"/>
          <w:color w:val="auto"/>
          <w:szCs w:val="24"/>
        </w:rPr>
        <w:br/>
      </w:r>
    </w:p>
    <w:tbl>
      <w:tblPr>
        <w:tblStyle w:val="TableGrid"/>
        <w:tblW w:w="0" w:type="auto"/>
        <w:tblLook w:val="04A0" w:firstRow="1" w:lastRow="0" w:firstColumn="1" w:lastColumn="0" w:noHBand="0" w:noVBand="1"/>
      </w:tblPr>
      <w:tblGrid>
        <w:gridCol w:w="2972"/>
        <w:gridCol w:w="2126"/>
        <w:gridCol w:w="1985"/>
        <w:gridCol w:w="1979"/>
      </w:tblGrid>
      <w:tr w:rsidR="001E66EA" w14:paraId="480B5F8C" w14:textId="77777777" w:rsidTr="0030721E">
        <w:trPr>
          <w:trHeight w:val="567"/>
        </w:trPr>
        <w:tc>
          <w:tcPr>
            <w:tcW w:w="2972" w:type="dxa"/>
            <w:vMerge w:val="restart"/>
          </w:tcPr>
          <w:p w14:paraId="5F4FFD7C" w14:textId="77777777" w:rsidR="001E66EA" w:rsidRPr="00AC02E8" w:rsidRDefault="001E66EA" w:rsidP="00DE08B1">
            <w:pPr>
              <w:jc w:val="left"/>
              <w:rPr>
                <w:rFonts w:eastAsia="Calibri" w:cs="Times New Roman"/>
                <w:b/>
                <w:color w:val="auto"/>
                <w:sz w:val="20"/>
                <w:szCs w:val="20"/>
              </w:rPr>
            </w:pPr>
            <w:r w:rsidRPr="00AC02E8">
              <w:rPr>
                <w:rFonts w:eastAsia="Calibri" w:cs="Times New Roman"/>
                <w:b/>
                <w:color w:val="auto"/>
                <w:sz w:val="20"/>
                <w:szCs w:val="20"/>
              </w:rPr>
              <w:t>Soort vervoer</w:t>
            </w:r>
          </w:p>
        </w:tc>
        <w:tc>
          <w:tcPr>
            <w:tcW w:w="6090" w:type="dxa"/>
            <w:gridSpan w:val="3"/>
          </w:tcPr>
          <w:p w14:paraId="1ABC6214" w14:textId="77777777" w:rsidR="001E66EA" w:rsidRPr="00AC02E8" w:rsidRDefault="001E66EA" w:rsidP="00CD3277">
            <w:pPr>
              <w:pStyle w:val="tabelKop"/>
            </w:pPr>
            <w:r w:rsidRPr="00AC02E8">
              <w:t>Aantal vaartuigen</w:t>
            </w:r>
          </w:p>
        </w:tc>
      </w:tr>
      <w:tr w:rsidR="001E66EA" w14:paraId="575C0D4F" w14:textId="77777777" w:rsidTr="0030721E">
        <w:tc>
          <w:tcPr>
            <w:tcW w:w="2972" w:type="dxa"/>
            <w:vMerge/>
            <w:tcBorders>
              <w:bottom w:val="single" w:sz="4" w:space="0" w:color="auto"/>
            </w:tcBorders>
          </w:tcPr>
          <w:p w14:paraId="775D663B" w14:textId="77777777" w:rsidR="001E66EA" w:rsidRPr="004252A8" w:rsidRDefault="001E66EA" w:rsidP="00DE08B1">
            <w:pPr>
              <w:jc w:val="left"/>
              <w:rPr>
                <w:rFonts w:eastAsia="Calibri" w:cs="Times New Roman"/>
                <w:color w:val="auto"/>
                <w:sz w:val="20"/>
                <w:szCs w:val="20"/>
              </w:rPr>
            </w:pPr>
          </w:p>
        </w:tc>
        <w:tc>
          <w:tcPr>
            <w:tcW w:w="2126" w:type="dxa"/>
            <w:tcBorders>
              <w:bottom w:val="single" w:sz="4" w:space="0" w:color="auto"/>
            </w:tcBorders>
          </w:tcPr>
          <w:p w14:paraId="5527E69C" w14:textId="77777777" w:rsidR="001E66EA" w:rsidRPr="004252A8" w:rsidRDefault="001E66EA" w:rsidP="00DE08B1">
            <w:pPr>
              <w:jc w:val="left"/>
              <w:rPr>
                <w:rFonts w:eastAsia="Calibri" w:cs="Times New Roman"/>
                <w:color w:val="auto"/>
                <w:sz w:val="20"/>
                <w:szCs w:val="20"/>
              </w:rPr>
            </w:pPr>
            <w:r>
              <w:rPr>
                <w:rFonts w:eastAsia="Calibri" w:cs="Times New Roman"/>
                <w:color w:val="auto"/>
                <w:sz w:val="20"/>
                <w:szCs w:val="20"/>
              </w:rPr>
              <w:t>Hotelschepen</w:t>
            </w:r>
          </w:p>
        </w:tc>
        <w:tc>
          <w:tcPr>
            <w:tcW w:w="1985" w:type="dxa"/>
            <w:tcBorders>
              <w:bottom w:val="single" w:sz="4" w:space="0" w:color="auto"/>
            </w:tcBorders>
          </w:tcPr>
          <w:p w14:paraId="76C6CE34" w14:textId="77777777" w:rsidR="001E66EA" w:rsidRDefault="001E66EA" w:rsidP="00DE08B1">
            <w:pPr>
              <w:jc w:val="left"/>
              <w:rPr>
                <w:rFonts w:eastAsia="Calibri" w:cs="Times New Roman"/>
                <w:color w:val="auto"/>
                <w:sz w:val="20"/>
                <w:szCs w:val="20"/>
              </w:rPr>
            </w:pPr>
            <w:r>
              <w:rPr>
                <w:rFonts w:eastAsia="Calibri" w:cs="Times New Roman"/>
                <w:color w:val="auto"/>
                <w:sz w:val="20"/>
                <w:szCs w:val="20"/>
              </w:rPr>
              <w:t xml:space="preserve">Rondvaarten en </w:t>
            </w:r>
          </w:p>
          <w:p w14:paraId="43E1916F" w14:textId="77777777" w:rsidR="001E66EA" w:rsidRPr="004252A8" w:rsidRDefault="001E66EA" w:rsidP="00DE08B1">
            <w:pPr>
              <w:jc w:val="left"/>
              <w:rPr>
                <w:rFonts w:eastAsia="Calibri" w:cs="Times New Roman"/>
                <w:color w:val="auto"/>
                <w:sz w:val="20"/>
                <w:szCs w:val="20"/>
              </w:rPr>
            </w:pPr>
            <w:r>
              <w:rPr>
                <w:rFonts w:eastAsia="Calibri" w:cs="Times New Roman"/>
                <w:color w:val="auto"/>
                <w:sz w:val="20"/>
                <w:szCs w:val="20"/>
              </w:rPr>
              <w:t>dagtochten</w:t>
            </w:r>
          </w:p>
        </w:tc>
        <w:tc>
          <w:tcPr>
            <w:tcW w:w="1979" w:type="dxa"/>
            <w:tcBorders>
              <w:bottom w:val="single" w:sz="4" w:space="0" w:color="auto"/>
            </w:tcBorders>
          </w:tcPr>
          <w:p w14:paraId="3F952292" w14:textId="77777777" w:rsidR="001E66EA" w:rsidRPr="004252A8" w:rsidRDefault="001E66EA" w:rsidP="00DE08B1">
            <w:pPr>
              <w:jc w:val="left"/>
              <w:rPr>
                <w:rFonts w:eastAsia="Calibri" w:cs="Times New Roman"/>
                <w:color w:val="auto"/>
                <w:sz w:val="20"/>
                <w:szCs w:val="20"/>
              </w:rPr>
            </w:pPr>
            <w:r>
              <w:rPr>
                <w:rFonts w:eastAsia="Calibri" w:cs="Times New Roman"/>
                <w:color w:val="auto"/>
                <w:sz w:val="20"/>
                <w:szCs w:val="20"/>
              </w:rPr>
              <w:t>Totaal</w:t>
            </w:r>
          </w:p>
        </w:tc>
      </w:tr>
      <w:tr w:rsidR="001E66EA" w14:paraId="203DEC0C" w14:textId="77777777" w:rsidTr="0030721E">
        <w:tc>
          <w:tcPr>
            <w:tcW w:w="2972" w:type="dxa"/>
            <w:tcBorders>
              <w:bottom w:val="nil"/>
            </w:tcBorders>
          </w:tcPr>
          <w:p w14:paraId="01777A7A" w14:textId="77777777" w:rsidR="001E66EA" w:rsidRPr="004252A8" w:rsidRDefault="001E66EA" w:rsidP="00DE08B1">
            <w:pPr>
              <w:jc w:val="left"/>
              <w:rPr>
                <w:rFonts w:eastAsia="Calibri" w:cs="Times New Roman"/>
                <w:color w:val="auto"/>
                <w:sz w:val="20"/>
                <w:szCs w:val="20"/>
              </w:rPr>
            </w:pPr>
            <w:r>
              <w:rPr>
                <w:rFonts w:eastAsia="Calibri" w:cs="Times New Roman"/>
                <w:color w:val="auto"/>
                <w:sz w:val="20"/>
                <w:szCs w:val="20"/>
              </w:rPr>
              <w:t>Chartervaart</w:t>
            </w:r>
          </w:p>
        </w:tc>
        <w:tc>
          <w:tcPr>
            <w:tcW w:w="2126" w:type="dxa"/>
            <w:tcBorders>
              <w:bottom w:val="nil"/>
            </w:tcBorders>
          </w:tcPr>
          <w:p w14:paraId="5FA24793" w14:textId="77777777" w:rsidR="001E66EA" w:rsidRPr="004252A8" w:rsidRDefault="001E66EA" w:rsidP="003C1CEE">
            <w:pPr>
              <w:pStyle w:val="tabelNummers"/>
              <w:rPr>
                <w:rFonts w:eastAsia="Calibri"/>
              </w:rPr>
            </w:pPr>
            <w:r>
              <w:rPr>
                <w:rFonts w:eastAsia="Calibri"/>
              </w:rPr>
              <w:t>341</w:t>
            </w:r>
          </w:p>
        </w:tc>
        <w:tc>
          <w:tcPr>
            <w:tcW w:w="1985" w:type="dxa"/>
            <w:tcBorders>
              <w:bottom w:val="nil"/>
            </w:tcBorders>
          </w:tcPr>
          <w:p w14:paraId="6FA0C784" w14:textId="77777777" w:rsidR="001E66EA" w:rsidRPr="004252A8" w:rsidRDefault="001E66EA" w:rsidP="003C1CEE">
            <w:pPr>
              <w:pStyle w:val="tabelNummers"/>
              <w:rPr>
                <w:rFonts w:eastAsia="Calibri"/>
              </w:rPr>
            </w:pPr>
            <w:r>
              <w:rPr>
                <w:rFonts w:eastAsia="Calibri"/>
              </w:rPr>
              <w:t>56</w:t>
            </w:r>
          </w:p>
        </w:tc>
        <w:tc>
          <w:tcPr>
            <w:tcW w:w="1979" w:type="dxa"/>
            <w:tcBorders>
              <w:bottom w:val="nil"/>
            </w:tcBorders>
          </w:tcPr>
          <w:p w14:paraId="0612F497" w14:textId="77777777" w:rsidR="001E66EA" w:rsidRPr="004252A8" w:rsidRDefault="001E66EA" w:rsidP="003C1CEE">
            <w:pPr>
              <w:pStyle w:val="tabelNummers"/>
              <w:rPr>
                <w:rFonts w:eastAsia="Calibri"/>
              </w:rPr>
            </w:pPr>
            <w:r>
              <w:rPr>
                <w:rFonts w:eastAsia="Calibri"/>
              </w:rPr>
              <w:t>397</w:t>
            </w:r>
          </w:p>
        </w:tc>
      </w:tr>
      <w:tr w:rsidR="001E66EA" w14:paraId="39CEE37D" w14:textId="77777777" w:rsidTr="0030721E">
        <w:tc>
          <w:tcPr>
            <w:tcW w:w="2972" w:type="dxa"/>
            <w:tcBorders>
              <w:top w:val="nil"/>
            </w:tcBorders>
          </w:tcPr>
          <w:p w14:paraId="02953BC4" w14:textId="77777777" w:rsidR="001E66EA" w:rsidRPr="004252A8" w:rsidRDefault="001E66EA" w:rsidP="00DE08B1">
            <w:pPr>
              <w:jc w:val="left"/>
              <w:rPr>
                <w:rFonts w:eastAsia="Calibri" w:cs="Times New Roman"/>
                <w:color w:val="auto"/>
                <w:sz w:val="20"/>
                <w:szCs w:val="20"/>
              </w:rPr>
            </w:pPr>
            <w:r>
              <w:rPr>
                <w:rFonts w:eastAsia="Calibri" w:cs="Times New Roman"/>
                <w:color w:val="auto"/>
                <w:sz w:val="20"/>
                <w:szCs w:val="20"/>
              </w:rPr>
              <w:t>Recreatieve passagiersvaart</w:t>
            </w:r>
          </w:p>
        </w:tc>
        <w:tc>
          <w:tcPr>
            <w:tcW w:w="2126" w:type="dxa"/>
            <w:tcBorders>
              <w:top w:val="nil"/>
            </w:tcBorders>
          </w:tcPr>
          <w:p w14:paraId="3222728B" w14:textId="77777777" w:rsidR="001E66EA" w:rsidRPr="004252A8" w:rsidRDefault="001E66EA" w:rsidP="003C1CEE">
            <w:pPr>
              <w:pStyle w:val="tabelNummers"/>
              <w:rPr>
                <w:rFonts w:eastAsia="Calibri"/>
              </w:rPr>
            </w:pPr>
            <w:r>
              <w:rPr>
                <w:rFonts w:eastAsia="Calibri"/>
              </w:rPr>
              <w:t>42</w:t>
            </w:r>
          </w:p>
        </w:tc>
        <w:tc>
          <w:tcPr>
            <w:tcW w:w="1985" w:type="dxa"/>
            <w:tcBorders>
              <w:top w:val="nil"/>
            </w:tcBorders>
          </w:tcPr>
          <w:p w14:paraId="6E911C02" w14:textId="77777777" w:rsidR="001E66EA" w:rsidRPr="004252A8" w:rsidRDefault="001E66EA" w:rsidP="003C1CEE">
            <w:pPr>
              <w:pStyle w:val="tabelNummers"/>
              <w:rPr>
                <w:rFonts w:eastAsia="Calibri"/>
              </w:rPr>
            </w:pPr>
            <w:r>
              <w:rPr>
                <w:rFonts w:eastAsia="Calibri"/>
              </w:rPr>
              <w:t>303</w:t>
            </w:r>
          </w:p>
        </w:tc>
        <w:tc>
          <w:tcPr>
            <w:tcW w:w="1979" w:type="dxa"/>
            <w:tcBorders>
              <w:top w:val="nil"/>
            </w:tcBorders>
          </w:tcPr>
          <w:p w14:paraId="4FEC5D94" w14:textId="77777777" w:rsidR="001E66EA" w:rsidRPr="004252A8" w:rsidRDefault="001E66EA" w:rsidP="003C1CEE">
            <w:pPr>
              <w:pStyle w:val="tabelNummers"/>
              <w:rPr>
                <w:rFonts w:eastAsia="Calibri"/>
              </w:rPr>
            </w:pPr>
            <w:r>
              <w:rPr>
                <w:rFonts w:eastAsia="Calibri"/>
              </w:rPr>
              <w:t>345</w:t>
            </w:r>
          </w:p>
        </w:tc>
      </w:tr>
      <w:tr w:rsidR="001E66EA" w14:paraId="2C08C500" w14:textId="77777777" w:rsidTr="0030721E">
        <w:tc>
          <w:tcPr>
            <w:tcW w:w="2972" w:type="dxa"/>
          </w:tcPr>
          <w:p w14:paraId="50F9FB64" w14:textId="77777777" w:rsidR="001E66EA" w:rsidRPr="004252A8" w:rsidRDefault="001E66EA" w:rsidP="00DE08B1">
            <w:pPr>
              <w:jc w:val="left"/>
              <w:rPr>
                <w:rFonts w:eastAsia="Calibri" w:cs="Times New Roman"/>
                <w:color w:val="auto"/>
                <w:sz w:val="20"/>
                <w:szCs w:val="20"/>
              </w:rPr>
            </w:pPr>
            <w:r>
              <w:rPr>
                <w:rFonts w:eastAsia="Calibri" w:cs="Times New Roman"/>
                <w:color w:val="auto"/>
                <w:sz w:val="20"/>
                <w:szCs w:val="20"/>
              </w:rPr>
              <w:t>Totaal</w:t>
            </w:r>
          </w:p>
        </w:tc>
        <w:tc>
          <w:tcPr>
            <w:tcW w:w="2126" w:type="dxa"/>
          </w:tcPr>
          <w:p w14:paraId="212E0206" w14:textId="77777777" w:rsidR="001E66EA" w:rsidRPr="004252A8" w:rsidRDefault="001E66EA" w:rsidP="003C1CEE">
            <w:pPr>
              <w:pStyle w:val="tabelNummers"/>
              <w:rPr>
                <w:rFonts w:eastAsia="Calibri"/>
              </w:rPr>
            </w:pPr>
            <w:r>
              <w:rPr>
                <w:rFonts w:eastAsia="Calibri"/>
              </w:rPr>
              <w:t>383</w:t>
            </w:r>
          </w:p>
        </w:tc>
        <w:tc>
          <w:tcPr>
            <w:tcW w:w="1985" w:type="dxa"/>
          </w:tcPr>
          <w:p w14:paraId="7D1059B9" w14:textId="77777777" w:rsidR="001E66EA" w:rsidRPr="004252A8" w:rsidRDefault="001E66EA" w:rsidP="003C1CEE">
            <w:pPr>
              <w:pStyle w:val="tabelNummers"/>
              <w:rPr>
                <w:rFonts w:eastAsia="Calibri"/>
              </w:rPr>
            </w:pPr>
            <w:r>
              <w:rPr>
                <w:rFonts w:eastAsia="Calibri"/>
              </w:rPr>
              <w:t>359</w:t>
            </w:r>
          </w:p>
        </w:tc>
        <w:tc>
          <w:tcPr>
            <w:tcW w:w="1979" w:type="dxa"/>
          </w:tcPr>
          <w:p w14:paraId="774EFB3A" w14:textId="77777777" w:rsidR="001E66EA" w:rsidRPr="004252A8" w:rsidRDefault="001E66EA" w:rsidP="003C1CEE">
            <w:pPr>
              <w:pStyle w:val="tabelNummers"/>
              <w:rPr>
                <w:rFonts w:eastAsia="Calibri"/>
              </w:rPr>
            </w:pPr>
            <w:r>
              <w:rPr>
                <w:rFonts w:eastAsia="Calibri"/>
              </w:rPr>
              <w:t>742</w:t>
            </w:r>
          </w:p>
        </w:tc>
      </w:tr>
    </w:tbl>
    <w:p w14:paraId="677A5E40" w14:textId="77777777" w:rsidR="001E66EA" w:rsidRDefault="001E66EA" w:rsidP="00DE08B1">
      <w:pPr>
        <w:jc w:val="left"/>
        <w:rPr>
          <w:rFonts w:eastAsia="Calibri" w:cs="Times New Roman"/>
          <w:color w:val="auto"/>
          <w:szCs w:val="24"/>
        </w:rPr>
      </w:pPr>
    </w:p>
    <w:p w14:paraId="5C7EA181" w14:textId="12C35B97" w:rsidR="001E66EA" w:rsidRPr="00306167" w:rsidRDefault="001E66EA" w:rsidP="00DE08B1">
      <w:pPr>
        <w:jc w:val="left"/>
        <w:rPr>
          <w:rFonts w:eastAsia="Calibri" w:cs="Times New Roman"/>
          <w:i/>
          <w:iCs/>
          <w:color w:val="auto"/>
          <w:szCs w:val="24"/>
        </w:rPr>
      </w:pPr>
      <w:r>
        <w:rPr>
          <w:rFonts w:eastAsia="Calibri" w:cs="Times New Roman"/>
          <w:i/>
          <w:iCs/>
          <w:color w:val="auto"/>
          <w:szCs w:val="24"/>
        </w:rPr>
        <w:t>Tabel 1</w:t>
      </w:r>
      <w:r w:rsidR="00F729EC">
        <w:rPr>
          <w:rFonts w:eastAsia="Calibri" w:cs="Times New Roman"/>
          <w:i/>
          <w:iCs/>
          <w:color w:val="auto"/>
          <w:szCs w:val="24"/>
        </w:rPr>
        <w:t>1</w:t>
      </w:r>
      <w:r w:rsidR="00A30049">
        <w:rPr>
          <w:rFonts w:eastAsia="Calibri" w:cs="Times New Roman"/>
          <w:i/>
          <w:iCs/>
          <w:color w:val="auto"/>
          <w:szCs w:val="24"/>
        </w:rPr>
        <w:t>:</w:t>
      </w:r>
      <w:r>
        <w:rPr>
          <w:rFonts w:eastAsia="Calibri" w:cs="Times New Roman"/>
          <w:i/>
          <w:iCs/>
          <w:color w:val="auto"/>
          <w:szCs w:val="24"/>
        </w:rPr>
        <w:t xml:space="preserve"> Passagiersvloot Nederland. Aantal vaartuigen (2010)</w:t>
      </w:r>
      <w:r w:rsidR="00A30049">
        <w:rPr>
          <w:rFonts w:eastAsia="Calibri" w:cs="Times New Roman"/>
          <w:i/>
          <w:iCs/>
          <w:color w:val="auto"/>
          <w:szCs w:val="24"/>
        </w:rPr>
        <w:t>.</w:t>
      </w:r>
      <w:r w:rsidRPr="00C44A5D">
        <w:rPr>
          <w:rStyle w:val="EndnoteReference"/>
          <w:rFonts w:eastAsia="Calibri" w:cs="Times New Roman"/>
          <w:color w:val="auto"/>
          <w:szCs w:val="24"/>
        </w:rPr>
        <w:endnoteReference w:id="51"/>
      </w:r>
    </w:p>
    <w:p w14:paraId="2261B0D9" w14:textId="3743BAC2" w:rsidR="007708C3" w:rsidRDefault="007708C3" w:rsidP="00DE08B1">
      <w:pPr>
        <w:jc w:val="left"/>
        <w:rPr>
          <w:rFonts w:eastAsia="Calibri" w:cs="Times New Roman"/>
          <w:color w:val="auto"/>
          <w:szCs w:val="24"/>
        </w:rPr>
      </w:pPr>
    </w:p>
    <w:p w14:paraId="02AFDBCF" w14:textId="77777777" w:rsidR="00BC1256" w:rsidRDefault="00BC1256" w:rsidP="00DE08B1">
      <w:pPr>
        <w:jc w:val="left"/>
        <w:rPr>
          <w:rFonts w:eastAsia="Calibri" w:cs="Times New Roman"/>
          <w:color w:val="auto"/>
          <w:szCs w:val="24"/>
        </w:rPr>
      </w:pPr>
    </w:p>
    <w:p w14:paraId="5DDCEBEF" w14:textId="77777777" w:rsidR="007708C3" w:rsidRDefault="007708C3" w:rsidP="00DE08B1">
      <w:pPr>
        <w:jc w:val="left"/>
        <w:rPr>
          <w:rFonts w:eastAsia="Calibri" w:cs="Times New Roman"/>
          <w:color w:val="auto"/>
          <w:szCs w:val="24"/>
        </w:rPr>
      </w:pPr>
    </w:p>
    <w:tbl>
      <w:tblPr>
        <w:tblStyle w:val="TableGrid"/>
        <w:tblW w:w="0" w:type="auto"/>
        <w:tblLook w:val="04A0" w:firstRow="1" w:lastRow="0" w:firstColumn="1" w:lastColumn="0" w:noHBand="0" w:noVBand="1"/>
      </w:tblPr>
      <w:tblGrid>
        <w:gridCol w:w="2972"/>
        <w:gridCol w:w="2126"/>
        <w:gridCol w:w="1985"/>
        <w:gridCol w:w="1979"/>
      </w:tblGrid>
      <w:tr w:rsidR="001E66EA" w14:paraId="4F689952" w14:textId="77777777" w:rsidTr="0030721E">
        <w:trPr>
          <w:trHeight w:val="567"/>
        </w:trPr>
        <w:tc>
          <w:tcPr>
            <w:tcW w:w="2972" w:type="dxa"/>
            <w:vMerge w:val="restart"/>
          </w:tcPr>
          <w:p w14:paraId="7829A7BB" w14:textId="77777777" w:rsidR="001E66EA" w:rsidRPr="00AC02E8" w:rsidRDefault="001E66EA" w:rsidP="00DE08B1">
            <w:pPr>
              <w:jc w:val="left"/>
              <w:rPr>
                <w:rFonts w:eastAsia="Calibri" w:cs="Times New Roman"/>
                <w:b/>
                <w:color w:val="auto"/>
                <w:sz w:val="20"/>
                <w:szCs w:val="20"/>
              </w:rPr>
            </w:pPr>
            <w:r w:rsidRPr="00AC02E8">
              <w:rPr>
                <w:rFonts w:eastAsia="Calibri" w:cs="Times New Roman"/>
                <w:b/>
                <w:color w:val="auto"/>
                <w:sz w:val="20"/>
                <w:szCs w:val="20"/>
              </w:rPr>
              <w:t>Soort vervoer</w:t>
            </w:r>
          </w:p>
        </w:tc>
        <w:tc>
          <w:tcPr>
            <w:tcW w:w="6090" w:type="dxa"/>
            <w:gridSpan w:val="3"/>
          </w:tcPr>
          <w:p w14:paraId="7114B33B" w14:textId="77777777" w:rsidR="001E66EA" w:rsidRPr="00AC02E8" w:rsidRDefault="001E66EA" w:rsidP="00CD3277">
            <w:pPr>
              <w:pStyle w:val="tabelKop"/>
            </w:pPr>
            <w:r w:rsidRPr="00AC02E8">
              <w:t>Omzet</w:t>
            </w:r>
          </w:p>
          <w:p w14:paraId="422CE561" w14:textId="1650BFF1" w:rsidR="001E66EA" w:rsidRPr="00AC02E8" w:rsidRDefault="001E66EA" w:rsidP="00CD3277">
            <w:pPr>
              <w:pStyle w:val="tabelKop"/>
            </w:pPr>
            <w:r w:rsidRPr="00AC02E8">
              <w:t xml:space="preserve">(miljoen </w:t>
            </w:r>
            <w:r w:rsidR="00AF5F8D" w:rsidRPr="00AC02E8">
              <w:t>e</w:t>
            </w:r>
            <w:r w:rsidRPr="00AC02E8">
              <w:t>uro)</w:t>
            </w:r>
          </w:p>
        </w:tc>
      </w:tr>
      <w:tr w:rsidR="001E66EA" w14:paraId="6EBC58F4" w14:textId="77777777" w:rsidTr="0030721E">
        <w:tc>
          <w:tcPr>
            <w:tcW w:w="2972" w:type="dxa"/>
            <w:vMerge/>
            <w:tcBorders>
              <w:bottom w:val="single" w:sz="4" w:space="0" w:color="auto"/>
            </w:tcBorders>
          </w:tcPr>
          <w:p w14:paraId="7ACECBE2" w14:textId="77777777" w:rsidR="001E66EA" w:rsidRPr="004252A8" w:rsidRDefault="001E66EA" w:rsidP="00DE08B1">
            <w:pPr>
              <w:jc w:val="left"/>
              <w:rPr>
                <w:rFonts w:eastAsia="Calibri" w:cs="Times New Roman"/>
                <w:color w:val="auto"/>
                <w:sz w:val="20"/>
                <w:szCs w:val="20"/>
              </w:rPr>
            </w:pPr>
          </w:p>
        </w:tc>
        <w:tc>
          <w:tcPr>
            <w:tcW w:w="2126" w:type="dxa"/>
            <w:tcBorders>
              <w:bottom w:val="single" w:sz="4" w:space="0" w:color="auto"/>
            </w:tcBorders>
          </w:tcPr>
          <w:p w14:paraId="6A7088EC" w14:textId="77777777" w:rsidR="001E66EA" w:rsidRPr="004252A8" w:rsidRDefault="001E66EA" w:rsidP="00DE08B1">
            <w:pPr>
              <w:jc w:val="left"/>
              <w:rPr>
                <w:rFonts w:eastAsia="Calibri" w:cs="Times New Roman"/>
                <w:color w:val="auto"/>
                <w:sz w:val="20"/>
                <w:szCs w:val="20"/>
              </w:rPr>
            </w:pPr>
            <w:r>
              <w:rPr>
                <w:rFonts w:eastAsia="Calibri" w:cs="Times New Roman"/>
                <w:color w:val="auto"/>
                <w:sz w:val="20"/>
                <w:szCs w:val="20"/>
              </w:rPr>
              <w:t>Hotelschepen</w:t>
            </w:r>
          </w:p>
        </w:tc>
        <w:tc>
          <w:tcPr>
            <w:tcW w:w="1985" w:type="dxa"/>
            <w:tcBorders>
              <w:bottom w:val="single" w:sz="4" w:space="0" w:color="auto"/>
            </w:tcBorders>
          </w:tcPr>
          <w:p w14:paraId="7A41AE42" w14:textId="77777777" w:rsidR="001E66EA" w:rsidRDefault="001E66EA" w:rsidP="00DE08B1">
            <w:pPr>
              <w:jc w:val="left"/>
              <w:rPr>
                <w:rFonts w:eastAsia="Calibri" w:cs="Times New Roman"/>
                <w:color w:val="auto"/>
                <w:sz w:val="20"/>
                <w:szCs w:val="20"/>
              </w:rPr>
            </w:pPr>
            <w:r>
              <w:rPr>
                <w:rFonts w:eastAsia="Calibri" w:cs="Times New Roman"/>
                <w:color w:val="auto"/>
                <w:sz w:val="20"/>
                <w:szCs w:val="20"/>
              </w:rPr>
              <w:t xml:space="preserve">Rondvaarten en </w:t>
            </w:r>
          </w:p>
          <w:p w14:paraId="44C702BA" w14:textId="77777777" w:rsidR="001E66EA" w:rsidRPr="004252A8" w:rsidRDefault="001E66EA" w:rsidP="00DE08B1">
            <w:pPr>
              <w:jc w:val="left"/>
              <w:rPr>
                <w:rFonts w:eastAsia="Calibri" w:cs="Times New Roman"/>
                <w:color w:val="auto"/>
                <w:sz w:val="20"/>
                <w:szCs w:val="20"/>
              </w:rPr>
            </w:pPr>
            <w:r>
              <w:rPr>
                <w:rFonts w:eastAsia="Calibri" w:cs="Times New Roman"/>
                <w:color w:val="auto"/>
                <w:sz w:val="20"/>
                <w:szCs w:val="20"/>
              </w:rPr>
              <w:t>dagtochten</w:t>
            </w:r>
          </w:p>
        </w:tc>
        <w:tc>
          <w:tcPr>
            <w:tcW w:w="1979" w:type="dxa"/>
            <w:tcBorders>
              <w:bottom w:val="single" w:sz="4" w:space="0" w:color="auto"/>
            </w:tcBorders>
          </w:tcPr>
          <w:p w14:paraId="21C07104" w14:textId="77777777" w:rsidR="001E66EA" w:rsidRPr="004252A8" w:rsidRDefault="001E66EA" w:rsidP="00DE08B1">
            <w:pPr>
              <w:jc w:val="left"/>
              <w:rPr>
                <w:rFonts w:eastAsia="Calibri" w:cs="Times New Roman"/>
                <w:color w:val="auto"/>
                <w:sz w:val="20"/>
                <w:szCs w:val="20"/>
              </w:rPr>
            </w:pPr>
            <w:r>
              <w:rPr>
                <w:rFonts w:eastAsia="Calibri" w:cs="Times New Roman"/>
                <w:color w:val="auto"/>
                <w:sz w:val="20"/>
                <w:szCs w:val="20"/>
              </w:rPr>
              <w:t>Totaal</w:t>
            </w:r>
          </w:p>
        </w:tc>
      </w:tr>
      <w:tr w:rsidR="001E66EA" w14:paraId="17A4E8C3" w14:textId="77777777" w:rsidTr="0030721E">
        <w:tc>
          <w:tcPr>
            <w:tcW w:w="2972" w:type="dxa"/>
            <w:tcBorders>
              <w:bottom w:val="nil"/>
            </w:tcBorders>
          </w:tcPr>
          <w:p w14:paraId="4AAD72D0" w14:textId="77777777" w:rsidR="001E66EA" w:rsidRPr="004252A8" w:rsidRDefault="001E66EA" w:rsidP="00D84B88">
            <w:pPr>
              <w:jc w:val="right"/>
              <w:rPr>
                <w:rFonts w:eastAsia="Calibri" w:cs="Times New Roman"/>
                <w:color w:val="auto"/>
                <w:sz w:val="20"/>
                <w:szCs w:val="20"/>
              </w:rPr>
            </w:pPr>
            <w:r>
              <w:rPr>
                <w:rFonts w:eastAsia="Calibri" w:cs="Times New Roman"/>
                <w:color w:val="auto"/>
                <w:sz w:val="20"/>
                <w:szCs w:val="20"/>
              </w:rPr>
              <w:t>Chartervaart</w:t>
            </w:r>
          </w:p>
        </w:tc>
        <w:tc>
          <w:tcPr>
            <w:tcW w:w="2126" w:type="dxa"/>
            <w:tcBorders>
              <w:bottom w:val="nil"/>
            </w:tcBorders>
          </w:tcPr>
          <w:p w14:paraId="7B1A7E3C" w14:textId="516FD6B3" w:rsidR="001E66EA" w:rsidRPr="004252A8" w:rsidRDefault="00AC02E8" w:rsidP="003C1CEE">
            <w:pPr>
              <w:pStyle w:val="tabelNummers"/>
              <w:rPr>
                <w:rFonts w:eastAsia="Calibri"/>
              </w:rPr>
            </w:pPr>
            <w:r>
              <w:rPr>
                <w:rFonts w:eastAsia="Calibri"/>
              </w:rPr>
              <w:t>-</w:t>
            </w:r>
          </w:p>
        </w:tc>
        <w:tc>
          <w:tcPr>
            <w:tcW w:w="1985" w:type="dxa"/>
            <w:tcBorders>
              <w:bottom w:val="nil"/>
            </w:tcBorders>
          </w:tcPr>
          <w:p w14:paraId="4269BA7C" w14:textId="10E79C28" w:rsidR="001E66EA" w:rsidRPr="004252A8" w:rsidRDefault="00AC02E8" w:rsidP="003C1CEE">
            <w:pPr>
              <w:pStyle w:val="tabelNummers"/>
              <w:rPr>
                <w:rFonts w:eastAsia="Calibri"/>
              </w:rPr>
            </w:pPr>
            <w:r>
              <w:rPr>
                <w:rFonts w:eastAsia="Calibri"/>
              </w:rPr>
              <w:t>-</w:t>
            </w:r>
          </w:p>
        </w:tc>
        <w:tc>
          <w:tcPr>
            <w:tcW w:w="1979" w:type="dxa"/>
            <w:tcBorders>
              <w:bottom w:val="nil"/>
            </w:tcBorders>
          </w:tcPr>
          <w:p w14:paraId="6D23F618" w14:textId="77777777" w:rsidR="001E66EA" w:rsidRPr="004252A8" w:rsidRDefault="001E66EA" w:rsidP="003C1CEE">
            <w:pPr>
              <w:pStyle w:val="tabelNummers"/>
              <w:rPr>
                <w:rFonts w:eastAsia="Calibri"/>
              </w:rPr>
            </w:pPr>
            <w:r>
              <w:rPr>
                <w:rFonts w:eastAsia="Calibri"/>
              </w:rPr>
              <w:t>53,4</w:t>
            </w:r>
          </w:p>
        </w:tc>
      </w:tr>
      <w:tr w:rsidR="001E66EA" w14:paraId="409426E9" w14:textId="77777777" w:rsidTr="0030721E">
        <w:tc>
          <w:tcPr>
            <w:tcW w:w="2972" w:type="dxa"/>
            <w:tcBorders>
              <w:top w:val="nil"/>
            </w:tcBorders>
          </w:tcPr>
          <w:p w14:paraId="2C824600" w14:textId="77777777" w:rsidR="001E66EA" w:rsidRPr="004252A8" w:rsidRDefault="001E66EA" w:rsidP="00D84B88">
            <w:pPr>
              <w:jc w:val="right"/>
              <w:rPr>
                <w:rFonts w:eastAsia="Calibri" w:cs="Times New Roman"/>
                <w:color w:val="auto"/>
                <w:sz w:val="20"/>
                <w:szCs w:val="20"/>
              </w:rPr>
            </w:pPr>
            <w:r>
              <w:rPr>
                <w:rFonts w:eastAsia="Calibri" w:cs="Times New Roman"/>
                <w:color w:val="auto"/>
                <w:sz w:val="20"/>
                <w:szCs w:val="20"/>
              </w:rPr>
              <w:t>Recreatieve passagiersvaart</w:t>
            </w:r>
          </w:p>
        </w:tc>
        <w:tc>
          <w:tcPr>
            <w:tcW w:w="2126" w:type="dxa"/>
            <w:tcBorders>
              <w:top w:val="nil"/>
            </w:tcBorders>
          </w:tcPr>
          <w:p w14:paraId="1CC43A94" w14:textId="77777777" w:rsidR="001E66EA" w:rsidRPr="004252A8" w:rsidRDefault="001E66EA" w:rsidP="003C1CEE">
            <w:pPr>
              <w:pStyle w:val="tabelNummers"/>
              <w:rPr>
                <w:rFonts w:eastAsia="Calibri"/>
              </w:rPr>
            </w:pPr>
            <w:r>
              <w:rPr>
                <w:rFonts w:eastAsia="Calibri"/>
              </w:rPr>
              <w:t>84,0</w:t>
            </w:r>
          </w:p>
        </w:tc>
        <w:tc>
          <w:tcPr>
            <w:tcW w:w="1985" w:type="dxa"/>
            <w:tcBorders>
              <w:top w:val="nil"/>
            </w:tcBorders>
          </w:tcPr>
          <w:p w14:paraId="2F080BAB" w14:textId="77777777" w:rsidR="001E66EA" w:rsidRPr="004252A8" w:rsidRDefault="001E66EA" w:rsidP="003C1CEE">
            <w:pPr>
              <w:pStyle w:val="tabelNummers"/>
              <w:rPr>
                <w:rFonts w:eastAsia="Calibri"/>
              </w:rPr>
            </w:pPr>
            <w:r>
              <w:rPr>
                <w:rFonts w:eastAsia="Calibri"/>
              </w:rPr>
              <w:t>98,6</w:t>
            </w:r>
          </w:p>
        </w:tc>
        <w:tc>
          <w:tcPr>
            <w:tcW w:w="1979" w:type="dxa"/>
            <w:tcBorders>
              <w:top w:val="nil"/>
            </w:tcBorders>
          </w:tcPr>
          <w:p w14:paraId="62B47909" w14:textId="77777777" w:rsidR="001E66EA" w:rsidRPr="004252A8" w:rsidRDefault="001E66EA" w:rsidP="003C1CEE">
            <w:pPr>
              <w:pStyle w:val="tabelNummers"/>
              <w:rPr>
                <w:rFonts w:eastAsia="Calibri"/>
              </w:rPr>
            </w:pPr>
            <w:r>
              <w:rPr>
                <w:rFonts w:eastAsia="Calibri"/>
              </w:rPr>
              <w:t>182,6</w:t>
            </w:r>
          </w:p>
        </w:tc>
      </w:tr>
      <w:tr w:rsidR="001E66EA" w14:paraId="4C9D86CC" w14:textId="77777777" w:rsidTr="0030721E">
        <w:tc>
          <w:tcPr>
            <w:tcW w:w="2972" w:type="dxa"/>
          </w:tcPr>
          <w:p w14:paraId="0EA58DEB" w14:textId="77777777" w:rsidR="001E66EA" w:rsidRPr="004252A8" w:rsidRDefault="001E66EA" w:rsidP="00D84B88">
            <w:pPr>
              <w:jc w:val="right"/>
              <w:rPr>
                <w:rFonts w:eastAsia="Calibri" w:cs="Times New Roman"/>
                <w:color w:val="auto"/>
                <w:sz w:val="20"/>
                <w:szCs w:val="20"/>
              </w:rPr>
            </w:pPr>
            <w:r>
              <w:rPr>
                <w:rFonts w:eastAsia="Calibri" w:cs="Times New Roman"/>
                <w:color w:val="auto"/>
                <w:sz w:val="20"/>
                <w:szCs w:val="20"/>
              </w:rPr>
              <w:t>Totaal</w:t>
            </w:r>
          </w:p>
        </w:tc>
        <w:tc>
          <w:tcPr>
            <w:tcW w:w="2126" w:type="dxa"/>
          </w:tcPr>
          <w:p w14:paraId="0042189D" w14:textId="4A64A5AD" w:rsidR="001E66EA" w:rsidRPr="004252A8" w:rsidRDefault="00AC02E8" w:rsidP="003C1CEE">
            <w:pPr>
              <w:pStyle w:val="tabelNummers"/>
              <w:rPr>
                <w:rFonts w:eastAsia="Calibri"/>
              </w:rPr>
            </w:pPr>
            <w:r>
              <w:rPr>
                <w:rFonts w:eastAsia="Calibri"/>
              </w:rPr>
              <w:t>-</w:t>
            </w:r>
          </w:p>
        </w:tc>
        <w:tc>
          <w:tcPr>
            <w:tcW w:w="1985" w:type="dxa"/>
          </w:tcPr>
          <w:p w14:paraId="02B6E0E8" w14:textId="0A624675" w:rsidR="001E66EA" w:rsidRPr="004252A8" w:rsidRDefault="00AC02E8" w:rsidP="003C1CEE">
            <w:pPr>
              <w:pStyle w:val="tabelNummers"/>
              <w:rPr>
                <w:rFonts w:eastAsia="Calibri"/>
              </w:rPr>
            </w:pPr>
            <w:r>
              <w:rPr>
                <w:rFonts w:eastAsia="Calibri"/>
              </w:rPr>
              <w:t>-</w:t>
            </w:r>
          </w:p>
        </w:tc>
        <w:tc>
          <w:tcPr>
            <w:tcW w:w="1979" w:type="dxa"/>
          </w:tcPr>
          <w:p w14:paraId="3CDEDBA8" w14:textId="77777777" w:rsidR="001E66EA" w:rsidRPr="004252A8" w:rsidRDefault="001E66EA" w:rsidP="003C1CEE">
            <w:pPr>
              <w:pStyle w:val="tabelNummers"/>
              <w:rPr>
                <w:rFonts w:eastAsia="Calibri"/>
              </w:rPr>
            </w:pPr>
            <w:r>
              <w:rPr>
                <w:rFonts w:eastAsia="Calibri"/>
              </w:rPr>
              <w:t>236</w:t>
            </w:r>
          </w:p>
        </w:tc>
      </w:tr>
    </w:tbl>
    <w:p w14:paraId="524924AA" w14:textId="77777777" w:rsidR="001E66EA" w:rsidRDefault="001E66EA" w:rsidP="00D84B88">
      <w:pPr>
        <w:jc w:val="right"/>
        <w:rPr>
          <w:rFonts w:eastAsia="Calibri" w:cs="Times New Roman"/>
          <w:color w:val="auto"/>
          <w:szCs w:val="24"/>
        </w:rPr>
      </w:pPr>
    </w:p>
    <w:p w14:paraId="5B105E74" w14:textId="098BCD9F" w:rsidR="001E66EA" w:rsidRPr="00C44A5D" w:rsidRDefault="001E66EA" w:rsidP="00DE08B1">
      <w:pPr>
        <w:jc w:val="left"/>
        <w:rPr>
          <w:rFonts w:eastAsia="Calibri" w:cs="Times New Roman"/>
          <w:color w:val="auto"/>
          <w:szCs w:val="24"/>
        </w:rPr>
      </w:pPr>
      <w:r>
        <w:rPr>
          <w:rFonts w:eastAsia="Calibri" w:cs="Times New Roman"/>
          <w:i/>
          <w:iCs/>
          <w:color w:val="auto"/>
          <w:szCs w:val="24"/>
        </w:rPr>
        <w:t>Tabel 1</w:t>
      </w:r>
      <w:r w:rsidR="00F729EC">
        <w:rPr>
          <w:rFonts w:eastAsia="Calibri" w:cs="Times New Roman"/>
          <w:i/>
          <w:iCs/>
          <w:color w:val="auto"/>
          <w:szCs w:val="24"/>
        </w:rPr>
        <w:t>2</w:t>
      </w:r>
      <w:r w:rsidR="00A30049">
        <w:rPr>
          <w:rFonts w:eastAsia="Calibri" w:cs="Times New Roman"/>
          <w:i/>
          <w:iCs/>
          <w:color w:val="auto"/>
          <w:szCs w:val="24"/>
        </w:rPr>
        <w:t>:</w:t>
      </w:r>
      <w:r>
        <w:rPr>
          <w:rFonts w:eastAsia="Calibri" w:cs="Times New Roman"/>
          <w:i/>
          <w:iCs/>
          <w:color w:val="auto"/>
          <w:szCs w:val="24"/>
        </w:rPr>
        <w:t xml:space="preserve"> Passagiersvloot Nederland. Omzet (2010)</w:t>
      </w:r>
      <w:r w:rsidR="00EB4709">
        <w:rPr>
          <w:rFonts w:eastAsia="Calibri" w:cs="Times New Roman"/>
          <w:i/>
          <w:iCs/>
          <w:color w:val="auto"/>
          <w:szCs w:val="24"/>
        </w:rPr>
        <w:t>.</w:t>
      </w:r>
      <w:r w:rsidRPr="00C44A5D">
        <w:rPr>
          <w:rStyle w:val="EndnoteReference"/>
          <w:rFonts w:eastAsia="Calibri" w:cs="Times New Roman"/>
          <w:color w:val="auto"/>
          <w:szCs w:val="24"/>
        </w:rPr>
        <w:endnoteReference w:id="52"/>
      </w:r>
    </w:p>
    <w:p w14:paraId="17D9C02C" w14:textId="77777777" w:rsidR="001E66EA" w:rsidRPr="00664371" w:rsidRDefault="001E66EA" w:rsidP="00DE08B1">
      <w:pPr>
        <w:jc w:val="left"/>
        <w:rPr>
          <w:rFonts w:eastAsia="Calibri" w:cs="Times New Roman"/>
          <w:color w:val="auto"/>
          <w:szCs w:val="24"/>
        </w:rPr>
      </w:pPr>
    </w:p>
    <w:p w14:paraId="65329F71" w14:textId="77777777" w:rsidR="005B2B72" w:rsidRDefault="005B2B72" w:rsidP="00DE08B1">
      <w:pPr>
        <w:jc w:val="left"/>
      </w:pPr>
    </w:p>
    <w:p w14:paraId="4E645545" w14:textId="37D1A818" w:rsidR="005B2B72" w:rsidRPr="004221AE" w:rsidRDefault="005B2B72" w:rsidP="005B2B72">
      <w:pPr>
        <w:pStyle w:val="Heading2"/>
      </w:pPr>
      <w:r>
        <w:t>6 De vloot voor de Tweede Wereldoorlog</w:t>
      </w:r>
    </w:p>
    <w:p w14:paraId="2F747C61" w14:textId="77777777" w:rsidR="00B111AF" w:rsidRDefault="00B111AF" w:rsidP="00C5473E">
      <w:pPr>
        <w:jc w:val="left"/>
      </w:pPr>
    </w:p>
    <w:p w14:paraId="1C3FB160" w14:textId="342CA2F6" w:rsidR="004221AE" w:rsidRPr="004221AE" w:rsidRDefault="004221AE" w:rsidP="00B050A0">
      <w:pPr>
        <w:jc w:val="left"/>
      </w:pPr>
      <w:r w:rsidRPr="004221AE">
        <w:t xml:space="preserve">In 1891 bestond de vloot voor het binnenlandse vervoer ongeveer uit 23.000 vaartuigen, met een gemiddeld laadvermogen van 35 ton, terwijl de Rijnvaartvloot ongeveer 3000 vaartuigen met een gemiddeld laadvermogen van 200 ton telde. Rijnschepen waren dus veel groter dan binnenlandse vaartuigen. De </w:t>
      </w:r>
      <w:r w:rsidR="00D46C0B">
        <w:t xml:space="preserve">binnenlandse </w:t>
      </w:r>
      <w:r w:rsidRPr="004221AE">
        <w:t xml:space="preserve">vloot </w:t>
      </w:r>
      <w:r w:rsidR="00D46C0B">
        <w:t xml:space="preserve">was </w:t>
      </w:r>
      <w:r w:rsidRPr="004221AE">
        <w:t xml:space="preserve">grotendeels </w:t>
      </w:r>
      <w:r w:rsidR="00D46C0B">
        <w:t xml:space="preserve">samengesteld </w:t>
      </w:r>
      <w:r w:rsidRPr="004221AE">
        <w:t>uit zeilschepen, die op moeilijke trajecten soms van sleepboot</w:t>
      </w:r>
      <w:r w:rsidR="00D64B32">
        <w:t>assistentie</w:t>
      </w:r>
      <w:r w:rsidRPr="004221AE">
        <w:t xml:space="preserve"> gebruikmaakten. De Rijnvaartvloot bestond bijna uitsluitend uit sleepschepen.</w:t>
      </w:r>
      <w:r w:rsidRPr="004221AE">
        <w:rPr>
          <w:vertAlign w:val="superscript"/>
        </w:rPr>
        <w:endnoteReference w:id="53"/>
      </w:r>
      <w:r w:rsidRPr="004221AE">
        <w:t xml:space="preserve"> Daarnaast waren in 1899 in de binnenvaart ongeveer 1</w:t>
      </w:r>
      <w:r w:rsidR="000845BF">
        <w:t>.</w:t>
      </w:r>
      <w:r w:rsidRPr="004221AE">
        <w:t>500 stoomboten werkzaam, voor stoomvaartpassagiersdiensten, stoom</w:t>
      </w:r>
      <w:r w:rsidRPr="004221AE">
        <w:softHyphen/>
      </w:r>
      <w:r w:rsidRPr="004221AE">
        <w:softHyphen/>
        <w:t>vaart</w:t>
      </w:r>
      <w:r w:rsidRPr="004221AE">
        <w:softHyphen/>
        <w:t>vrachtdiensten en vooral als sleepboten.</w:t>
      </w:r>
      <w:r w:rsidRPr="004221AE">
        <w:rPr>
          <w:vertAlign w:val="superscript"/>
        </w:rPr>
        <w:endnoteReference w:id="54"/>
      </w:r>
      <w:r w:rsidRPr="004221AE">
        <w:t xml:space="preserve"> </w:t>
      </w:r>
    </w:p>
    <w:p w14:paraId="2A975870" w14:textId="7C2758BC" w:rsidR="005562E1" w:rsidRDefault="00C5473E" w:rsidP="00B050A0">
      <w:pPr>
        <w:jc w:val="left"/>
        <w:rPr>
          <w:rFonts w:ascii="Calibri" w:eastAsia="Times New Roman" w:hAnsi="Calibri" w:cs="Calibri"/>
          <w:color w:val="FF0000"/>
          <w:szCs w:val="24"/>
          <w:shd w:val="clear" w:color="auto" w:fill="FFFFFF"/>
          <w:lang w:eastAsia="nl-NL"/>
        </w:rPr>
      </w:pPr>
      <w:r>
        <w:t xml:space="preserve"> </w:t>
      </w:r>
      <w:r>
        <w:tab/>
      </w:r>
      <w:r w:rsidR="00B11A85">
        <w:t xml:space="preserve">Tussen 1890 en 1939 veranderde de vloot sterk. Vaartuigen werden groter, houten schepen maakten plaats voor ijzerbouw, zeilschepen werden vervangen door sleepschepen en </w:t>
      </w:r>
      <w:r w:rsidR="00B11A85">
        <w:lastRenderedPageBreak/>
        <w:t xml:space="preserve">motorschepen of kregen een hulpmotor. De schaalvergroting hing nauw samen met de industrialisatie en de verbetering van het vaarwegennet. Industrialisatie leidde tot </w:t>
      </w:r>
      <w:r w:rsidR="00E46C44">
        <w:t xml:space="preserve">een toename van de partijgrootte, vaarwegverbeteringen maakten de inzet van grotere schepen mogelijk, terwijl grotere schepen tot goedkoper vervoer leidden. </w:t>
      </w:r>
      <w:r w:rsidR="00E46C44" w:rsidRPr="004221AE">
        <w:t>Waar mogelijk nam</w:t>
      </w:r>
      <w:r w:rsidR="00E46C44">
        <w:t xml:space="preserve">en de scheepsafmetingen </w:t>
      </w:r>
      <w:r w:rsidR="00E46C44" w:rsidRPr="004221AE">
        <w:t>sterk toe.</w:t>
      </w:r>
      <w:r w:rsidR="00E46C44">
        <w:rPr>
          <w:rStyle w:val="EndnoteReference"/>
        </w:rPr>
        <w:endnoteReference w:id="55"/>
      </w:r>
    </w:p>
    <w:p w14:paraId="221549B8" w14:textId="210A8AF1" w:rsidR="005562E1" w:rsidRPr="00012F9A" w:rsidRDefault="005562E1" w:rsidP="005562E1">
      <w:pPr>
        <w:jc w:val="left"/>
        <w:rPr>
          <w:rFonts w:ascii="Calibri" w:eastAsia="Times New Roman" w:hAnsi="Calibri" w:cs="Calibri"/>
          <w:color w:val="FF0000"/>
          <w:shd w:val="clear" w:color="auto" w:fill="FFFFFF"/>
          <w:lang w:eastAsia="nl-NL"/>
        </w:rPr>
      </w:pPr>
      <w:r w:rsidRPr="00012F9A">
        <w:rPr>
          <w:rFonts w:ascii="Calibri" w:eastAsia="Times New Roman" w:hAnsi="Calibri" w:cs="Calibri"/>
          <w:color w:val="FF0000"/>
          <w:szCs w:val="24"/>
          <w:shd w:val="clear" w:color="auto" w:fill="FFFFFF"/>
          <w:lang w:eastAsia="nl-NL"/>
        </w:rPr>
        <w:t>@i@</w:t>
      </w:r>
      <w:r w:rsidRPr="00012F9A">
        <w:rPr>
          <w:rFonts w:eastAsia="Times New Roman" w:cs="Times New Roman"/>
          <w:color w:val="FF0000"/>
          <w:szCs w:val="24"/>
          <w:lang w:eastAsia="nl-NL"/>
        </w:rPr>
        <w:t>[[[</w:t>
      </w:r>
      <w:r w:rsidR="00012F9A" w:rsidRPr="00012F9A">
        <w:rPr>
          <w:rFonts w:eastAsia="Times New Roman" w:cs="Times New Roman"/>
          <w:color w:val="FF0000"/>
          <w:lang w:eastAsia="nl-NL"/>
        </w:rPr>
        <w:t>27-03_</w:t>
      </w:r>
      <w:r w:rsidR="00012F9A" w:rsidRPr="00012F9A">
        <w:rPr>
          <w:rFonts w:cstheme="minorHAnsi"/>
          <w:color w:val="FF0000"/>
        </w:rPr>
        <w:t>Marktschepen.jpg</w:t>
      </w:r>
      <w:r w:rsidRPr="00012F9A">
        <w:rPr>
          <w:rFonts w:cstheme="minorHAnsi"/>
          <w:color w:val="FF0000"/>
        </w:rPr>
        <w:t>]]]</w:t>
      </w:r>
      <w:r w:rsidRPr="00012F9A">
        <w:rPr>
          <w:rFonts w:ascii="Calibri" w:eastAsia="Times New Roman" w:hAnsi="Calibri" w:cs="Calibri"/>
          <w:color w:val="FF0000"/>
          <w:szCs w:val="24"/>
          <w:shd w:val="clear" w:color="auto" w:fill="FFFFFF"/>
          <w:lang w:eastAsia="nl-NL"/>
        </w:rPr>
        <w:t>@/i@​</w:t>
      </w:r>
    </w:p>
    <w:p w14:paraId="74C509E5" w14:textId="35CBEFA1" w:rsidR="00054436" w:rsidRDefault="00054436" w:rsidP="00DE08B1">
      <w:pPr>
        <w:jc w:val="left"/>
        <w:rPr>
          <w:rFonts w:cstheme="minorHAnsi"/>
        </w:rPr>
      </w:pPr>
    </w:p>
    <w:p w14:paraId="6BB4C336" w14:textId="77777777" w:rsidR="0054074E" w:rsidRPr="00B111AF" w:rsidRDefault="0054074E" w:rsidP="00DE08B1">
      <w:pPr>
        <w:jc w:val="left"/>
        <w:rPr>
          <w:rFonts w:cstheme="minorHAnsi"/>
        </w:rPr>
      </w:pPr>
    </w:p>
    <w:p w14:paraId="79E934D7" w14:textId="65ED7928" w:rsidR="004221AE" w:rsidRDefault="004221AE" w:rsidP="00B111AF">
      <w:pPr>
        <w:pStyle w:val="Heading2"/>
      </w:pPr>
      <w:r w:rsidRPr="004221AE">
        <w:t>IJzeren en houten schepen</w:t>
      </w:r>
    </w:p>
    <w:p w14:paraId="624DF3BB" w14:textId="77777777" w:rsidR="00B111AF" w:rsidRPr="00B111AF" w:rsidRDefault="00B111AF" w:rsidP="00B111AF"/>
    <w:p w14:paraId="243A2028" w14:textId="18ECDDC6" w:rsidR="006540CA" w:rsidRPr="008D46FD" w:rsidRDefault="004221AE" w:rsidP="006540CA">
      <w:pPr>
        <w:jc w:val="left"/>
        <w:rPr>
          <w:rFonts w:cstheme="minorHAnsi"/>
        </w:rPr>
      </w:pPr>
      <w:r w:rsidRPr="004221AE">
        <w:t xml:space="preserve">In deel 3 </w:t>
      </w:r>
      <w:r w:rsidR="00687044">
        <w:t xml:space="preserve">van de </w:t>
      </w:r>
      <w:r w:rsidR="00687044">
        <w:rPr>
          <w:i/>
          <w:iCs/>
        </w:rPr>
        <w:t xml:space="preserve">Nieuwe Maritieme Geschiedenis van Nederland </w:t>
      </w:r>
      <w:r w:rsidRPr="004221AE">
        <w:t xml:space="preserve">zijn de voordelen van ijzeren tegenover houten </w:t>
      </w:r>
      <w:r w:rsidR="009A7A72">
        <w:t xml:space="preserve">binnenschepen </w:t>
      </w:r>
      <w:r w:rsidRPr="004221AE">
        <w:t xml:space="preserve">uitvoerig </w:t>
      </w:r>
      <w:r w:rsidR="00274520">
        <w:t>beschreven</w:t>
      </w:r>
      <w:r w:rsidRPr="004221AE">
        <w:t>. Omdat binnenschepen een lange levensduur h</w:t>
      </w:r>
      <w:r w:rsidR="00274520">
        <w:t>adden</w:t>
      </w:r>
      <w:r w:rsidRPr="004221AE">
        <w:t xml:space="preserve">, verliep de overgang van hout naar ijzer betrekkelijk langzaam. </w:t>
      </w:r>
      <w:r w:rsidR="00E47AAE">
        <w:t xml:space="preserve">Binnen </w:t>
      </w:r>
      <w:r w:rsidRPr="004221AE">
        <w:t xml:space="preserve">de Nederlandse Rijnvaartvloot bestond in 1900 nog ongeveer een derde deel van het gezamenlijke laadvermogen uit houten schepen. </w:t>
      </w:r>
      <w:r w:rsidR="00274520">
        <w:t xml:space="preserve">Veertien jaar later </w:t>
      </w:r>
      <w:r w:rsidRPr="004221AE">
        <w:t xml:space="preserve">waren de houten vaartuigen hier nagenoeg verdwenen. </w:t>
      </w:r>
      <w:r w:rsidR="00274520">
        <w:t xml:space="preserve">In de </w:t>
      </w:r>
      <w:r w:rsidRPr="004221AE">
        <w:t>binnenlandse vloot bleven houten vaartuigen tot het begin van de twintigste eeuw overheersen, maar exacte cijfers ontbreken.</w:t>
      </w:r>
      <w:r w:rsidRPr="004221AE">
        <w:rPr>
          <w:vertAlign w:val="superscript"/>
        </w:rPr>
        <w:endnoteReference w:id="56"/>
      </w:r>
      <w:r w:rsidRPr="004221AE">
        <w:t xml:space="preserve">   </w:t>
      </w:r>
    </w:p>
    <w:p w14:paraId="604854F6" w14:textId="100C79D7" w:rsidR="004221AE" w:rsidRPr="004221AE" w:rsidRDefault="003D73A5" w:rsidP="00DE08B1">
      <w:pPr>
        <w:jc w:val="left"/>
      </w:pPr>
      <w:r>
        <w:br/>
      </w:r>
    </w:p>
    <w:p w14:paraId="51F05236" w14:textId="77777777" w:rsidR="004221AE" w:rsidRPr="004221AE" w:rsidRDefault="004221AE" w:rsidP="003D73A5">
      <w:pPr>
        <w:pStyle w:val="Heading2"/>
      </w:pPr>
      <w:r w:rsidRPr="003D73A5">
        <w:rPr>
          <w:rStyle w:val="Heading2Char"/>
        </w:rPr>
        <w:t>Zeilschepen en</w:t>
      </w:r>
      <w:r w:rsidRPr="004221AE">
        <w:t xml:space="preserve"> sleepschepen        </w:t>
      </w:r>
    </w:p>
    <w:p w14:paraId="0B8EC13B" w14:textId="789A4AD8" w:rsidR="004221AE" w:rsidRDefault="003D73A5" w:rsidP="00DE08B1">
      <w:pPr>
        <w:jc w:val="left"/>
      </w:pPr>
      <w:r>
        <w:br/>
      </w:r>
      <w:r w:rsidR="004221AE" w:rsidRPr="004221AE">
        <w:t xml:space="preserve">Terwijl </w:t>
      </w:r>
      <w:r w:rsidR="00FD6EC6">
        <w:t xml:space="preserve">de </w:t>
      </w:r>
      <w:r w:rsidR="004221AE" w:rsidRPr="004221AE">
        <w:t xml:space="preserve">zeilschepen in de Rijnvaart </w:t>
      </w:r>
      <w:r w:rsidR="00F20715">
        <w:t xml:space="preserve">vanaf het midden </w:t>
      </w:r>
      <w:r w:rsidR="004221AE" w:rsidRPr="004221AE">
        <w:t xml:space="preserve">van de negentiende eeuw geleidelijk </w:t>
      </w:r>
      <w:r w:rsidR="000D0C3B">
        <w:t>w</w:t>
      </w:r>
      <w:r w:rsidR="00F20715">
        <w:t xml:space="preserve">erden </w:t>
      </w:r>
      <w:r w:rsidR="004221AE" w:rsidRPr="004221AE">
        <w:t xml:space="preserve">vervangen door sleepschepen, verschenen de eerste sleepschepen in het binnenlands vervoer pas kort voor de eeuwwisseling. </w:t>
      </w:r>
      <w:r w:rsidR="00FD6EC6" w:rsidRPr="001A04EF">
        <w:t xml:space="preserve">Meestal waren het grote ijzeren vaartuigen in het bezit van rederijen, </w:t>
      </w:r>
      <w:r w:rsidR="004221AE" w:rsidRPr="001A04EF">
        <w:t>die ze door eigen sleepboten of die van sleepdiensten lieten slepen. Bij de overgang van zeilvaart naar sleepvaart speelden drie factoren een rol. Ten eerste kon de sleepvaart met een kleinere bemanning volstaan</w:t>
      </w:r>
      <w:r w:rsidR="00B93E15" w:rsidRPr="001A04EF">
        <w:t xml:space="preserve">, </w:t>
      </w:r>
      <w:r w:rsidR="00FD6EC6" w:rsidRPr="001A04EF">
        <w:t xml:space="preserve">vooral wanneer grote hoeveelheden goederen moesten worden vervoerd en </w:t>
      </w:r>
      <w:r w:rsidR="004221AE" w:rsidRPr="001A04EF">
        <w:t xml:space="preserve">grote sleepschepen konden worden ingezet. Ten tweede leverde de overgang </w:t>
      </w:r>
      <w:r w:rsidR="00FD6EC6" w:rsidRPr="001A04EF">
        <w:t xml:space="preserve">naar </w:t>
      </w:r>
      <w:r w:rsidR="004221AE" w:rsidRPr="001A04EF">
        <w:t xml:space="preserve">sleepvaart een aanzienlijke verkorting </w:t>
      </w:r>
      <w:r w:rsidR="00590D5D" w:rsidRPr="001A04EF">
        <w:t xml:space="preserve">op </w:t>
      </w:r>
      <w:r w:rsidR="004221AE" w:rsidRPr="001A04EF">
        <w:t>van de reis</w:t>
      </w:r>
      <w:r w:rsidR="00E17889" w:rsidRPr="001A04EF">
        <w:t>duur</w:t>
      </w:r>
      <w:r w:rsidR="004221AE" w:rsidRPr="001A04EF">
        <w:t xml:space="preserve">, zodat meer reizen konden worden gemaakt. </w:t>
      </w:r>
      <w:r w:rsidR="00FD6EC6" w:rsidRPr="001A04EF">
        <w:t>En t</w:t>
      </w:r>
      <w:r w:rsidR="004221AE" w:rsidRPr="001A04EF">
        <w:t>en derde waren sleepschepen goedkoper in aanschaf en onderhoud dan zeilschepen, omdat ze geen</w:t>
      </w:r>
      <w:r w:rsidR="004221AE" w:rsidRPr="004221AE">
        <w:t xml:space="preserve"> tuigage hadden. </w:t>
      </w:r>
      <w:r w:rsidR="00FD6EC6">
        <w:t xml:space="preserve">Bovendien </w:t>
      </w:r>
      <w:r w:rsidR="004221AE" w:rsidRPr="004221AE">
        <w:t xml:space="preserve">bood de overgang </w:t>
      </w:r>
      <w:r w:rsidR="00E17889">
        <w:t xml:space="preserve">van particulier vervoer </w:t>
      </w:r>
      <w:r w:rsidR="00F20715">
        <w:t xml:space="preserve">naar </w:t>
      </w:r>
      <w:r w:rsidR="004221AE" w:rsidRPr="004221AE">
        <w:t xml:space="preserve">rederijvaart </w:t>
      </w:r>
      <w:r w:rsidR="00FD6EC6">
        <w:t xml:space="preserve">vaak </w:t>
      </w:r>
      <w:r w:rsidR="004221AE" w:rsidRPr="004221AE">
        <w:t xml:space="preserve">nog twee </w:t>
      </w:r>
      <w:r w:rsidR="00FD6EC6">
        <w:t xml:space="preserve">andere </w:t>
      </w:r>
      <w:r w:rsidR="004221AE" w:rsidRPr="004221AE">
        <w:t>voordelen. Reders onderhielden, in tegenstelling tot particuliere schippers, vaak rechtstreeks</w:t>
      </w:r>
      <w:r w:rsidR="00E17889">
        <w:t>e</w:t>
      </w:r>
      <w:r w:rsidR="004221AE" w:rsidRPr="004221AE">
        <w:t xml:space="preserve"> contact</w:t>
      </w:r>
      <w:r w:rsidR="00E17889">
        <w:t>en</w:t>
      </w:r>
      <w:r w:rsidR="004221AE" w:rsidRPr="004221AE">
        <w:t xml:space="preserve"> met hun verladers. Door deze contacten en door een goede bedrijfsorganisatie </w:t>
      </w:r>
      <w:r w:rsidR="00FD6EC6">
        <w:t xml:space="preserve">konden </w:t>
      </w:r>
      <w:r w:rsidR="005C4AA1">
        <w:t>ze kosten</w:t>
      </w:r>
      <w:r w:rsidR="00FD6EC6">
        <w:t xml:space="preserve"> besparen</w:t>
      </w:r>
      <w:r w:rsidR="005C4AA1">
        <w:t xml:space="preserve">, omdat </w:t>
      </w:r>
      <w:r w:rsidR="004221AE" w:rsidRPr="004221AE">
        <w:t xml:space="preserve">hun schepen minder lang op lading </w:t>
      </w:r>
      <w:r w:rsidR="005C4AA1">
        <w:t xml:space="preserve">hoefden </w:t>
      </w:r>
      <w:r w:rsidR="004221AE" w:rsidRPr="004221AE">
        <w:t xml:space="preserve">te wachten. En </w:t>
      </w:r>
      <w:r w:rsidR="00F6200D">
        <w:t>ook</w:t>
      </w:r>
      <w:r w:rsidR="00E17889">
        <w:t xml:space="preserve"> </w:t>
      </w:r>
      <w:r w:rsidR="004221AE" w:rsidRPr="004221AE">
        <w:t>sloten reders, in tegenstelling tot particuliere schippers, rechtstreeks</w:t>
      </w:r>
      <w:r w:rsidR="000C1933">
        <w:t>e</w:t>
      </w:r>
      <w:r w:rsidR="004221AE" w:rsidRPr="004221AE">
        <w:t xml:space="preserve"> vervoerscontracten met verladers, waardoor ze geen provisie aan tussenpersonen hoefden te betalen. </w:t>
      </w:r>
    </w:p>
    <w:p w14:paraId="7E979F37" w14:textId="540F7B78" w:rsidR="004221AE" w:rsidRPr="003145D6" w:rsidRDefault="007E695D" w:rsidP="00B76417">
      <w:pPr>
        <w:jc w:val="left"/>
        <w:rPr>
          <w:color w:val="FF0000"/>
        </w:rPr>
      </w:pPr>
      <w:r w:rsidRPr="00113F93">
        <w:rPr>
          <w:rFonts w:ascii="Calibri" w:eastAsia="Times New Roman" w:hAnsi="Calibri" w:cs="Calibri"/>
          <w:color w:val="FF0000"/>
          <w:szCs w:val="24"/>
          <w:shd w:val="clear" w:color="auto" w:fill="FFFFFF"/>
          <w:lang w:eastAsia="nl-NL"/>
        </w:rPr>
        <w:t>@i@</w:t>
      </w:r>
      <w:r w:rsidRPr="00113F93">
        <w:rPr>
          <w:rFonts w:eastAsia="Times New Roman" w:cs="Times New Roman"/>
          <w:color w:val="FF0000"/>
          <w:szCs w:val="24"/>
          <w:lang w:eastAsia="nl-NL"/>
        </w:rPr>
        <w:t>[[[</w:t>
      </w:r>
      <w:r w:rsidR="00113F93" w:rsidRPr="00113F93">
        <w:rPr>
          <w:rFonts w:eastAsia="Times New Roman" w:cs="Times New Roman"/>
          <w:color w:val="FF0000"/>
          <w:szCs w:val="24"/>
          <w:lang w:eastAsia="nl-NL"/>
        </w:rPr>
        <w:t>28-</w:t>
      </w:r>
      <w:r w:rsidRPr="00113F93">
        <w:rPr>
          <w:rFonts w:eastAsia="Times New Roman" w:cs="Times New Roman"/>
          <w:color w:val="FF0000"/>
          <w:szCs w:val="24"/>
          <w:lang w:eastAsia="nl-NL"/>
        </w:rPr>
        <w:t>23_zeilendeklipper</w:t>
      </w:r>
      <w:r w:rsidRPr="00113F93">
        <w:rPr>
          <w:rFonts w:cstheme="minorHAnsi"/>
          <w:color w:val="FF0000"/>
        </w:rPr>
        <w:t>.jpg]]]</w:t>
      </w:r>
      <w:r w:rsidRPr="00113F93">
        <w:rPr>
          <w:rFonts w:ascii="Calibri" w:eastAsia="Times New Roman" w:hAnsi="Calibri" w:cs="Calibri"/>
          <w:color w:val="FF0000"/>
          <w:szCs w:val="24"/>
          <w:shd w:val="clear" w:color="auto" w:fill="FFFFFF"/>
          <w:lang w:eastAsia="nl-NL"/>
        </w:rPr>
        <w:t xml:space="preserve">@/i@​ </w:t>
      </w:r>
      <w:r w:rsidRPr="00113F93">
        <w:rPr>
          <w:color w:val="FF0000"/>
        </w:rPr>
        <w:t xml:space="preserve"> </w:t>
      </w:r>
      <w:r w:rsidR="00217D92">
        <w:br/>
      </w:r>
      <w:r w:rsidR="00065092">
        <w:t xml:space="preserve"> </w:t>
      </w:r>
      <w:r w:rsidR="00065092">
        <w:tab/>
        <w:t>D</w:t>
      </w:r>
      <w:r w:rsidR="004221AE" w:rsidRPr="004221AE">
        <w:t>aar stond natuurlijk tegenover dat sleepboten hoge bouw- en onderhoudskosten vergden</w:t>
      </w:r>
      <w:r w:rsidR="00947709">
        <w:t xml:space="preserve">, </w:t>
      </w:r>
      <w:r w:rsidR="004221AE" w:rsidRPr="004221AE">
        <w:t>dat zeilschepen van gratis windenergie gebruikmaakten</w:t>
      </w:r>
      <w:r w:rsidR="00947709">
        <w:t xml:space="preserve"> en dat particuliere schippers zuiniger met hun schepen omgingen. Vooral bij grote vervoershoeveelheden konden reders met hun sleepschepen soms </w:t>
      </w:r>
      <w:r w:rsidR="004221AE" w:rsidRPr="004221AE">
        <w:t>tegen een lager tarief varen dan particuliere schippers</w:t>
      </w:r>
      <w:r w:rsidR="00547BEE">
        <w:t xml:space="preserve"> met zeilschepen</w:t>
      </w:r>
      <w:r w:rsidR="004221AE" w:rsidRPr="004221AE">
        <w:t xml:space="preserve">. Later </w:t>
      </w:r>
      <w:r w:rsidR="00F20715">
        <w:t xml:space="preserve">kochten </w:t>
      </w:r>
      <w:r w:rsidR="00547BEE">
        <w:t xml:space="preserve">daarom </w:t>
      </w:r>
      <w:r w:rsidR="004221AE" w:rsidRPr="004221AE">
        <w:t xml:space="preserve">ook </w:t>
      </w:r>
      <w:r w:rsidR="005C4AA1">
        <w:t xml:space="preserve">sommige </w:t>
      </w:r>
      <w:r w:rsidR="004221AE" w:rsidRPr="004221AE">
        <w:t xml:space="preserve">particuliere schippers </w:t>
      </w:r>
      <w:r w:rsidR="00F20715">
        <w:t xml:space="preserve">een sleepschip. In </w:t>
      </w:r>
      <w:r w:rsidR="00F20715">
        <w:lastRenderedPageBreak/>
        <w:t xml:space="preserve">1900 bestond 11,8 procent van de </w:t>
      </w:r>
      <w:r w:rsidR="00547BEE">
        <w:t xml:space="preserve">vaartuigen </w:t>
      </w:r>
      <w:r w:rsidR="004221AE" w:rsidRPr="004221AE">
        <w:t>die voor het eerst in het kadaster werden ingeschreven uit sleep</w:t>
      </w:r>
      <w:r w:rsidR="00F20715">
        <w:softHyphen/>
      </w:r>
      <w:r w:rsidR="004221AE" w:rsidRPr="004221AE">
        <w:t>schepen. In 1925 was dit aandeel opgelopen naar 34,9 procent. Hoe groot het aandeel van de sleepschepen in het laadvermogen was, is onbekend.</w:t>
      </w:r>
      <w:r w:rsidR="004221AE" w:rsidRPr="004221AE">
        <w:rPr>
          <w:vertAlign w:val="superscript"/>
        </w:rPr>
        <w:endnoteReference w:id="57"/>
      </w:r>
      <w:r w:rsidR="004221AE" w:rsidRPr="004221AE">
        <w:t xml:space="preserve"> </w:t>
      </w:r>
    </w:p>
    <w:p w14:paraId="19C3F652" w14:textId="49CEEE12" w:rsidR="004221AE" w:rsidRPr="004221AE" w:rsidRDefault="004C023D" w:rsidP="00DE08B1">
      <w:pPr>
        <w:jc w:val="left"/>
      </w:pPr>
      <w:r>
        <w:br/>
      </w:r>
    </w:p>
    <w:p w14:paraId="0DCD6CA7" w14:textId="465C562F" w:rsidR="004221AE" w:rsidRPr="004221AE" w:rsidRDefault="004221AE" w:rsidP="004C023D">
      <w:pPr>
        <w:pStyle w:val="Heading2"/>
      </w:pPr>
      <w:r w:rsidRPr="004221AE">
        <w:t>Motorschepen</w:t>
      </w:r>
      <w:r w:rsidR="004C023D">
        <w:br/>
      </w:r>
    </w:p>
    <w:p w14:paraId="1CCDF360" w14:textId="43162A93" w:rsidR="004221AE" w:rsidRPr="004221AE" w:rsidRDefault="004221AE" w:rsidP="004A07D1">
      <w:pPr>
        <w:jc w:val="left"/>
      </w:pPr>
      <w:r w:rsidRPr="004221AE">
        <w:t>Het eerste binnenschip met een verbrandingsmotor – petroleum – verscheen in 1893 op de Nederlandse vaarwegen. Kort daar</w:t>
      </w:r>
      <w:r w:rsidR="00547BEE">
        <w:t>op</w:t>
      </w:r>
      <w:r w:rsidRPr="004221AE">
        <w:t xml:space="preserve"> </w:t>
      </w:r>
      <w:r w:rsidR="00F20715">
        <w:t xml:space="preserve">werden </w:t>
      </w:r>
      <w:r w:rsidRPr="004221AE">
        <w:t>de</w:t>
      </w:r>
      <w:r w:rsidR="00547BEE">
        <w:t xml:space="preserve">rgelijke </w:t>
      </w:r>
      <w:r w:rsidRPr="004221AE">
        <w:t xml:space="preserve">motoren </w:t>
      </w:r>
      <w:r w:rsidR="00F20715">
        <w:t xml:space="preserve">voorzien van </w:t>
      </w:r>
      <w:r w:rsidRPr="004221AE">
        <w:t xml:space="preserve">een keerkoppeling en een gemakkelijk bedienbare startinstallatie. In 1906 vervaardigde de Groningse ingenieur Jan Brons de zogenaamde </w:t>
      </w:r>
      <w:proofErr w:type="spellStart"/>
      <w:r w:rsidRPr="004221AE">
        <w:t>bronsmotor</w:t>
      </w:r>
      <w:proofErr w:type="spellEnd"/>
      <w:r w:rsidRPr="004221AE">
        <w:t xml:space="preserve">, die goedkope dieselolie in plaats van petroleum gebruikte. Enige jaren later verschenen de zogenaamde gloeikopmotoren, die </w:t>
      </w:r>
      <w:r w:rsidR="00746FAE">
        <w:t xml:space="preserve">ook </w:t>
      </w:r>
      <w:r w:rsidRPr="004221AE">
        <w:t xml:space="preserve">op dieselolie liepen, maar </w:t>
      </w:r>
      <w:r w:rsidR="00547BEE">
        <w:t xml:space="preserve">nog </w:t>
      </w:r>
      <w:r w:rsidRPr="004221AE">
        <w:t xml:space="preserve">goedkoper waren. Aanvankelijk hadden de motoren weinig vermogen, de eerste brons- en gloeikopmotoren kwamen op 50 PK. </w:t>
      </w:r>
      <w:r w:rsidR="00F20715">
        <w:t xml:space="preserve">Daarom </w:t>
      </w:r>
      <w:r w:rsidRPr="004221AE">
        <w:t xml:space="preserve">werden </w:t>
      </w:r>
      <w:r w:rsidR="00F20715">
        <w:t>verbrandings</w:t>
      </w:r>
      <w:r w:rsidRPr="004221AE">
        <w:t xml:space="preserve">motoren </w:t>
      </w:r>
      <w:r w:rsidR="00547BEE">
        <w:t xml:space="preserve">in </w:t>
      </w:r>
      <w:r w:rsidR="0062576C">
        <w:t xml:space="preserve">het begin </w:t>
      </w:r>
      <w:r w:rsidRPr="004221AE">
        <w:t>vooral in kleine vaartuigen</w:t>
      </w:r>
      <w:r w:rsidR="00F20715">
        <w:t xml:space="preserve"> gebruikt</w:t>
      </w:r>
      <w:r w:rsidRPr="004221AE">
        <w:t>.</w:t>
      </w:r>
      <w:r w:rsidR="00746FAE" w:rsidRPr="00746FAE">
        <w:t xml:space="preserve"> </w:t>
      </w:r>
      <w:r w:rsidR="00746FAE" w:rsidRPr="004221AE">
        <w:t>Pas na 1914 werden grotere motoren betrouwbaar.</w:t>
      </w:r>
      <w:r w:rsidRPr="004221AE">
        <w:t xml:space="preserve"> In 1925 had meer dan 62 procent van de bij het kadaster ingeschreven motorschepen een laadvermogen van minder dan 100 ton.</w:t>
      </w:r>
      <w:r w:rsidRPr="004221AE">
        <w:rPr>
          <w:vertAlign w:val="superscript"/>
        </w:rPr>
        <w:endnoteReference w:id="58"/>
      </w:r>
      <w:r w:rsidRPr="004221AE">
        <w:t xml:space="preserve">   </w:t>
      </w:r>
    </w:p>
    <w:p w14:paraId="23FE5FE6" w14:textId="6920818F" w:rsidR="004221AE" w:rsidRPr="00AE71EC" w:rsidRDefault="00F36BBE" w:rsidP="004A07D1">
      <w:pPr>
        <w:jc w:val="left"/>
        <w:rPr>
          <w:rFonts w:cstheme="minorHAnsi"/>
        </w:rPr>
      </w:pPr>
      <w:r>
        <w:tab/>
      </w:r>
      <w:r w:rsidR="004221AE" w:rsidRPr="004221AE">
        <w:t xml:space="preserve">Motorschepen eisten een kleinere bemanning dan stoomschepen, terwijl ze sneller voeren en minder </w:t>
      </w:r>
      <w:r w:rsidR="00F20715">
        <w:t xml:space="preserve">van natuurlijke omstandigheden </w:t>
      </w:r>
      <w:r w:rsidR="004221AE" w:rsidRPr="004221AE">
        <w:t xml:space="preserve">afhankelijk waren dan zeilschepen. </w:t>
      </w:r>
      <w:r w:rsidR="00594A49">
        <w:t xml:space="preserve">Motorschepen konden dus meer reizen maken dan zeilschepen en </w:t>
      </w:r>
      <w:r w:rsidR="00D65C9D">
        <w:t xml:space="preserve">konden ook </w:t>
      </w:r>
      <w:r w:rsidR="00594A49">
        <w:t xml:space="preserve">een nauwkeuriger tijdschema aanhouden. </w:t>
      </w:r>
      <w:r w:rsidR="00C2794B">
        <w:t xml:space="preserve">Daarmee waren de </w:t>
      </w:r>
      <w:r w:rsidR="004221AE" w:rsidRPr="004221AE">
        <w:t>arbeidskosten</w:t>
      </w:r>
      <w:r w:rsidR="008975A3">
        <w:rPr>
          <w:rStyle w:val="EndnoteReference"/>
        </w:rPr>
        <w:endnoteReference w:id="59"/>
      </w:r>
      <w:r w:rsidR="004221AE" w:rsidRPr="004221AE">
        <w:t xml:space="preserve"> per afgelegde kilometer op motorschepen dus veel lager dan </w:t>
      </w:r>
      <w:r w:rsidR="00C2794B">
        <w:t xml:space="preserve">bij schepen van dezelfde grootte </w:t>
      </w:r>
      <w:r w:rsidR="004221AE" w:rsidRPr="004221AE">
        <w:t>in de stoom- of zeilvaart. Naarmate de motoren efficiënter werden, waren ze steeds beter in staat om tegen de zeil- en stoomvaart te concurreren.</w:t>
      </w:r>
      <w:r w:rsidR="00746FAE" w:rsidRPr="00746FAE">
        <w:t xml:space="preserve"> </w:t>
      </w:r>
      <w:r w:rsidR="00746FAE">
        <w:t xml:space="preserve">Grote </w:t>
      </w:r>
      <w:r w:rsidR="00746FAE" w:rsidRPr="004221AE">
        <w:t>vaartuigen bleven tot de jaren twintig vooral van wind</w:t>
      </w:r>
      <w:r w:rsidR="00746FAE">
        <w:t>-</w:t>
      </w:r>
      <w:r w:rsidR="00746FAE" w:rsidRPr="004221AE">
        <w:t xml:space="preserve"> en stoom(sleep)kracht gebruikmaken.</w:t>
      </w:r>
      <w:r w:rsidR="004221AE" w:rsidRPr="004221AE">
        <w:rPr>
          <w:vertAlign w:val="superscript"/>
        </w:rPr>
        <w:endnoteReference w:id="60"/>
      </w:r>
    </w:p>
    <w:p w14:paraId="5C640553" w14:textId="6F6F6858" w:rsidR="004221AE" w:rsidRDefault="004221AE" w:rsidP="00DE08B1">
      <w:pPr>
        <w:jc w:val="left"/>
      </w:pPr>
    </w:p>
    <w:p w14:paraId="2002E8BD" w14:textId="77777777" w:rsidR="004F620C" w:rsidRPr="004221AE" w:rsidRDefault="004F620C" w:rsidP="00DE08B1">
      <w:pPr>
        <w:jc w:val="left"/>
      </w:pPr>
    </w:p>
    <w:tbl>
      <w:tblPr>
        <w:tblStyle w:val="Tabelraster1"/>
        <w:tblW w:w="0" w:type="auto"/>
        <w:tblLook w:val="04A0" w:firstRow="1" w:lastRow="0" w:firstColumn="1" w:lastColumn="0" w:noHBand="0" w:noVBand="1"/>
      </w:tblPr>
      <w:tblGrid>
        <w:gridCol w:w="1405"/>
        <w:gridCol w:w="1439"/>
        <w:gridCol w:w="1416"/>
        <w:gridCol w:w="1556"/>
        <w:gridCol w:w="1557"/>
        <w:gridCol w:w="1689"/>
      </w:tblGrid>
      <w:tr w:rsidR="004221AE" w:rsidRPr="004221AE" w14:paraId="5FC984D8" w14:textId="77777777" w:rsidTr="0062598D">
        <w:trPr>
          <w:trHeight w:val="567"/>
        </w:trPr>
        <w:tc>
          <w:tcPr>
            <w:tcW w:w="1413" w:type="dxa"/>
            <w:vMerge w:val="restart"/>
          </w:tcPr>
          <w:p w14:paraId="042D35AB" w14:textId="77777777" w:rsidR="004221AE" w:rsidRPr="004F620C" w:rsidRDefault="004221AE" w:rsidP="00DE08B1">
            <w:pPr>
              <w:jc w:val="left"/>
              <w:rPr>
                <w:b/>
                <w:sz w:val="20"/>
                <w:szCs w:val="20"/>
              </w:rPr>
            </w:pPr>
            <w:r w:rsidRPr="004F620C">
              <w:rPr>
                <w:b/>
                <w:sz w:val="20"/>
                <w:szCs w:val="20"/>
              </w:rPr>
              <w:t>Jaar</w:t>
            </w:r>
          </w:p>
        </w:tc>
        <w:tc>
          <w:tcPr>
            <w:tcW w:w="1417" w:type="dxa"/>
            <w:vMerge w:val="restart"/>
          </w:tcPr>
          <w:p w14:paraId="5570A5E7" w14:textId="77777777" w:rsidR="004221AE" w:rsidRPr="004F620C" w:rsidRDefault="004221AE" w:rsidP="003C1CEE">
            <w:pPr>
              <w:pStyle w:val="tabelKop"/>
            </w:pPr>
            <w:r w:rsidRPr="004F620C">
              <w:t xml:space="preserve">Aantal </w:t>
            </w:r>
          </w:p>
          <w:p w14:paraId="5D998561" w14:textId="77777777" w:rsidR="004221AE" w:rsidRPr="004F620C" w:rsidRDefault="004221AE" w:rsidP="003C1CEE">
            <w:pPr>
              <w:pStyle w:val="tabelKop"/>
            </w:pPr>
            <w:r w:rsidRPr="004F620C">
              <w:t>inschrijvingen</w:t>
            </w:r>
          </w:p>
        </w:tc>
        <w:tc>
          <w:tcPr>
            <w:tcW w:w="6232" w:type="dxa"/>
            <w:gridSpan w:val="4"/>
          </w:tcPr>
          <w:p w14:paraId="322B9F42" w14:textId="77777777" w:rsidR="004F620C" w:rsidRPr="004F620C" w:rsidRDefault="004F620C" w:rsidP="003C1CEE">
            <w:pPr>
              <w:pStyle w:val="tabelKop"/>
            </w:pPr>
            <w:r w:rsidRPr="004F620C">
              <w:t>Wijze van voortbeweging</w:t>
            </w:r>
          </w:p>
          <w:p w14:paraId="156F096E" w14:textId="4E897101" w:rsidR="004221AE" w:rsidRPr="004F620C" w:rsidRDefault="004F620C" w:rsidP="003C1CEE">
            <w:pPr>
              <w:pStyle w:val="tabelKop"/>
            </w:pPr>
            <w:r w:rsidRPr="004F620C">
              <w:t>%</w:t>
            </w:r>
          </w:p>
        </w:tc>
      </w:tr>
      <w:tr w:rsidR="004221AE" w:rsidRPr="004221AE" w14:paraId="3ECE38C1" w14:textId="77777777" w:rsidTr="0062598D">
        <w:tc>
          <w:tcPr>
            <w:tcW w:w="1413" w:type="dxa"/>
            <w:vMerge/>
            <w:tcBorders>
              <w:bottom w:val="single" w:sz="4" w:space="0" w:color="auto"/>
            </w:tcBorders>
          </w:tcPr>
          <w:p w14:paraId="50FA4209" w14:textId="77777777" w:rsidR="004221AE" w:rsidRPr="004221AE" w:rsidRDefault="004221AE" w:rsidP="00DE08B1">
            <w:pPr>
              <w:jc w:val="left"/>
              <w:rPr>
                <w:sz w:val="20"/>
                <w:szCs w:val="20"/>
              </w:rPr>
            </w:pPr>
          </w:p>
        </w:tc>
        <w:tc>
          <w:tcPr>
            <w:tcW w:w="1417" w:type="dxa"/>
            <w:vMerge/>
            <w:tcBorders>
              <w:bottom w:val="single" w:sz="4" w:space="0" w:color="auto"/>
            </w:tcBorders>
          </w:tcPr>
          <w:p w14:paraId="2BC43EDE" w14:textId="77777777" w:rsidR="004221AE" w:rsidRPr="004221AE" w:rsidRDefault="004221AE" w:rsidP="00DE08B1">
            <w:pPr>
              <w:jc w:val="left"/>
              <w:rPr>
                <w:sz w:val="20"/>
                <w:szCs w:val="20"/>
              </w:rPr>
            </w:pPr>
          </w:p>
        </w:tc>
        <w:tc>
          <w:tcPr>
            <w:tcW w:w="1418" w:type="dxa"/>
            <w:tcBorders>
              <w:bottom w:val="single" w:sz="4" w:space="0" w:color="auto"/>
            </w:tcBorders>
          </w:tcPr>
          <w:p w14:paraId="22AC9E32" w14:textId="77777777" w:rsidR="004221AE" w:rsidRPr="004221AE" w:rsidRDefault="004221AE" w:rsidP="00DE08B1">
            <w:pPr>
              <w:jc w:val="left"/>
              <w:rPr>
                <w:sz w:val="20"/>
                <w:szCs w:val="20"/>
              </w:rPr>
            </w:pPr>
            <w:r w:rsidRPr="004221AE">
              <w:rPr>
                <w:sz w:val="20"/>
                <w:szCs w:val="20"/>
              </w:rPr>
              <w:t>Zeilschepen</w:t>
            </w:r>
          </w:p>
        </w:tc>
        <w:tc>
          <w:tcPr>
            <w:tcW w:w="1559" w:type="dxa"/>
            <w:tcBorders>
              <w:bottom w:val="single" w:sz="4" w:space="0" w:color="auto"/>
            </w:tcBorders>
          </w:tcPr>
          <w:p w14:paraId="533DABF2" w14:textId="77777777" w:rsidR="004221AE" w:rsidRPr="004221AE" w:rsidRDefault="004221AE" w:rsidP="00DE08B1">
            <w:pPr>
              <w:jc w:val="left"/>
              <w:rPr>
                <w:sz w:val="20"/>
                <w:szCs w:val="20"/>
              </w:rPr>
            </w:pPr>
            <w:r w:rsidRPr="004221AE">
              <w:rPr>
                <w:sz w:val="20"/>
                <w:szCs w:val="20"/>
              </w:rPr>
              <w:t>Sleepschepen</w:t>
            </w:r>
          </w:p>
        </w:tc>
        <w:tc>
          <w:tcPr>
            <w:tcW w:w="1559" w:type="dxa"/>
            <w:tcBorders>
              <w:bottom w:val="single" w:sz="4" w:space="0" w:color="auto"/>
            </w:tcBorders>
          </w:tcPr>
          <w:p w14:paraId="7FFA3D33" w14:textId="77777777" w:rsidR="004221AE" w:rsidRPr="004221AE" w:rsidRDefault="004221AE" w:rsidP="00DE08B1">
            <w:pPr>
              <w:jc w:val="left"/>
              <w:rPr>
                <w:sz w:val="20"/>
                <w:szCs w:val="20"/>
              </w:rPr>
            </w:pPr>
            <w:r w:rsidRPr="004221AE">
              <w:rPr>
                <w:sz w:val="20"/>
                <w:szCs w:val="20"/>
              </w:rPr>
              <w:t>Motorschepen</w:t>
            </w:r>
          </w:p>
        </w:tc>
        <w:tc>
          <w:tcPr>
            <w:tcW w:w="1696" w:type="dxa"/>
            <w:tcBorders>
              <w:bottom w:val="single" w:sz="4" w:space="0" w:color="auto"/>
            </w:tcBorders>
          </w:tcPr>
          <w:p w14:paraId="61531665" w14:textId="77777777" w:rsidR="00E97698" w:rsidRDefault="004221AE" w:rsidP="00DE08B1">
            <w:pPr>
              <w:jc w:val="left"/>
              <w:rPr>
                <w:sz w:val="20"/>
                <w:szCs w:val="20"/>
              </w:rPr>
            </w:pPr>
            <w:r w:rsidRPr="004221AE">
              <w:rPr>
                <w:sz w:val="20"/>
                <w:szCs w:val="20"/>
              </w:rPr>
              <w:t>Overig*</w:t>
            </w:r>
            <w:r w:rsidR="00E97698">
              <w:rPr>
                <w:sz w:val="20"/>
                <w:szCs w:val="20"/>
              </w:rPr>
              <w:t xml:space="preserve"> en </w:t>
            </w:r>
          </w:p>
          <w:p w14:paraId="3E0AC902" w14:textId="5296A58A" w:rsidR="004221AE" w:rsidRPr="004221AE" w:rsidRDefault="00DD64E0" w:rsidP="00DE08B1">
            <w:pPr>
              <w:jc w:val="left"/>
              <w:rPr>
                <w:sz w:val="20"/>
                <w:szCs w:val="20"/>
              </w:rPr>
            </w:pPr>
            <w:r w:rsidRPr="004221AE">
              <w:rPr>
                <w:sz w:val="20"/>
                <w:szCs w:val="20"/>
              </w:rPr>
              <w:t>O</w:t>
            </w:r>
            <w:r w:rsidR="004221AE" w:rsidRPr="004221AE">
              <w:rPr>
                <w:sz w:val="20"/>
                <w:szCs w:val="20"/>
              </w:rPr>
              <w:t>nbekend</w:t>
            </w:r>
          </w:p>
        </w:tc>
      </w:tr>
      <w:tr w:rsidR="004221AE" w:rsidRPr="004221AE" w14:paraId="7B035E32" w14:textId="77777777" w:rsidTr="0062598D">
        <w:tc>
          <w:tcPr>
            <w:tcW w:w="1413" w:type="dxa"/>
            <w:tcBorders>
              <w:bottom w:val="nil"/>
            </w:tcBorders>
          </w:tcPr>
          <w:p w14:paraId="08641497" w14:textId="77777777" w:rsidR="004221AE" w:rsidRPr="004221AE" w:rsidRDefault="004221AE" w:rsidP="00DE08B1">
            <w:pPr>
              <w:jc w:val="left"/>
              <w:rPr>
                <w:sz w:val="20"/>
                <w:szCs w:val="20"/>
              </w:rPr>
            </w:pPr>
            <w:r w:rsidRPr="004221AE">
              <w:rPr>
                <w:sz w:val="20"/>
                <w:szCs w:val="20"/>
              </w:rPr>
              <w:t>1900</w:t>
            </w:r>
          </w:p>
        </w:tc>
        <w:tc>
          <w:tcPr>
            <w:tcW w:w="1417" w:type="dxa"/>
            <w:tcBorders>
              <w:bottom w:val="nil"/>
            </w:tcBorders>
          </w:tcPr>
          <w:p w14:paraId="02769B7B" w14:textId="77777777" w:rsidR="004221AE" w:rsidRPr="003C1CEE" w:rsidRDefault="004221AE" w:rsidP="003C1CEE">
            <w:pPr>
              <w:pStyle w:val="tabelNummers"/>
            </w:pPr>
            <w:r w:rsidRPr="003C1CEE">
              <w:t>245</w:t>
            </w:r>
          </w:p>
        </w:tc>
        <w:tc>
          <w:tcPr>
            <w:tcW w:w="1418" w:type="dxa"/>
            <w:tcBorders>
              <w:bottom w:val="nil"/>
            </w:tcBorders>
          </w:tcPr>
          <w:p w14:paraId="1B37811F" w14:textId="77777777" w:rsidR="004221AE" w:rsidRPr="003C1CEE" w:rsidRDefault="004221AE" w:rsidP="003C1CEE">
            <w:pPr>
              <w:pStyle w:val="tabelNummers"/>
            </w:pPr>
            <w:r w:rsidRPr="003C1CEE">
              <w:t>64,5</w:t>
            </w:r>
          </w:p>
        </w:tc>
        <w:tc>
          <w:tcPr>
            <w:tcW w:w="1559" w:type="dxa"/>
            <w:tcBorders>
              <w:bottom w:val="nil"/>
            </w:tcBorders>
          </w:tcPr>
          <w:p w14:paraId="3B614806" w14:textId="77777777" w:rsidR="004221AE" w:rsidRPr="003C1CEE" w:rsidRDefault="004221AE" w:rsidP="003C1CEE">
            <w:pPr>
              <w:pStyle w:val="tabelNummers"/>
            </w:pPr>
            <w:r w:rsidRPr="003C1CEE">
              <w:t>11,8</w:t>
            </w:r>
          </w:p>
        </w:tc>
        <w:tc>
          <w:tcPr>
            <w:tcW w:w="1559" w:type="dxa"/>
            <w:tcBorders>
              <w:bottom w:val="nil"/>
            </w:tcBorders>
          </w:tcPr>
          <w:p w14:paraId="1E14DCC8" w14:textId="77777777" w:rsidR="004221AE" w:rsidRPr="003C1CEE" w:rsidRDefault="004221AE" w:rsidP="003C1CEE">
            <w:pPr>
              <w:pStyle w:val="tabelNummers"/>
            </w:pPr>
            <w:r w:rsidRPr="003C1CEE">
              <w:t>7,3</w:t>
            </w:r>
          </w:p>
        </w:tc>
        <w:tc>
          <w:tcPr>
            <w:tcW w:w="1696" w:type="dxa"/>
            <w:tcBorders>
              <w:bottom w:val="nil"/>
            </w:tcBorders>
          </w:tcPr>
          <w:p w14:paraId="2166ACE4" w14:textId="77777777" w:rsidR="004221AE" w:rsidRPr="003C1CEE" w:rsidRDefault="004221AE" w:rsidP="003C1CEE">
            <w:pPr>
              <w:pStyle w:val="tabelNummers"/>
            </w:pPr>
            <w:r w:rsidRPr="003C1CEE">
              <w:t>16,3</w:t>
            </w:r>
          </w:p>
        </w:tc>
      </w:tr>
      <w:tr w:rsidR="004221AE" w:rsidRPr="004221AE" w14:paraId="6F104D9E" w14:textId="77777777" w:rsidTr="0062598D">
        <w:tc>
          <w:tcPr>
            <w:tcW w:w="1413" w:type="dxa"/>
            <w:tcBorders>
              <w:top w:val="nil"/>
              <w:bottom w:val="nil"/>
            </w:tcBorders>
          </w:tcPr>
          <w:p w14:paraId="4B41AD48" w14:textId="77777777" w:rsidR="004221AE" w:rsidRPr="004221AE" w:rsidRDefault="004221AE" w:rsidP="00DE08B1">
            <w:pPr>
              <w:jc w:val="left"/>
              <w:rPr>
                <w:sz w:val="20"/>
                <w:szCs w:val="20"/>
              </w:rPr>
            </w:pPr>
            <w:r w:rsidRPr="004221AE">
              <w:rPr>
                <w:sz w:val="20"/>
                <w:szCs w:val="20"/>
              </w:rPr>
              <w:t>1910</w:t>
            </w:r>
          </w:p>
        </w:tc>
        <w:tc>
          <w:tcPr>
            <w:tcW w:w="1417" w:type="dxa"/>
            <w:tcBorders>
              <w:top w:val="nil"/>
              <w:bottom w:val="nil"/>
            </w:tcBorders>
          </w:tcPr>
          <w:p w14:paraId="31A18C95" w14:textId="77777777" w:rsidR="004221AE" w:rsidRPr="003C1CEE" w:rsidRDefault="004221AE" w:rsidP="003C1CEE">
            <w:pPr>
              <w:pStyle w:val="tabelNummers"/>
            </w:pPr>
            <w:r w:rsidRPr="003C1CEE">
              <w:t>475</w:t>
            </w:r>
          </w:p>
        </w:tc>
        <w:tc>
          <w:tcPr>
            <w:tcW w:w="1418" w:type="dxa"/>
            <w:tcBorders>
              <w:top w:val="nil"/>
              <w:bottom w:val="nil"/>
            </w:tcBorders>
          </w:tcPr>
          <w:p w14:paraId="1D9AF969" w14:textId="77777777" w:rsidR="004221AE" w:rsidRPr="003C1CEE" w:rsidRDefault="004221AE" w:rsidP="003C1CEE">
            <w:pPr>
              <w:pStyle w:val="tabelNummers"/>
            </w:pPr>
            <w:r w:rsidRPr="003C1CEE">
              <w:t>57,0</w:t>
            </w:r>
          </w:p>
        </w:tc>
        <w:tc>
          <w:tcPr>
            <w:tcW w:w="1559" w:type="dxa"/>
            <w:tcBorders>
              <w:top w:val="nil"/>
              <w:bottom w:val="nil"/>
            </w:tcBorders>
          </w:tcPr>
          <w:p w14:paraId="5D5EFD58" w14:textId="77777777" w:rsidR="004221AE" w:rsidRPr="003C1CEE" w:rsidRDefault="004221AE" w:rsidP="003C1CEE">
            <w:pPr>
              <w:pStyle w:val="tabelNummers"/>
            </w:pPr>
            <w:r w:rsidRPr="003C1CEE">
              <w:t>19,3</w:t>
            </w:r>
          </w:p>
        </w:tc>
        <w:tc>
          <w:tcPr>
            <w:tcW w:w="1559" w:type="dxa"/>
            <w:tcBorders>
              <w:top w:val="nil"/>
              <w:bottom w:val="nil"/>
            </w:tcBorders>
          </w:tcPr>
          <w:p w14:paraId="202A0EC2" w14:textId="77777777" w:rsidR="004221AE" w:rsidRPr="003C1CEE" w:rsidRDefault="004221AE" w:rsidP="003C1CEE">
            <w:pPr>
              <w:pStyle w:val="tabelNummers"/>
            </w:pPr>
            <w:r w:rsidRPr="003C1CEE">
              <w:t>13,8</w:t>
            </w:r>
          </w:p>
        </w:tc>
        <w:tc>
          <w:tcPr>
            <w:tcW w:w="1696" w:type="dxa"/>
            <w:tcBorders>
              <w:top w:val="nil"/>
              <w:bottom w:val="nil"/>
            </w:tcBorders>
          </w:tcPr>
          <w:p w14:paraId="0884F0A3" w14:textId="77777777" w:rsidR="004221AE" w:rsidRPr="003C1CEE" w:rsidRDefault="004221AE" w:rsidP="003C1CEE">
            <w:pPr>
              <w:pStyle w:val="tabelNummers"/>
            </w:pPr>
            <w:r w:rsidRPr="003C1CEE">
              <w:t>9,9</w:t>
            </w:r>
          </w:p>
        </w:tc>
      </w:tr>
      <w:tr w:rsidR="004221AE" w:rsidRPr="004221AE" w14:paraId="7390FBFB" w14:textId="77777777" w:rsidTr="0062598D">
        <w:tc>
          <w:tcPr>
            <w:tcW w:w="1413" w:type="dxa"/>
            <w:tcBorders>
              <w:top w:val="nil"/>
              <w:bottom w:val="nil"/>
            </w:tcBorders>
          </w:tcPr>
          <w:p w14:paraId="5F7E8D46" w14:textId="77777777" w:rsidR="004221AE" w:rsidRPr="004221AE" w:rsidRDefault="004221AE" w:rsidP="00DE08B1">
            <w:pPr>
              <w:jc w:val="left"/>
              <w:rPr>
                <w:sz w:val="20"/>
                <w:szCs w:val="20"/>
              </w:rPr>
            </w:pPr>
            <w:r w:rsidRPr="004221AE">
              <w:rPr>
                <w:sz w:val="20"/>
                <w:szCs w:val="20"/>
              </w:rPr>
              <w:t>1920</w:t>
            </w:r>
          </w:p>
        </w:tc>
        <w:tc>
          <w:tcPr>
            <w:tcW w:w="1417" w:type="dxa"/>
            <w:tcBorders>
              <w:top w:val="nil"/>
              <w:bottom w:val="nil"/>
            </w:tcBorders>
          </w:tcPr>
          <w:p w14:paraId="14FE9F68" w14:textId="77777777" w:rsidR="004221AE" w:rsidRPr="003C1CEE" w:rsidRDefault="004221AE" w:rsidP="003C1CEE">
            <w:pPr>
              <w:pStyle w:val="tabelNummers"/>
            </w:pPr>
            <w:r w:rsidRPr="003C1CEE">
              <w:t>414</w:t>
            </w:r>
          </w:p>
        </w:tc>
        <w:tc>
          <w:tcPr>
            <w:tcW w:w="1418" w:type="dxa"/>
            <w:tcBorders>
              <w:top w:val="nil"/>
              <w:bottom w:val="nil"/>
            </w:tcBorders>
          </w:tcPr>
          <w:p w14:paraId="07361E9E" w14:textId="77777777" w:rsidR="004221AE" w:rsidRPr="003C1CEE" w:rsidRDefault="004221AE" w:rsidP="003C1CEE">
            <w:pPr>
              <w:pStyle w:val="tabelNummers"/>
            </w:pPr>
            <w:r w:rsidRPr="003C1CEE">
              <w:t>48,5</w:t>
            </w:r>
          </w:p>
        </w:tc>
        <w:tc>
          <w:tcPr>
            <w:tcW w:w="1559" w:type="dxa"/>
            <w:tcBorders>
              <w:top w:val="nil"/>
              <w:bottom w:val="nil"/>
            </w:tcBorders>
          </w:tcPr>
          <w:p w14:paraId="424151F7" w14:textId="77777777" w:rsidR="004221AE" w:rsidRPr="003C1CEE" w:rsidRDefault="004221AE" w:rsidP="003C1CEE">
            <w:pPr>
              <w:pStyle w:val="tabelNummers"/>
            </w:pPr>
            <w:r w:rsidRPr="003C1CEE">
              <w:t>17,2</w:t>
            </w:r>
          </w:p>
        </w:tc>
        <w:tc>
          <w:tcPr>
            <w:tcW w:w="1559" w:type="dxa"/>
            <w:tcBorders>
              <w:top w:val="nil"/>
              <w:bottom w:val="nil"/>
            </w:tcBorders>
          </w:tcPr>
          <w:p w14:paraId="5EF23DE8" w14:textId="77777777" w:rsidR="004221AE" w:rsidRPr="003C1CEE" w:rsidRDefault="004221AE" w:rsidP="003C1CEE">
            <w:pPr>
              <w:pStyle w:val="tabelNummers"/>
            </w:pPr>
            <w:r w:rsidRPr="003C1CEE">
              <w:t>23,5</w:t>
            </w:r>
          </w:p>
        </w:tc>
        <w:tc>
          <w:tcPr>
            <w:tcW w:w="1696" w:type="dxa"/>
            <w:tcBorders>
              <w:top w:val="nil"/>
              <w:bottom w:val="nil"/>
            </w:tcBorders>
          </w:tcPr>
          <w:p w14:paraId="0E3DCA92" w14:textId="77777777" w:rsidR="004221AE" w:rsidRPr="003C1CEE" w:rsidRDefault="004221AE" w:rsidP="003C1CEE">
            <w:pPr>
              <w:pStyle w:val="tabelNummers"/>
            </w:pPr>
            <w:r w:rsidRPr="003C1CEE">
              <w:t>10,7</w:t>
            </w:r>
          </w:p>
        </w:tc>
      </w:tr>
      <w:tr w:rsidR="004221AE" w:rsidRPr="004221AE" w14:paraId="26C5B487" w14:textId="77777777" w:rsidTr="0062598D">
        <w:tc>
          <w:tcPr>
            <w:tcW w:w="1413" w:type="dxa"/>
            <w:tcBorders>
              <w:top w:val="nil"/>
              <w:bottom w:val="nil"/>
            </w:tcBorders>
          </w:tcPr>
          <w:p w14:paraId="1C1FCE30" w14:textId="77777777" w:rsidR="004221AE" w:rsidRPr="004221AE" w:rsidRDefault="004221AE" w:rsidP="00DE08B1">
            <w:pPr>
              <w:jc w:val="left"/>
              <w:rPr>
                <w:sz w:val="20"/>
                <w:szCs w:val="20"/>
              </w:rPr>
            </w:pPr>
            <w:r w:rsidRPr="004221AE">
              <w:rPr>
                <w:sz w:val="20"/>
                <w:szCs w:val="20"/>
              </w:rPr>
              <w:t>1930</w:t>
            </w:r>
          </w:p>
        </w:tc>
        <w:tc>
          <w:tcPr>
            <w:tcW w:w="1417" w:type="dxa"/>
            <w:tcBorders>
              <w:top w:val="nil"/>
              <w:bottom w:val="nil"/>
            </w:tcBorders>
          </w:tcPr>
          <w:p w14:paraId="0B35C09D" w14:textId="77777777" w:rsidR="004221AE" w:rsidRPr="003C1CEE" w:rsidRDefault="004221AE" w:rsidP="003C1CEE">
            <w:pPr>
              <w:pStyle w:val="tabelNummers"/>
            </w:pPr>
            <w:r w:rsidRPr="003C1CEE">
              <w:t>709</w:t>
            </w:r>
          </w:p>
        </w:tc>
        <w:tc>
          <w:tcPr>
            <w:tcW w:w="1418" w:type="dxa"/>
            <w:tcBorders>
              <w:top w:val="nil"/>
              <w:bottom w:val="nil"/>
            </w:tcBorders>
          </w:tcPr>
          <w:p w14:paraId="282AEADA" w14:textId="77777777" w:rsidR="004221AE" w:rsidRPr="003C1CEE" w:rsidRDefault="004221AE" w:rsidP="003C1CEE">
            <w:pPr>
              <w:pStyle w:val="tabelNummers"/>
            </w:pPr>
            <w:r w:rsidRPr="003C1CEE">
              <w:t>19,5</w:t>
            </w:r>
          </w:p>
        </w:tc>
        <w:tc>
          <w:tcPr>
            <w:tcW w:w="1559" w:type="dxa"/>
            <w:tcBorders>
              <w:top w:val="nil"/>
              <w:bottom w:val="nil"/>
            </w:tcBorders>
          </w:tcPr>
          <w:p w14:paraId="1180804B" w14:textId="77777777" w:rsidR="004221AE" w:rsidRPr="003C1CEE" w:rsidRDefault="004221AE" w:rsidP="003C1CEE">
            <w:pPr>
              <w:pStyle w:val="tabelNummers"/>
            </w:pPr>
            <w:r w:rsidRPr="003C1CEE">
              <w:t>40,5</w:t>
            </w:r>
          </w:p>
        </w:tc>
        <w:tc>
          <w:tcPr>
            <w:tcW w:w="1559" w:type="dxa"/>
            <w:tcBorders>
              <w:top w:val="nil"/>
              <w:bottom w:val="nil"/>
            </w:tcBorders>
          </w:tcPr>
          <w:p w14:paraId="09C68196" w14:textId="77777777" w:rsidR="004221AE" w:rsidRPr="003C1CEE" w:rsidRDefault="004221AE" w:rsidP="003C1CEE">
            <w:pPr>
              <w:pStyle w:val="tabelNummers"/>
            </w:pPr>
            <w:r w:rsidRPr="003C1CEE">
              <w:t>37,9</w:t>
            </w:r>
          </w:p>
        </w:tc>
        <w:tc>
          <w:tcPr>
            <w:tcW w:w="1696" w:type="dxa"/>
            <w:tcBorders>
              <w:top w:val="nil"/>
              <w:bottom w:val="nil"/>
            </w:tcBorders>
          </w:tcPr>
          <w:p w14:paraId="1F65FDC8" w14:textId="77777777" w:rsidR="004221AE" w:rsidRPr="003C1CEE" w:rsidRDefault="004221AE" w:rsidP="003C1CEE">
            <w:pPr>
              <w:pStyle w:val="tabelNummers"/>
            </w:pPr>
            <w:r w:rsidRPr="003C1CEE">
              <w:t>2,2</w:t>
            </w:r>
          </w:p>
        </w:tc>
      </w:tr>
      <w:tr w:rsidR="004221AE" w:rsidRPr="004221AE" w14:paraId="5ED2EDF9" w14:textId="77777777" w:rsidTr="0062598D">
        <w:tc>
          <w:tcPr>
            <w:tcW w:w="1413" w:type="dxa"/>
            <w:tcBorders>
              <w:top w:val="nil"/>
            </w:tcBorders>
          </w:tcPr>
          <w:p w14:paraId="09AB74D7" w14:textId="77777777" w:rsidR="004221AE" w:rsidRPr="004221AE" w:rsidRDefault="004221AE" w:rsidP="00DE08B1">
            <w:pPr>
              <w:jc w:val="left"/>
              <w:rPr>
                <w:sz w:val="20"/>
                <w:szCs w:val="20"/>
              </w:rPr>
            </w:pPr>
            <w:r w:rsidRPr="004221AE">
              <w:rPr>
                <w:sz w:val="20"/>
                <w:szCs w:val="20"/>
              </w:rPr>
              <w:t>1939</w:t>
            </w:r>
          </w:p>
        </w:tc>
        <w:tc>
          <w:tcPr>
            <w:tcW w:w="1417" w:type="dxa"/>
            <w:tcBorders>
              <w:top w:val="nil"/>
            </w:tcBorders>
          </w:tcPr>
          <w:p w14:paraId="11AE0EC3" w14:textId="77777777" w:rsidR="004221AE" w:rsidRPr="003C1CEE" w:rsidRDefault="004221AE" w:rsidP="003C1CEE">
            <w:pPr>
              <w:pStyle w:val="tabelNummers"/>
            </w:pPr>
            <w:r w:rsidRPr="003C1CEE">
              <w:t>151</w:t>
            </w:r>
          </w:p>
        </w:tc>
        <w:tc>
          <w:tcPr>
            <w:tcW w:w="1418" w:type="dxa"/>
            <w:tcBorders>
              <w:top w:val="nil"/>
            </w:tcBorders>
          </w:tcPr>
          <w:p w14:paraId="5D78FA39" w14:textId="77777777" w:rsidR="004221AE" w:rsidRPr="003C1CEE" w:rsidRDefault="004221AE" w:rsidP="003C1CEE">
            <w:pPr>
              <w:pStyle w:val="tabelNummers"/>
            </w:pPr>
            <w:r w:rsidRPr="003C1CEE">
              <w:t>19,9</w:t>
            </w:r>
          </w:p>
        </w:tc>
        <w:tc>
          <w:tcPr>
            <w:tcW w:w="1559" w:type="dxa"/>
            <w:tcBorders>
              <w:top w:val="nil"/>
            </w:tcBorders>
          </w:tcPr>
          <w:p w14:paraId="05243D12" w14:textId="77777777" w:rsidR="004221AE" w:rsidRPr="003C1CEE" w:rsidRDefault="004221AE" w:rsidP="003C1CEE">
            <w:pPr>
              <w:pStyle w:val="tabelNummers"/>
            </w:pPr>
            <w:r w:rsidRPr="003C1CEE">
              <w:t>31,1</w:t>
            </w:r>
          </w:p>
        </w:tc>
        <w:tc>
          <w:tcPr>
            <w:tcW w:w="1559" w:type="dxa"/>
            <w:tcBorders>
              <w:top w:val="nil"/>
            </w:tcBorders>
          </w:tcPr>
          <w:p w14:paraId="5A477F47" w14:textId="77777777" w:rsidR="004221AE" w:rsidRPr="003C1CEE" w:rsidRDefault="004221AE" w:rsidP="003C1CEE">
            <w:pPr>
              <w:pStyle w:val="tabelNummers"/>
            </w:pPr>
            <w:r w:rsidRPr="003C1CEE">
              <w:t>47,4</w:t>
            </w:r>
          </w:p>
        </w:tc>
        <w:tc>
          <w:tcPr>
            <w:tcW w:w="1696" w:type="dxa"/>
            <w:tcBorders>
              <w:top w:val="nil"/>
            </w:tcBorders>
          </w:tcPr>
          <w:p w14:paraId="03EAB94A" w14:textId="77777777" w:rsidR="004221AE" w:rsidRPr="003C1CEE" w:rsidRDefault="004221AE" w:rsidP="003C1CEE">
            <w:pPr>
              <w:pStyle w:val="tabelNummers"/>
            </w:pPr>
            <w:r w:rsidRPr="003C1CEE">
              <w:t>1,3</w:t>
            </w:r>
          </w:p>
        </w:tc>
      </w:tr>
    </w:tbl>
    <w:p w14:paraId="06F972E9" w14:textId="51FBBF3E" w:rsidR="005C4AA1" w:rsidRDefault="005C4AA1" w:rsidP="00DE08B1">
      <w:pPr>
        <w:jc w:val="left"/>
        <w:rPr>
          <w:szCs w:val="24"/>
        </w:rPr>
      </w:pPr>
    </w:p>
    <w:p w14:paraId="54E91683" w14:textId="30FDFF17" w:rsidR="00A01BE7" w:rsidRPr="00EA2B9A" w:rsidRDefault="005C4AA1" w:rsidP="00DE08B1">
      <w:pPr>
        <w:jc w:val="left"/>
        <w:rPr>
          <w:sz w:val="20"/>
          <w:szCs w:val="20"/>
        </w:rPr>
      </w:pPr>
      <w:r>
        <w:rPr>
          <w:i/>
          <w:iCs/>
        </w:rPr>
        <w:t>Tabel 1</w:t>
      </w:r>
      <w:r w:rsidR="00F729EC">
        <w:rPr>
          <w:i/>
          <w:iCs/>
        </w:rPr>
        <w:t>3</w:t>
      </w:r>
      <w:r w:rsidR="009455FC">
        <w:rPr>
          <w:i/>
          <w:iCs/>
        </w:rPr>
        <w:t xml:space="preserve">: </w:t>
      </w:r>
      <w:r w:rsidRPr="004221AE">
        <w:rPr>
          <w:i/>
          <w:iCs/>
        </w:rPr>
        <w:t>Wijze van voortbeweging van nieuw te boek gestelde vracht- en passagiersschepen (1900-1939</w:t>
      </w:r>
      <w:r w:rsidRPr="004B5984">
        <w:rPr>
          <w:i/>
          <w:iCs/>
          <w:szCs w:val="24"/>
        </w:rPr>
        <w:t>)</w:t>
      </w:r>
      <w:r w:rsidR="009455FC" w:rsidRPr="004B5984">
        <w:rPr>
          <w:i/>
          <w:iCs/>
          <w:szCs w:val="24"/>
        </w:rPr>
        <w:t>.</w:t>
      </w:r>
      <w:r w:rsidRPr="004B5984">
        <w:rPr>
          <w:szCs w:val="24"/>
          <w:vertAlign w:val="superscript"/>
        </w:rPr>
        <w:endnoteReference w:id="61"/>
      </w:r>
      <w:r w:rsidR="0093724C">
        <w:rPr>
          <w:sz w:val="20"/>
          <w:szCs w:val="20"/>
        </w:rPr>
        <w:br/>
      </w:r>
      <w:r w:rsidR="00A01BE7" w:rsidRPr="00207D49">
        <w:rPr>
          <w:sz w:val="20"/>
          <w:szCs w:val="20"/>
        </w:rPr>
        <w:t>* Vaak waren dit stoomschepen.</w:t>
      </w:r>
    </w:p>
    <w:p w14:paraId="79E4DFE9" w14:textId="3674002B" w:rsidR="001A50AA" w:rsidRDefault="001A50AA" w:rsidP="00DE08B1">
      <w:pPr>
        <w:jc w:val="left"/>
        <w:rPr>
          <w:szCs w:val="24"/>
        </w:rPr>
      </w:pPr>
    </w:p>
    <w:p w14:paraId="32D8453B" w14:textId="251733B7" w:rsidR="001A50AA" w:rsidRPr="004221AE" w:rsidRDefault="001A50AA" w:rsidP="00DE08B1">
      <w:pPr>
        <w:jc w:val="left"/>
      </w:pPr>
      <w:r w:rsidRPr="004221AE">
        <w:t>Na 1920 nam de bouw van sleep- en motorschepen sterk toe, terwijl de bouw van zeilschepen aanzienlijk terugliep. Omstreeks 1930 verschenen dieselmotoren, die in gebruik goedkoper waren dan de gloeikopmotoren, waardoor de aanschaf van een groot motorschip steeds aantrekkelijker werd.</w:t>
      </w:r>
      <w:r w:rsidRPr="004221AE">
        <w:rPr>
          <w:vertAlign w:val="superscript"/>
        </w:rPr>
        <w:endnoteReference w:id="62"/>
      </w:r>
    </w:p>
    <w:p w14:paraId="21D7CDCB" w14:textId="4DE4BC07" w:rsidR="004221AE" w:rsidRPr="004221AE" w:rsidRDefault="00B42717" w:rsidP="00B42717">
      <w:pPr>
        <w:jc w:val="left"/>
      </w:pPr>
      <w:r>
        <w:lastRenderedPageBreak/>
        <w:br/>
      </w:r>
    </w:p>
    <w:p w14:paraId="6EFEBC2F" w14:textId="1B15F9FA" w:rsidR="004221AE" w:rsidRPr="00290D70" w:rsidRDefault="004221AE" w:rsidP="00290D70">
      <w:pPr>
        <w:pStyle w:val="Heading2"/>
      </w:pPr>
      <w:r w:rsidRPr="00290D70">
        <w:rPr>
          <w:rStyle w:val="Heading4Char"/>
          <w:i w:val="0"/>
          <w:iCs w:val="0"/>
          <w:color w:val="4472C4" w:themeColor="accent1"/>
          <w:sz w:val="26"/>
        </w:rPr>
        <w:t>Luxe motorschepen, opduwers en zijschroeven</w:t>
      </w:r>
    </w:p>
    <w:p w14:paraId="3D86564E" w14:textId="69E55000" w:rsidR="004221AE" w:rsidRDefault="00B42717" w:rsidP="00B42717">
      <w:pPr>
        <w:jc w:val="left"/>
        <w:rPr>
          <w:rFonts w:ascii="Calibri" w:eastAsia="Times New Roman" w:hAnsi="Calibri" w:cs="Calibri"/>
          <w:color w:val="ED7D31" w:themeColor="accent2"/>
          <w:szCs w:val="24"/>
          <w:shd w:val="clear" w:color="auto" w:fill="FFFFFF"/>
          <w:lang w:eastAsia="nl-NL"/>
        </w:rPr>
      </w:pPr>
      <w:r>
        <w:br/>
      </w:r>
      <w:r w:rsidR="00004EC6">
        <w:t xml:space="preserve">In de jaren twintig ontstond een nieuw type motorschip met een laadvermogen van 150 à 250 ton, uitgerust met een overdekte stuurhut, zodat de schipper niet meer bij weer en wind buiten hoefde te zitten. Achter de stuurhut in het achterschip werd een ruime, luxe roef getimmerd. Onder schippers kregen deze schepen na de Tweede Wereldoorlog de naam </w:t>
      </w:r>
      <w:r w:rsidR="004221AE" w:rsidRPr="004221AE">
        <w:t>‘luxe motor’.</w:t>
      </w:r>
      <w:r w:rsidR="00A34ED3" w:rsidRPr="004221AE">
        <w:rPr>
          <w:vertAlign w:val="superscript"/>
        </w:rPr>
        <w:endnoteReference w:id="63"/>
      </w:r>
      <w:r w:rsidR="001D249D">
        <w:t xml:space="preserve"> Lang is aangenomen dat deze benaming was ontstaan, omdat deze vaartuigen betere leefomstandigheden boden. Onlangs heeft onderzoek echter aangetoond dat de term ‘luxe motor’ onder binnenschippers in de noordelijke provincies al veel eerder gemeengoed was, ook voor kleinere motorschepen die zeker geen luxe onderkomen boden. De benaming ‘luxe motor’ is wellicht ontstaan doordat luxe motor-pleziervaartuigen voor welgestelden, met hun houten opbouw en hun ruiten, een zekere mate van gelijkenis vertoonden met de nieuwe motor-vrachtschepen met stuurhut, waardoor de term van het ene scheepstype naar het andere oversloeg.</w:t>
      </w:r>
      <w:r w:rsidR="001D249D">
        <w:rPr>
          <w:rStyle w:val="EndnoteReference"/>
        </w:rPr>
        <w:endnoteReference w:id="64"/>
      </w:r>
      <w:r w:rsidR="001D249D">
        <w:t xml:space="preserve"> </w:t>
      </w:r>
      <w:r w:rsidR="000F300B">
        <w:br/>
      </w:r>
      <w:r w:rsidR="000F300B" w:rsidRPr="00701060">
        <w:rPr>
          <w:rFonts w:ascii="Calibri" w:eastAsia="Times New Roman" w:hAnsi="Calibri" w:cs="Calibri"/>
          <w:color w:val="FF0000"/>
          <w:szCs w:val="24"/>
          <w:shd w:val="clear" w:color="auto" w:fill="FFFFFF"/>
          <w:lang w:eastAsia="nl-NL"/>
        </w:rPr>
        <w:t>@i@</w:t>
      </w:r>
      <w:r w:rsidR="000F300B" w:rsidRPr="00701060">
        <w:rPr>
          <w:rFonts w:eastAsia="Times New Roman" w:cs="Times New Roman"/>
          <w:color w:val="FF0000"/>
          <w:szCs w:val="24"/>
          <w:lang w:eastAsia="nl-NL"/>
        </w:rPr>
        <w:t>[[[</w:t>
      </w:r>
      <w:r w:rsidR="00701060" w:rsidRPr="00701060">
        <w:rPr>
          <w:rFonts w:eastAsia="Times New Roman" w:cs="Times New Roman"/>
          <w:color w:val="FF0000"/>
          <w:szCs w:val="24"/>
          <w:lang w:eastAsia="nl-NL"/>
        </w:rPr>
        <w:t>29-</w:t>
      </w:r>
      <w:r w:rsidR="000F300B" w:rsidRPr="00701060">
        <w:rPr>
          <w:rFonts w:eastAsia="Times New Roman" w:cs="Times New Roman"/>
          <w:color w:val="FF0000"/>
          <w:szCs w:val="24"/>
          <w:lang w:eastAsia="nl-NL"/>
        </w:rPr>
        <w:t>24_</w:t>
      </w:r>
      <w:r w:rsidR="0085780D" w:rsidRPr="00701060">
        <w:rPr>
          <w:rFonts w:cstheme="minorHAnsi"/>
          <w:color w:val="FF0000"/>
        </w:rPr>
        <w:t>L</w:t>
      </w:r>
      <w:r w:rsidR="000F300B" w:rsidRPr="00701060">
        <w:rPr>
          <w:rFonts w:cstheme="minorHAnsi"/>
          <w:color w:val="FF0000"/>
        </w:rPr>
        <w:t>uxe</w:t>
      </w:r>
      <w:r w:rsidR="0085780D" w:rsidRPr="00701060">
        <w:rPr>
          <w:rFonts w:cstheme="minorHAnsi"/>
          <w:color w:val="FF0000"/>
        </w:rPr>
        <w:t>M</w:t>
      </w:r>
      <w:r w:rsidR="000F300B" w:rsidRPr="00701060">
        <w:rPr>
          <w:rFonts w:cstheme="minorHAnsi"/>
          <w:color w:val="FF0000"/>
        </w:rPr>
        <w:t>otorschip.jpg]]]</w:t>
      </w:r>
      <w:r w:rsidR="000F300B" w:rsidRPr="00701060">
        <w:rPr>
          <w:rFonts w:ascii="Calibri" w:eastAsia="Times New Roman" w:hAnsi="Calibri" w:cs="Calibri"/>
          <w:color w:val="FF0000"/>
          <w:szCs w:val="24"/>
          <w:shd w:val="clear" w:color="auto" w:fill="FFFFFF"/>
          <w:lang w:eastAsia="nl-NL"/>
        </w:rPr>
        <w:t>@/i@​</w:t>
      </w:r>
    </w:p>
    <w:p w14:paraId="3A29DDC9" w14:textId="3ACE7CEB" w:rsidR="004221AE" w:rsidRDefault="00C2794B" w:rsidP="002C6BDA">
      <w:pPr>
        <w:ind w:firstLine="708"/>
        <w:jc w:val="left"/>
      </w:pPr>
      <w:r>
        <w:t xml:space="preserve">Veel zeilschippers beschikten niet over de financiële middelen om een motorschip te kopen, of hun schip was te klein of ongeschikt voor de inbouw van een motor. </w:t>
      </w:r>
      <w:r w:rsidR="004221AE" w:rsidRPr="004221AE">
        <w:t>Sommige</w:t>
      </w:r>
      <w:r w:rsidR="002F2921">
        <w:t xml:space="preserve">n </w:t>
      </w:r>
      <w:r w:rsidR="004221AE" w:rsidRPr="004221AE">
        <w:t xml:space="preserve">kochten, als compromis tussen een motorschip en een zeilschip, een hulpmotor. Daarbij konden ze kiezen tussen een opduwer (hulpmotor in een vlet achter het schip), een zijschroef (hulpmotor aan boord, ophaalbare schroef aan de zijkant van het schip) of een zeilmotorschip. Een opduwer of zijschroef stelde hen in staat om bij tegenwind of windstilte enige voortgang te maken, terwijl ze onder gunstige omstandigheden van gratis windkracht konden profiteren. </w:t>
      </w:r>
    </w:p>
    <w:p w14:paraId="14FAA4EF" w14:textId="28BD8EF1" w:rsidR="00783F95" w:rsidRPr="00D40321" w:rsidRDefault="00783F95" w:rsidP="00783F95">
      <w:pPr>
        <w:jc w:val="left"/>
        <w:rPr>
          <w:color w:val="FF0000"/>
        </w:rPr>
      </w:pPr>
      <w:r w:rsidRPr="00084587">
        <w:rPr>
          <w:rFonts w:ascii="Calibri" w:eastAsia="Times New Roman" w:hAnsi="Calibri" w:cs="Calibri"/>
          <w:color w:val="FF0000"/>
          <w:szCs w:val="24"/>
          <w:shd w:val="clear" w:color="auto" w:fill="FFFFFF"/>
          <w:lang w:eastAsia="nl-NL"/>
        </w:rPr>
        <w:t>@i@</w:t>
      </w:r>
      <w:r>
        <w:rPr>
          <w:color w:val="FF0000"/>
        </w:rPr>
        <w:t>[[[</w:t>
      </w:r>
      <w:r w:rsidR="00637CD8">
        <w:rPr>
          <w:color w:val="FF0000"/>
        </w:rPr>
        <w:t>29a</w:t>
      </w:r>
      <w:r>
        <w:rPr>
          <w:color w:val="FF0000"/>
        </w:rPr>
        <w:t>-</w:t>
      </w:r>
      <w:r w:rsidRPr="00CB0AE8">
        <w:rPr>
          <w:color w:val="FF0000"/>
        </w:rPr>
        <w:t>40</w:t>
      </w:r>
      <w:r>
        <w:rPr>
          <w:color w:val="FF0000"/>
        </w:rPr>
        <w:t>b</w:t>
      </w:r>
      <w:r w:rsidRPr="00CB0AE8">
        <w:rPr>
          <w:color w:val="FF0000"/>
        </w:rPr>
        <w:t>_Opdrukker</w:t>
      </w:r>
      <w:r w:rsidR="00E836A3">
        <w:rPr>
          <w:color w:val="FF0000"/>
        </w:rPr>
        <w:t>.jpg</w:t>
      </w:r>
      <w:r>
        <w:rPr>
          <w:color w:val="FF0000"/>
        </w:rPr>
        <w:t>]]]</w:t>
      </w:r>
      <w:r w:rsidRPr="00084587">
        <w:rPr>
          <w:rFonts w:ascii="Calibri" w:eastAsia="Times New Roman" w:hAnsi="Calibri" w:cs="Calibri"/>
          <w:color w:val="FF0000"/>
          <w:szCs w:val="24"/>
          <w:shd w:val="clear" w:color="auto" w:fill="FFFFFF"/>
          <w:lang w:eastAsia="nl-NL"/>
        </w:rPr>
        <w:t xml:space="preserve">@/i@​  </w:t>
      </w:r>
    </w:p>
    <w:p w14:paraId="3C9826AF" w14:textId="77777777" w:rsidR="00C57899" w:rsidRDefault="00C57899" w:rsidP="00C57899">
      <w:pPr>
        <w:jc w:val="left"/>
      </w:pPr>
    </w:p>
    <w:p w14:paraId="33F43144" w14:textId="77777777" w:rsidR="00E0277E" w:rsidRPr="004221AE" w:rsidRDefault="00E0277E" w:rsidP="00C57899">
      <w:pPr>
        <w:jc w:val="left"/>
      </w:pPr>
    </w:p>
    <w:p w14:paraId="05150270" w14:textId="00D63AB7" w:rsidR="00C43DDA" w:rsidRPr="00637CD8" w:rsidRDefault="004221AE" w:rsidP="00637CD8">
      <w:pPr>
        <w:pStyle w:val="Heading2"/>
        <w:jc w:val="left"/>
        <w:rPr>
          <w:bCs/>
        </w:rPr>
      </w:pPr>
      <w:r w:rsidRPr="004221AE">
        <w:t xml:space="preserve">De vloot voor het binnenlands vervoer </w:t>
      </w:r>
      <w:r w:rsidR="0062576C">
        <w:t>(1934)</w:t>
      </w:r>
      <w:r w:rsidR="00F1400A">
        <w:br/>
      </w:r>
    </w:p>
    <w:p w14:paraId="369823A1" w14:textId="5A2CD5DA" w:rsidR="0062576C" w:rsidRPr="00C12272" w:rsidRDefault="0062576C" w:rsidP="00F1400A">
      <w:pPr>
        <w:jc w:val="left"/>
      </w:pPr>
      <w:r>
        <w:t xml:space="preserve">Tussen 1890 en 1934 groeide het gezamenlijk laadvermogen </w:t>
      </w:r>
      <w:r w:rsidR="002F2921">
        <w:t xml:space="preserve">van </w:t>
      </w:r>
      <w:r>
        <w:t xml:space="preserve">de vloot voor het binnenlands vervoer van </w:t>
      </w:r>
      <w:r w:rsidRPr="004221AE">
        <w:t>0,8 naar 3,1 miljoen ton, terwijl de gemiddelde scheepsgrootte toenam van 35 naar 182 ton. In 1934 bestond de binnenlandse vloot uit ruim 17.000 vaartuigen, met daarnaast een onbekend aantal sleepboten. Een deel van deze schepen werd ook in de Rijnvaart ingezet.</w:t>
      </w:r>
      <w:r>
        <w:t xml:space="preserve"> </w:t>
      </w:r>
      <w:r w:rsidR="00C40539">
        <w:t xml:space="preserve">Veel vaartuigen waren betrekkelijk nieuw. </w:t>
      </w:r>
      <w:r w:rsidR="00C40539" w:rsidRPr="004221AE">
        <w:t xml:space="preserve">Een kwart van de schepen en een derde van het laadvermogen was in de bloeiperiode tussen 1922 en 1930 gebouwd. Daartegenover dateerde 12,5 procent van de schepen uit de </w:t>
      </w:r>
      <w:r w:rsidR="00C40539" w:rsidRPr="00C12272">
        <w:t xml:space="preserve">negentiende eeuw. </w:t>
      </w:r>
    </w:p>
    <w:p w14:paraId="34252EB1" w14:textId="7B635273" w:rsidR="004221AE" w:rsidRPr="004221AE" w:rsidRDefault="004221AE" w:rsidP="00DE08B1">
      <w:pPr>
        <w:jc w:val="left"/>
      </w:pPr>
      <w:r w:rsidRPr="00C12272">
        <w:t>De motorisering van de binnenlandse vloot was</w:t>
      </w:r>
      <w:r w:rsidR="00ED5F3A" w:rsidRPr="00C12272">
        <w:t xml:space="preserve"> in 1934 al ver gevorderd. Twee</w:t>
      </w:r>
      <w:r w:rsidR="0030630F">
        <w:t xml:space="preserve"> </w:t>
      </w:r>
      <w:r w:rsidRPr="00C12272">
        <w:t>derde deel van het totale laadvermogen bestond uit sleepschepen, die door e</w:t>
      </w:r>
      <w:r w:rsidRPr="004221AE">
        <w:t xml:space="preserve">en sleepboot werden voortbewogen. Doorgaans waren het grote vaartuigen met een gemiddeld laadvermogen van 356 ton. Meestal werden ze </w:t>
      </w:r>
      <w:r w:rsidR="002F2921">
        <w:t xml:space="preserve">gebruikt in de wilde vaart of bij </w:t>
      </w:r>
      <w:r w:rsidR="004C0ABF">
        <w:t xml:space="preserve">het </w:t>
      </w:r>
      <w:r w:rsidR="002F2921">
        <w:t xml:space="preserve">eigen vervoer </w:t>
      </w:r>
      <w:r w:rsidR="004C0ABF">
        <w:t xml:space="preserve">voor </w:t>
      </w:r>
      <w:r w:rsidRPr="004221AE">
        <w:t>transport van massagoederen op de grote vaarwegen. Daartegenover bestond 23 procent van de vaartuigen met 10,5 procent van het laadvermogen uit zeilschepen zonder hulpmotor. Bijna 9</w:t>
      </w:r>
      <w:r w:rsidR="00342E84">
        <w:t>.</w:t>
      </w:r>
      <w:r w:rsidRPr="004221AE">
        <w:t xml:space="preserve">500 vaartuigen, 55 procent van de binnenlandse vloot, waren kleine schepen met een </w:t>
      </w:r>
      <w:r w:rsidRPr="004221AE">
        <w:lastRenderedPageBreak/>
        <w:t xml:space="preserve">laadvermogen van minder dan 100 ton. </w:t>
      </w:r>
      <w:r w:rsidR="001B246F">
        <w:t>Slechts 635 vaartuigen had</w:t>
      </w:r>
      <w:r w:rsidR="00E97698">
        <w:t>den</w:t>
      </w:r>
      <w:r w:rsidR="001B246F">
        <w:t xml:space="preserve"> een laadvermogen van meer dan 800 ton.</w:t>
      </w:r>
      <w:r w:rsidR="00342E84">
        <w:rPr>
          <w:rStyle w:val="EndnoteReference"/>
          <w:bCs/>
        </w:rPr>
        <w:endnoteReference w:id="65"/>
      </w:r>
    </w:p>
    <w:p w14:paraId="43423E8D" w14:textId="77777777" w:rsidR="004221AE" w:rsidRPr="004221AE" w:rsidRDefault="004221AE" w:rsidP="00DE08B1">
      <w:pPr>
        <w:jc w:val="left"/>
        <w:rPr>
          <w:rFonts w:eastAsia="Calibri" w:cs="Times New Roman"/>
          <w:color w:val="auto"/>
          <w:szCs w:val="24"/>
        </w:rPr>
      </w:pPr>
    </w:p>
    <w:tbl>
      <w:tblPr>
        <w:tblW w:w="99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02"/>
        <w:gridCol w:w="2228"/>
        <w:gridCol w:w="2759"/>
        <w:gridCol w:w="2500"/>
      </w:tblGrid>
      <w:tr w:rsidR="004221AE" w:rsidRPr="004221AE" w14:paraId="599245EA" w14:textId="77777777" w:rsidTr="005E724B">
        <w:trPr>
          <w:trHeight w:hRule="exact" w:val="1075"/>
        </w:trPr>
        <w:tc>
          <w:tcPr>
            <w:tcW w:w="2502" w:type="dxa"/>
            <w:tcBorders>
              <w:bottom w:val="single" w:sz="4" w:space="0" w:color="000000"/>
            </w:tcBorders>
          </w:tcPr>
          <w:p w14:paraId="5F6683C2" w14:textId="77777777" w:rsidR="004221AE" w:rsidRPr="00E1187B" w:rsidRDefault="004221AE" w:rsidP="00DE08B1">
            <w:pPr>
              <w:jc w:val="left"/>
              <w:rPr>
                <w:rFonts w:eastAsia="Calibri" w:cs="Times New Roman"/>
                <w:b/>
                <w:color w:val="auto"/>
                <w:sz w:val="20"/>
                <w:szCs w:val="20"/>
              </w:rPr>
            </w:pPr>
            <w:r w:rsidRPr="00E1187B">
              <w:rPr>
                <w:rFonts w:eastAsia="Calibri" w:cs="Times New Roman"/>
                <w:b/>
                <w:color w:val="auto"/>
                <w:sz w:val="20"/>
                <w:szCs w:val="20"/>
              </w:rPr>
              <w:t>Voortbeweging</w:t>
            </w:r>
          </w:p>
        </w:tc>
        <w:tc>
          <w:tcPr>
            <w:tcW w:w="2228" w:type="dxa"/>
            <w:tcBorders>
              <w:bottom w:val="single" w:sz="4" w:space="0" w:color="000000"/>
            </w:tcBorders>
          </w:tcPr>
          <w:p w14:paraId="7AD98FD3" w14:textId="77777777" w:rsidR="004221AE" w:rsidRPr="00E1187B" w:rsidRDefault="004221AE" w:rsidP="00E97EF5">
            <w:pPr>
              <w:pStyle w:val="tabelKop"/>
            </w:pPr>
            <w:r w:rsidRPr="00E1187B">
              <w:t>Aantal vaartuigen</w:t>
            </w:r>
          </w:p>
        </w:tc>
        <w:tc>
          <w:tcPr>
            <w:tcW w:w="2759" w:type="dxa"/>
            <w:tcBorders>
              <w:bottom w:val="single" w:sz="4" w:space="0" w:color="000000"/>
            </w:tcBorders>
          </w:tcPr>
          <w:p w14:paraId="0A928697" w14:textId="77777777" w:rsidR="003D29D2" w:rsidRDefault="004221AE" w:rsidP="00E97EF5">
            <w:pPr>
              <w:pStyle w:val="tabelKop"/>
            </w:pPr>
            <w:r w:rsidRPr="003B30AC">
              <w:t>G</w:t>
            </w:r>
            <w:r w:rsidR="0077707F" w:rsidRPr="003B30AC">
              <w:t xml:space="preserve">ezamenlijk laadvermogen </w:t>
            </w:r>
          </w:p>
          <w:p w14:paraId="076F9681" w14:textId="13231E57" w:rsidR="004221AE" w:rsidRPr="003B30AC" w:rsidRDefault="0077707F" w:rsidP="00E97EF5">
            <w:pPr>
              <w:pStyle w:val="tabelKop"/>
            </w:pPr>
            <w:r w:rsidRPr="003B30AC">
              <w:t xml:space="preserve">(x </w:t>
            </w:r>
            <w:r w:rsidR="004221AE" w:rsidRPr="003B30AC">
              <w:t>1</w:t>
            </w:r>
            <w:r w:rsidRPr="003B30AC">
              <w:t>.</w:t>
            </w:r>
            <w:r w:rsidR="004221AE" w:rsidRPr="003B30AC">
              <w:t>00</w:t>
            </w:r>
            <w:r w:rsidRPr="003B30AC">
              <w:t>0)</w:t>
            </w:r>
            <w:r w:rsidR="003D29D2">
              <w:t xml:space="preserve"> (</w:t>
            </w:r>
            <w:r w:rsidR="004221AE" w:rsidRPr="003B30AC">
              <w:t>ton)</w:t>
            </w:r>
            <w:r w:rsidR="006629DB">
              <w:t xml:space="preserve">                                           </w:t>
            </w:r>
          </w:p>
        </w:tc>
        <w:tc>
          <w:tcPr>
            <w:tcW w:w="2500" w:type="dxa"/>
            <w:tcBorders>
              <w:bottom w:val="single" w:sz="4" w:space="0" w:color="000000"/>
            </w:tcBorders>
          </w:tcPr>
          <w:p w14:paraId="5EED8849" w14:textId="77777777" w:rsidR="004221AE" w:rsidRPr="00E1187B" w:rsidRDefault="004221AE" w:rsidP="00E97EF5">
            <w:pPr>
              <w:pStyle w:val="tabelKop"/>
            </w:pPr>
            <w:r w:rsidRPr="00E1187B">
              <w:t>Gemiddeld laadvermogen (ton)</w:t>
            </w:r>
          </w:p>
        </w:tc>
      </w:tr>
      <w:tr w:rsidR="004221AE" w:rsidRPr="004221AE" w14:paraId="0D7A5AC3" w14:textId="77777777" w:rsidTr="005E724B">
        <w:trPr>
          <w:trHeight w:val="483"/>
        </w:trPr>
        <w:tc>
          <w:tcPr>
            <w:tcW w:w="2502" w:type="dxa"/>
            <w:tcBorders>
              <w:bottom w:val="nil"/>
            </w:tcBorders>
          </w:tcPr>
          <w:p w14:paraId="5B910357"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Sleepvaart</w:t>
            </w:r>
          </w:p>
        </w:tc>
        <w:tc>
          <w:tcPr>
            <w:tcW w:w="2228" w:type="dxa"/>
            <w:tcBorders>
              <w:bottom w:val="nil"/>
            </w:tcBorders>
          </w:tcPr>
          <w:p w14:paraId="6539F892" w14:textId="67FDEAF9" w:rsidR="004221AE" w:rsidRPr="00E1187B" w:rsidRDefault="004221AE" w:rsidP="0083643D">
            <w:pPr>
              <w:pStyle w:val="tabelNummers"/>
              <w:rPr>
                <w:rFonts w:eastAsia="Calibri"/>
              </w:rPr>
            </w:pPr>
            <w:r w:rsidRPr="00E1187B">
              <w:rPr>
                <w:rFonts w:eastAsia="Calibri"/>
              </w:rPr>
              <w:t>5</w:t>
            </w:r>
            <w:r w:rsidR="00CF27C0">
              <w:rPr>
                <w:rFonts w:eastAsia="Calibri"/>
              </w:rPr>
              <w:t>.</w:t>
            </w:r>
            <w:r w:rsidRPr="00E1187B">
              <w:rPr>
                <w:rFonts w:eastAsia="Calibri"/>
              </w:rPr>
              <w:t>900</w:t>
            </w:r>
          </w:p>
        </w:tc>
        <w:tc>
          <w:tcPr>
            <w:tcW w:w="2759" w:type="dxa"/>
            <w:tcBorders>
              <w:bottom w:val="nil"/>
            </w:tcBorders>
          </w:tcPr>
          <w:p w14:paraId="7C01DC51" w14:textId="22C37062" w:rsidR="004221AE" w:rsidRPr="004221AE" w:rsidRDefault="004221AE" w:rsidP="0083643D">
            <w:pPr>
              <w:pStyle w:val="tabelNummers"/>
              <w:rPr>
                <w:rFonts w:eastAsia="Calibri"/>
              </w:rPr>
            </w:pPr>
            <w:r w:rsidRPr="004221AE">
              <w:rPr>
                <w:rFonts w:eastAsia="Calibri"/>
              </w:rPr>
              <w:t>2</w:t>
            </w:r>
            <w:r w:rsidR="00CF27C0">
              <w:rPr>
                <w:rFonts w:eastAsia="Calibri"/>
              </w:rPr>
              <w:t>.</w:t>
            </w:r>
            <w:r w:rsidRPr="004221AE">
              <w:rPr>
                <w:rFonts w:eastAsia="Calibri"/>
              </w:rPr>
              <w:t>100</w:t>
            </w:r>
          </w:p>
        </w:tc>
        <w:tc>
          <w:tcPr>
            <w:tcW w:w="2500" w:type="dxa"/>
            <w:tcBorders>
              <w:bottom w:val="nil"/>
            </w:tcBorders>
          </w:tcPr>
          <w:p w14:paraId="6E6E031D" w14:textId="77777777" w:rsidR="004221AE" w:rsidRPr="004221AE" w:rsidRDefault="004221AE" w:rsidP="0083643D">
            <w:pPr>
              <w:pStyle w:val="tabelNummers"/>
              <w:rPr>
                <w:rFonts w:eastAsia="Calibri"/>
              </w:rPr>
            </w:pPr>
            <w:r w:rsidRPr="004221AE">
              <w:rPr>
                <w:rFonts w:eastAsia="Calibri"/>
              </w:rPr>
              <w:t>356</w:t>
            </w:r>
          </w:p>
        </w:tc>
      </w:tr>
      <w:tr w:rsidR="004221AE" w:rsidRPr="004221AE" w14:paraId="0801DC8C" w14:textId="77777777" w:rsidTr="005E724B">
        <w:trPr>
          <w:trHeight w:val="511"/>
        </w:trPr>
        <w:tc>
          <w:tcPr>
            <w:tcW w:w="2502" w:type="dxa"/>
            <w:tcBorders>
              <w:top w:val="nil"/>
              <w:bottom w:val="nil"/>
            </w:tcBorders>
          </w:tcPr>
          <w:p w14:paraId="29F89B9F"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Motor</w:t>
            </w:r>
          </w:p>
        </w:tc>
        <w:tc>
          <w:tcPr>
            <w:tcW w:w="2228" w:type="dxa"/>
            <w:tcBorders>
              <w:top w:val="nil"/>
              <w:bottom w:val="nil"/>
            </w:tcBorders>
          </w:tcPr>
          <w:p w14:paraId="4176DFC1" w14:textId="30432308" w:rsidR="004221AE" w:rsidRPr="00E1187B" w:rsidRDefault="004221AE" w:rsidP="0083643D">
            <w:pPr>
              <w:pStyle w:val="tabelNummers"/>
              <w:rPr>
                <w:rFonts w:eastAsia="Calibri"/>
              </w:rPr>
            </w:pPr>
            <w:r w:rsidRPr="00E1187B">
              <w:rPr>
                <w:rFonts w:eastAsia="Calibri"/>
              </w:rPr>
              <w:t>5</w:t>
            </w:r>
            <w:r w:rsidR="00CF27C0">
              <w:rPr>
                <w:rFonts w:eastAsia="Calibri"/>
              </w:rPr>
              <w:t>.</w:t>
            </w:r>
            <w:r w:rsidRPr="00E1187B">
              <w:rPr>
                <w:rFonts w:eastAsia="Calibri"/>
              </w:rPr>
              <w:t>438</w:t>
            </w:r>
          </w:p>
        </w:tc>
        <w:tc>
          <w:tcPr>
            <w:tcW w:w="2759" w:type="dxa"/>
            <w:tcBorders>
              <w:top w:val="nil"/>
              <w:bottom w:val="nil"/>
            </w:tcBorders>
          </w:tcPr>
          <w:p w14:paraId="0872C369" w14:textId="77777777" w:rsidR="004221AE" w:rsidRPr="004221AE" w:rsidRDefault="004221AE" w:rsidP="0083643D">
            <w:pPr>
              <w:pStyle w:val="tabelNummers"/>
              <w:rPr>
                <w:rFonts w:eastAsia="Calibri"/>
              </w:rPr>
            </w:pPr>
            <w:r w:rsidRPr="004221AE">
              <w:rPr>
                <w:rFonts w:eastAsia="Calibri"/>
              </w:rPr>
              <w:t>481</w:t>
            </w:r>
          </w:p>
        </w:tc>
        <w:tc>
          <w:tcPr>
            <w:tcW w:w="2500" w:type="dxa"/>
            <w:tcBorders>
              <w:top w:val="nil"/>
              <w:bottom w:val="nil"/>
            </w:tcBorders>
          </w:tcPr>
          <w:p w14:paraId="35BF53E2" w14:textId="77777777" w:rsidR="004221AE" w:rsidRPr="004221AE" w:rsidRDefault="004221AE" w:rsidP="0083643D">
            <w:pPr>
              <w:pStyle w:val="tabelNummers"/>
              <w:rPr>
                <w:rFonts w:eastAsia="Calibri"/>
              </w:rPr>
            </w:pPr>
            <w:r w:rsidRPr="004221AE">
              <w:rPr>
                <w:rFonts w:eastAsia="Calibri"/>
              </w:rPr>
              <w:t>88</w:t>
            </w:r>
          </w:p>
        </w:tc>
      </w:tr>
      <w:tr w:rsidR="004221AE" w:rsidRPr="004221AE" w14:paraId="52D5F91C" w14:textId="77777777" w:rsidTr="005E724B">
        <w:trPr>
          <w:trHeight w:val="483"/>
        </w:trPr>
        <w:tc>
          <w:tcPr>
            <w:tcW w:w="2502" w:type="dxa"/>
            <w:tcBorders>
              <w:top w:val="nil"/>
              <w:bottom w:val="nil"/>
            </w:tcBorders>
          </w:tcPr>
          <w:p w14:paraId="4A76995C"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Zeil</w:t>
            </w:r>
          </w:p>
        </w:tc>
        <w:tc>
          <w:tcPr>
            <w:tcW w:w="2228" w:type="dxa"/>
            <w:tcBorders>
              <w:top w:val="nil"/>
              <w:bottom w:val="nil"/>
            </w:tcBorders>
          </w:tcPr>
          <w:p w14:paraId="42E64898" w14:textId="243DD6DF" w:rsidR="004221AE" w:rsidRPr="00E1187B" w:rsidRDefault="004221AE" w:rsidP="0083643D">
            <w:pPr>
              <w:pStyle w:val="tabelNummers"/>
              <w:rPr>
                <w:rFonts w:eastAsia="Calibri"/>
              </w:rPr>
            </w:pPr>
            <w:r w:rsidRPr="00E1187B">
              <w:rPr>
                <w:rFonts w:eastAsia="Calibri"/>
              </w:rPr>
              <w:t>3</w:t>
            </w:r>
            <w:r w:rsidR="00CF27C0">
              <w:rPr>
                <w:rFonts w:eastAsia="Calibri"/>
              </w:rPr>
              <w:t>.</w:t>
            </w:r>
            <w:r w:rsidRPr="00E1187B">
              <w:rPr>
                <w:rFonts w:eastAsia="Calibri"/>
              </w:rPr>
              <w:t>922</w:t>
            </w:r>
          </w:p>
        </w:tc>
        <w:tc>
          <w:tcPr>
            <w:tcW w:w="2759" w:type="dxa"/>
            <w:tcBorders>
              <w:top w:val="nil"/>
              <w:bottom w:val="nil"/>
            </w:tcBorders>
          </w:tcPr>
          <w:p w14:paraId="177BD7D2" w14:textId="77777777" w:rsidR="004221AE" w:rsidRPr="004221AE" w:rsidRDefault="004221AE" w:rsidP="0083643D">
            <w:pPr>
              <w:pStyle w:val="tabelNummers"/>
              <w:rPr>
                <w:rFonts w:eastAsia="Calibri"/>
              </w:rPr>
            </w:pPr>
            <w:r w:rsidRPr="004221AE">
              <w:rPr>
                <w:rFonts w:eastAsia="Calibri"/>
              </w:rPr>
              <w:t>326</w:t>
            </w:r>
          </w:p>
        </w:tc>
        <w:tc>
          <w:tcPr>
            <w:tcW w:w="2500" w:type="dxa"/>
            <w:tcBorders>
              <w:top w:val="nil"/>
              <w:bottom w:val="nil"/>
            </w:tcBorders>
          </w:tcPr>
          <w:p w14:paraId="05135CA6" w14:textId="77777777" w:rsidR="004221AE" w:rsidRPr="004221AE" w:rsidRDefault="004221AE" w:rsidP="0083643D">
            <w:pPr>
              <w:pStyle w:val="tabelNummers"/>
              <w:rPr>
                <w:rFonts w:eastAsia="Calibri"/>
              </w:rPr>
            </w:pPr>
            <w:r w:rsidRPr="004221AE">
              <w:rPr>
                <w:rFonts w:eastAsia="Calibri"/>
              </w:rPr>
              <w:t>83</w:t>
            </w:r>
          </w:p>
        </w:tc>
      </w:tr>
      <w:tr w:rsidR="004221AE" w:rsidRPr="004221AE" w14:paraId="2BB35E7D" w14:textId="77777777" w:rsidTr="005E724B">
        <w:trPr>
          <w:trHeight w:val="511"/>
        </w:trPr>
        <w:tc>
          <w:tcPr>
            <w:tcW w:w="2502" w:type="dxa"/>
            <w:tcBorders>
              <w:top w:val="nil"/>
              <w:bottom w:val="nil"/>
            </w:tcBorders>
          </w:tcPr>
          <w:p w14:paraId="75C298D6"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Opduwer</w:t>
            </w:r>
          </w:p>
        </w:tc>
        <w:tc>
          <w:tcPr>
            <w:tcW w:w="2228" w:type="dxa"/>
            <w:tcBorders>
              <w:top w:val="nil"/>
              <w:bottom w:val="nil"/>
            </w:tcBorders>
          </w:tcPr>
          <w:p w14:paraId="456E38A3" w14:textId="0A3BF744" w:rsidR="004221AE" w:rsidRPr="00E1187B" w:rsidRDefault="004221AE" w:rsidP="0083643D">
            <w:pPr>
              <w:pStyle w:val="tabelNummers"/>
              <w:rPr>
                <w:rFonts w:eastAsia="Calibri"/>
              </w:rPr>
            </w:pPr>
            <w:r w:rsidRPr="00E1187B">
              <w:rPr>
                <w:rFonts w:eastAsia="Calibri"/>
              </w:rPr>
              <w:t>1</w:t>
            </w:r>
            <w:r w:rsidR="00CF27C0">
              <w:rPr>
                <w:rFonts w:eastAsia="Calibri"/>
              </w:rPr>
              <w:t>.</w:t>
            </w:r>
            <w:r w:rsidRPr="00E1187B">
              <w:rPr>
                <w:rFonts w:eastAsia="Calibri"/>
              </w:rPr>
              <w:t>011</w:t>
            </w:r>
          </w:p>
        </w:tc>
        <w:tc>
          <w:tcPr>
            <w:tcW w:w="2759" w:type="dxa"/>
            <w:tcBorders>
              <w:top w:val="nil"/>
              <w:bottom w:val="nil"/>
            </w:tcBorders>
          </w:tcPr>
          <w:p w14:paraId="307F9876" w14:textId="77777777" w:rsidR="004221AE" w:rsidRPr="004221AE" w:rsidRDefault="004221AE" w:rsidP="0083643D">
            <w:pPr>
              <w:pStyle w:val="tabelNummers"/>
              <w:rPr>
                <w:rFonts w:eastAsia="Calibri"/>
              </w:rPr>
            </w:pPr>
            <w:r w:rsidRPr="004221AE">
              <w:rPr>
                <w:rFonts w:eastAsia="Calibri"/>
              </w:rPr>
              <w:t>86</w:t>
            </w:r>
          </w:p>
        </w:tc>
        <w:tc>
          <w:tcPr>
            <w:tcW w:w="2500" w:type="dxa"/>
            <w:tcBorders>
              <w:top w:val="nil"/>
              <w:bottom w:val="nil"/>
            </w:tcBorders>
          </w:tcPr>
          <w:p w14:paraId="2A08B924" w14:textId="77777777" w:rsidR="004221AE" w:rsidRPr="004221AE" w:rsidRDefault="004221AE" w:rsidP="0083643D">
            <w:pPr>
              <w:pStyle w:val="tabelNummers"/>
              <w:rPr>
                <w:rFonts w:eastAsia="Calibri"/>
              </w:rPr>
            </w:pPr>
            <w:r w:rsidRPr="004221AE">
              <w:rPr>
                <w:rFonts w:eastAsia="Calibri"/>
              </w:rPr>
              <w:t>85</w:t>
            </w:r>
          </w:p>
        </w:tc>
      </w:tr>
      <w:tr w:rsidR="004221AE" w:rsidRPr="004221AE" w14:paraId="2E1A3153" w14:textId="77777777" w:rsidTr="005E724B">
        <w:trPr>
          <w:trHeight w:val="511"/>
        </w:trPr>
        <w:tc>
          <w:tcPr>
            <w:tcW w:w="2502" w:type="dxa"/>
            <w:tcBorders>
              <w:top w:val="nil"/>
              <w:bottom w:val="nil"/>
            </w:tcBorders>
          </w:tcPr>
          <w:p w14:paraId="1B3CB508"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Zijschroef</w:t>
            </w:r>
          </w:p>
        </w:tc>
        <w:tc>
          <w:tcPr>
            <w:tcW w:w="2228" w:type="dxa"/>
            <w:tcBorders>
              <w:top w:val="nil"/>
              <w:bottom w:val="nil"/>
            </w:tcBorders>
          </w:tcPr>
          <w:p w14:paraId="02F9C2A9" w14:textId="77777777" w:rsidR="004221AE" w:rsidRPr="004221AE" w:rsidRDefault="004221AE" w:rsidP="0083643D">
            <w:pPr>
              <w:pStyle w:val="tabelNummers"/>
              <w:rPr>
                <w:rFonts w:eastAsia="Calibri"/>
              </w:rPr>
            </w:pPr>
            <w:r w:rsidRPr="004221AE">
              <w:rPr>
                <w:rFonts w:eastAsia="Calibri"/>
              </w:rPr>
              <w:t>419</w:t>
            </w:r>
          </w:p>
        </w:tc>
        <w:tc>
          <w:tcPr>
            <w:tcW w:w="2759" w:type="dxa"/>
            <w:tcBorders>
              <w:top w:val="nil"/>
              <w:bottom w:val="nil"/>
            </w:tcBorders>
          </w:tcPr>
          <w:p w14:paraId="42AD7D33" w14:textId="77777777" w:rsidR="004221AE" w:rsidRPr="004221AE" w:rsidRDefault="004221AE" w:rsidP="0083643D">
            <w:pPr>
              <w:pStyle w:val="tabelNummers"/>
              <w:rPr>
                <w:rFonts w:eastAsia="Calibri"/>
              </w:rPr>
            </w:pPr>
            <w:r w:rsidRPr="004221AE">
              <w:rPr>
                <w:rFonts w:eastAsia="Calibri"/>
              </w:rPr>
              <w:t>74</w:t>
            </w:r>
          </w:p>
        </w:tc>
        <w:tc>
          <w:tcPr>
            <w:tcW w:w="2500" w:type="dxa"/>
            <w:tcBorders>
              <w:top w:val="nil"/>
              <w:bottom w:val="nil"/>
            </w:tcBorders>
          </w:tcPr>
          <w:p w14:paraId="14A8E307" w14:textId="77777777" w:rsidR="004221AE" w:rsidRPr="004221AE" w:rsidRDefault="004221AE" w:rsidP="0083643D">
            <w:pPr>
              <w:pStyle w:val="tabelNummers"/>
              <w:rPr>
                <w:rFonts w:eastAsia="Calibri"/>
              </w:rPr>
            </w:pPr>
            <w:r w:rsidRPr="004221AE">
              <w:rPr>
                <w:rFonts w:eastAsia="Calibri"/>
              </w:rPr>
              <w:t>177</w:t>
            </w:r>
          </w:p>
        </w:tc>
      </w:tr>
      <w:tr w:rsidR="004221AE" w:rsidRPr="004221AE" w14:paraId="7812B3BE" w14:textId="77777777" w:rsidTr="005E724B">
        <w:trPr>
          <w:trHeight w:val="483"/>
        </w:trPr>
        <w:tc>
          <w:tcPr>
            <w:tcW w:w="2502" w:type="dxa"/>
            <w:tcBorders>
              <w:top w:val="nil"/>
              <w:bottom w:val="nil"/>
            </w:tcBorders>
          </w:tcPr>
          <w:p w14:paraId="3DE31651"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Stoom</w:t>
            </w:r>
          </w:p>
        </w:tc>
        <w:tc>
          <w:tcPr>
            <w:tcW w:w="2228" w:type="dxa"/>
            <w:tcBorders>
              <w:top w:val="nil"/>
              <w:bottom w:val="nil"/>
            </w:tcBorders>
          </w:tcPr>
          <w:p w14:paraId="4BDC011C" w14:textId="77777777" w:rsidR="004221AE" w:rsidRPr="004221AE" w:rsidRDefault="004221AE" w:rsidP="0083643D">
            <w:pPr>
              <w:pStyle w:val="tabelNummers"/>
              <w:rPr>
                <w:rFonts w:eastAsia="Calibri"/>
              </w:rPr>
            </w:pPr>
            <w:r w:rsidRPr="004221AE">
              <w:rPr>
                <w:rFonts w:eastAsia="Calibri"/>
              </w:rPr>
              <w:t>331</w:t>
            </w:r>
          </w:p>
        </w:tc>
        <w:tc>
          <w:tcPr>
            <w:tcW w:w="2759" w:type="dxa"/>
            <w:tcBorders>
              <w:top w:val="nil"/>
              <w:bottom w:val="nil"/>
            </w:tcBorders>
          </w:tcPr>
          <w:p w14:paraId="52236749" w14:textId="77777777" w:rsidR="004221AE" w:rsidRPr="004221AE" w:rsidRDefault="004221AE" w:rsidP="0083643D">
            <w:pPr>
              <w:pStyle w:val="tabelNummers"/>
              <w:rPr>
                <w:rFonts w:eastAsia="Calibri"/>
              </w:rPr>
            </w:pPr>
            <w:r w:rsidRPr="004221AE">
              <w:rPr>
                <w:rFonts w:eastAsia="Calibri"/>
              </w:rPr>
              <w:t>39</w:t>
            </w:r>
          </w:p>
        </w:tc>
        <w:tc>
          <w:tcPr>
            <w:tcW w:w="2500" w:type="dxa"/>
            <w:tcBorders>
              <w:top w:val="nil"/>
              <w:bottom w:val="nil"/>
            </w:tcBorders>
          </w:tcPr>
          <w:p w14:paraId="333E4CBD" w14:textId="77777777" w:rsidR="004221AE" w:rsidRPr="004221AE" w:rsidRDefault="004221AE" w:rsidP="0083643D">
            <w:pPr>
              <w:pStyle w:val="tabelNummers"/>
              <w:rPr>
                <w:rFonts w:eastAsia="Calibri"/>
              </w:rPr>
            </w:pPr>
            <w:r w:rsidRPr="004221AE">
              <w:rPr>
                <w:rFonts w:eastAsia="Calibri"/>
              </w:rPr>
              <w:t>118</w:t>
            </w:r>
          </w:p>
        </w:tc>
      </w:tr>
      <w:tr w:rsidR="004221AE" w:rsidRPr="004221AE" w14:paraId="475B4AD6" w14:textId="77777777" w:rsidTr="005E724B">
        <w:trPr>
          <w:trHeight w:val="511"/>
        </w:trPr>
        <w:tc>
          <w:tcPr>
            <w:tcW w:w="2502" w:type="dxa"/>
            <w:tcBorders>
              <w:top w:val="nil"/>
              <w:bottom w:val="nil"/>
            </w:tcBorders>
          </w:tcPr>
          <w:p w14:paraId="00866C00"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Zeil en motor</w:t>
            </w:r>
          </w:p>
        </w:tc>
        <w:tc>
          <w:tcPr>
            <w:tcW w:w="2228" w:type="dxa"/>
            <w:tcBorders>
              <w:top w:val="nil"/>
              <w:bottom w:val="nil"/>
            </w:tcBorders>
          </w:tcPr>
          <w:p w14:paraId="3FE9E5BC" w14:textId="77777777" w:rsidR="004221AE" w:rsidRPr="004221AE" w:rsidRDefault="004221AE" w:rsidP="0083643D">
            <w:pPr>
              <w:pStyle w:val="tabelNummers"/>
              <w:rPr>
                <w:rFonts w:eastAsia="Calibri"/>
              </w:rPr>
            </w:pPr>
            <w:r w:rsidRPr="004221AE">
              <w:rPr>
                <w:rFonts w:eastAsia="Calibri"/>
              </w:rPr>
              <w:t>112</w:t>
            </w:r>
          </w:p>
        </w:tc>
        <w:tc>
          <w:tcPr>
            <w:tcW w:w="2759" w:type="dxa"/>
            <w:tcBorders>
              <w:top w:val="nil"/>
              <w:bottom w:val="nil"/>
            </w:tcBorders>
          </w:tcPr>
          <w:p w14:paraId="0B1F3DCF" w14:textId="77777777" w:rsidR="004221AE" w:rsidRPr="004221AE" w:rsidRDefault="004221AE" w:rsidP="0083643D">
            <w:pPr>
              <w:pStyle w:val="tabelNummers"/>
              <w:rPr>
                <w:rFonts w:eastAsia="Calibri"/>
              </w:rPr>
            </w:pPr>
            <w:r w:rsidRPr="004221AE">
              <w:rPr>
                <w:rFonts w:eastAsia="Calibri"/>
              </w:rPr>
              <w:t>11,5</w:t>
            </w:r>
          </w:p>
        </w:tc>
        <w:tc>
          <w:tcPr>
            <w:tcW w:w="2500" w:type="dxa"/>
            <w:tcBorders>
              <w:top w:val="nil"/>
              <w:bottom w:val="nil"/>
            </w:tcBorders>
          </w:tcPr>
          <w:p w14:paraId="4892EB57" w14:textId="77777777" w:rsidR="004221AE" w:rsidRPr="004221AE" w:rsidRDefault="004221AE" w:rsidP="0083643D">
            <w:pPr>
              <w:pStyle w:val="tabelNummers"/>
              <w:rPr>
                <w:rFonts w:eastAsia="Calibri"/>
              </w:rPr>
            </w:pPr>
            <w:r w:rsidRPr="004221AE">
              <w:rPr>
                <w:rFonts w:eastAsia="Calibri"/>
              </w:rPr>
              <w:t>103</w:t>
            </w:r>
          </w:p>
        </w:tc>
      </w:tr>
      <w:tr w:rsidR="004221AE" w:rsidRPr="004221AE" w14:paraId="39DD7611" w14:textId="77777777" w:rsidTr="005E724B">
        <w:trPr>
          <w:trHeight w:val="483"/>
        </w:trPr>
        <w:tc>
          <w:tcPr>
            <w:tcW w:w="2502" w:type="dxa"/>
            <w:tcBorders>
              <w:top w:val="single" w:sz="4" w:space="0" w:color="auto"/>
            </w:tcBorders>
          </w:tcPr>
          <w:p w14:paraId="1452D29B"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Totaal</w:t>
            </w:r>
          </w:p>
        </w:tc>
        <w:tc>
          <w:tcPr>
            <w:tcW w:w="2228" w:type="dxa"/>
            <w:tcBorders>
              <w:top w:val="single" w:sz="4" w:space="0" w:color="auto"/>
            </w:tcBorders>
          </w:tcPr>
          <w:p w14:paraId="48663623" w14:textId="02CB7E40" w:rsidR="004221AE" w:rsidRPr="004221AE" w:rsidRDefault="004221AE" w:rsidP="0083643D">
            <w:pPr>
              <w:pStyle w:val="tabelNummers"/>
              <w:rPr>
                <w:rFonts w:eastAsia="Calibri"/>
              </w:rPr>
            </w:pPr>
            <w:r w:rsidRPr="004221AE">
              <w:rPr>
                <w:rFonts w:eastAsia="Calibri"/>
              </w:rPr>
              <w:t>17</w:t>
            </w:r>
            <w:r w:rsidR="00CF27C0">
              <w:rPr>
                <w:rFonts w:eastAsia="Calibri"/>
              </w:rPr>
              <w:t>.</w:t>
            </w:r>
            <w:r w:rsidRPr="004221AE">
              <w:rPr>
                <w:rFonts w:eastAsia="Calibri"/>
              </w:rPr>
              <w:t>133</w:t>
            </w:r>
          </w:p>
        </w:tc>
        <w:tc>
          <w:tcPr>
            <w:tcW w:w="2759" w:type="dxa"/>
            <w:tcBorders>
              <w:top w:val="single" w:sz="4" w:space="0" w:color="auto"/>
            </w:tcBorders>
          </w:tcPr>
          <w:p w14:paraId="1437AE8A" w14:textId="2614F09E" w:rsidR="004221AE" w:rsidRPr="004221AE" w:rsidRDefault="00845FB6" w:rsidP="0083643D">
            <w:pPr>
              <w:pStyle w:val="tabelNummers"/>
              <w:rPr>
                <w:rFonts w:eastAsia="Calibri"/>
              </w:rPr>
            </w:pPr>
            <w:r>
              <w:rPr>
                <w:rFonts w:eastAsia="Calibri"/>
              </w:rPr>
              <w:t>3</w:t>
            </w:r>
            <w:r w:rsidR="00830AA2">
              <w:rPr>
                <w:rFonts w:eastAsia="Calibri"/>
              </w:rPr>
              <w:t>.</w:t>
            </w:r>
            <w:r>
              <w:rPr>
                <w:rFonts w:eastAsia="Calibri"/>
              </w:rPr>
              <w:t>118</w:t>
            </w:r>
          </w:p>
        </w:tc>
        <w:tc>
          <w:tcPr>
            <w:tcW w:w="2500" w:type="dxa"/>
            <w:tcBorders>
              <w:top w:val="single" w:sz="4" w:space="0" w:color="auto"/>
            </w:tcBorders>
          </w:tcPr>
          <w:p w14:paraId="372FA519" w14:textId="77777777" w:rsidR="004221AE" w:rsidRPr="004221AE" w:rsidRDefault="004221AE" w:rsidP="0083643D">
            <w:pPr>
              <w:pStyle w:val="tabelNummers"/>
              <w:rPr>
                <w:rFonts w:eastAsia="Calibri"/>
              </w:rPr>
            </w:pPr>
            <w:r w:rsidRPr="004221AE">
              <w:rPr>
                <w:rFonts w:eastAsia="Calibri"/>
              </w:rPr>
              <w:t>182</w:t>
            </w:r>
          </w:p>
        </w:tc>
      </w:tr>
    </w:tbl>
    <w:p w14:paraId="000736AF" w14:textId="4DFE47B5" w:rsidR="004221AE" w:rsidRDefault="004221AE" w:rsidP="00DE08B1">
      <w:pPr>
        <w:contextualSpacing/>
        <w:jc w:val="left"/>
        <w:rPr>
          <w:rFonts w:eastAsia="Calibri" w:cs="Times New Roman"/>
          <w:color w:val="auto"/>
          <w:szCs w:val="24"/>
        </w:rPr>
      </w:pPr>
    </w:p>
    <w:p w14:paraId="2F11BC81" w14:textId="24E270E8" w:rsidR="00850CCF" w:rsidRPr="004221AE" w:rsidRDefault="00850CCF" w:rsidP="00DE08B1">
      <w:pPr>
        <w:contextualSpacing/>
        <w:jc w:val="left"/>
        <w:rPr>
          <w:rFonts w:eastAsia="Calibri" w:cs="Times New Roman"/>
          <w:color w:val="auto"/>
          <w:szCs w:val="24"/>
        </w:rPr>
      </w:pPr>
      <w:r>
        <w:rPr>
          <w:rFonts w:eastAsia="Calibri" w:cs="Times New Roman"/>
          <w:i/>
          <w:iCs/>
          <w:color w:val="auto"/>
          <w:szCs w:val="24"/>
        </w:rPr>
        <w:t>Tabel 1</w:t>
      </w:r>
      <w:r w:rsidR="00F729EC">
        <w:rPr>
          <w:rFonts w:eastAsia="Calibri" w:cs="Times New Roman"/>
          <w:i/>
          <w:iCs/>
          <w:color w:val="auto"/>
          <w:szCs w:val="24"/>
        </w:rPr>
        <w:t>4</w:t>
      </w:r>
      <w:r w:rsidR="00B32028">
        <w:rPr>
          <w:rFonts w:eastAsia="Calibri" w:cs="Times New Roman"/>
          <w:i/>
          <w:iCs/>
          <w:color w:val="auto"/>
          <w:szCs w:val="24"/>
        </w:rPr>
        <w:t xml:space="preserve">: </w:t>
      </w:r>
      <w:r w:rsidRPr="004221AE">
        <w:rPr>
          <w:rFonts w:eastAsia="Calibri" w:cs="Times New Roman"/>
          <w:i/>
          <w:iCs/>
          <w:color w:val="auto"/>
          <w:szCs w:val="24"/>
        </w:rPr>
        <w:t>Vloot b</w:t>
      </w:r>
      <w:r w:rsidRPr="004221AE">
        <w:rPr>
          <w:rFonts w:eastAsia="Calibri" w:cs="Times New Roman"/>
          <w:i/>
          <w:color w:val="auto"/>
          <w:szCs w:val="24"/>
        </w:rPr>
        <w:t>innenlands vervoer. Wijze van voortbeweging (1934).</w:t>
      </w:r>
      <w:r w:rsidRPr="004221AE">
        <w:rPr>
          <w:rFonts w:eastAsia="Calibri" w:cs="Times New Roman"/>
          <w:color w:val="auto"/>
          <w:szCs w:val="24"/>
          <w:vertAlign w:val="superscript"/>
        </w:rPr>
        <w:endnoteReference w:id="66"/>
      </w:r>
    </w:p>
    <w:p w14:paraId="0A81AA69" w14:textId="77777777" w:rsidR="00850CCF" w:rsidRDefault="00850CCF" w:rsidP="00DE08B1">
      <w:pPr>
        <w:contextualSpacing/>
        <w:jc w:val="left"/>
        <w:rPr>
          <w:rFonts w:eastAsia="Calibri" w:cs="Times New Roman"/>
          <w:color w:val="auto"/>
          <w:szCs w:val="24"/>
        </w:rPr>
      </w:pPr>
    </w:p>
    <w:p w14:paraId="2FC97625" w14:textId="03C26AE3" w:rsidR="004221AE" w:rsidRPr="004221AE" w:rsidRDefault="004221AE" w:rsidP="00DE08B1">
      <w:pPr>
        <w:contextualSpacing/>
        <w:jc w:val="left"/>
        <w:rPr>
          <w:rFonts w:eastAsia="Calibri" w:cs="Times New Roman"/>
          <w:color w:val="auto"/>
          <w:szCs w:val="24"/>
        </w:rPr>
      </w:pPr>
      <w:r w:rsidRPr="004221AE">
        <w:rPr>
          <w:rFonts w:eastAsia="Calibri" w:cs="Times New Roman"/>
          <w:color w:val="auto"/>
          <w:szCs w:val="24"/>
        </w:rPr>
        <w:t xml:space="preserve">Het grootste deel van de binnenlandse vloot was </w:t>
      </w:r>
      <w:r w:rsidR="00B32C99">
        <w:rPr>
          <w:rFonts w:eastAsia="Calibri" w:cs="Times New Roman"/>
          <w:color w:val="auto"/>
          <w:szCs w:val="24"/>
        </w:rPr>
        <w:t xml:space="preserve">eigendom </w:t>
      </w:r>
      <w:r w:rsidRPr="004221AE">
        <w:rPr>
          <w:rFonts w:eastAsia="Calibri" w:cs="Times New Roman"/>
          <w:color w:val="auto"/>
          <w:szCs w:val="24"/>
        </w:rPr>
        <w:t xml:space="preserve">van particuliere schippers, terwijl het overige deel </w:t>
      </w:r>
      <w:r w:rsidR="00B32C99">
        <w:rPr>
          <w:rFonts w:eastAsia="Calibri" w:cs="Times New Roman"/>
          <w:color w:val="auto"/>
          <w:szCs w:val="24"/>
        </w:rPr>
        <w:t xml:space="preserve">toebehoorde aan </w:t>
      </w:r>
      <w:r w:rsidRPr="004221AE">
        <w:rPr>
          <w:rFonts w:eastAsia="Calibri" w:cs="Times New Roman"/>
          <w:color w:val="auto"/>
          <w:szCs w:val="24"/>
        </w:rPr>
        <w:t>rederijen of walondernemingen. De</w:t>
      </w:r>
      <w:r w:rsidR="00B32C99">
        <w:rPr>
          <w:rFonts w:eastAsia="Calibri" w:cs="Times New Roman"/>
          <w:color w:val="auto"/>
          <w:szCs w:val="24"/>
        </w:rPr>
        <w:t xml:space="preserve"> </w:t>
      </w:r>
      <w:r w:rsidRPr="004221AE">
        <w:rPr>
          <w:rFonts w:eastAsia="Calibri" w:cs="Times New Roman"/>
          <w:color w:val="auto"/>
          <w:szCs w:val="24"/>
        </w:rPr>
        <w:t xml:space="preserve">walondernemingen verzorgden hun vervoer met eigen vaartuigen.    </w:t>
      </w:r>
    </w:p>
    <w:p w14:paraId="5B55DABE" w14:textId="77777777" w:rsidR="004221AE" w:rsidRDefault="004221AE" w:rsidP="00DE08B1">
      <w:pPr>
        <w:jc w:val="left"/>
        <w:rPr>
          <w:rFonts w:eastAsia="Calibri" w:cs="Times New Roman"/>
          <w:color w:val="auto"/>
          <w:szCs w:val="24"/>
        </w:rPr>
      </w:pPr>
    </w:p>
    <w:p w14:paraId="1C52813E" w14:textId="77777777" w:rsidR="006629DB" w:rsidRPr="004221AE" w:rsidRDefault="006629DB" w:rsidP="00DE08B1">
      <w:pPr>
        <w:jc w:val="left"/>
        <w:rPr>
          <w:rFonts w:eastAsia="Calibri" w:cs="Times New Roman"/>
          <w:color w:val="auto"/>
          <w:szCs w:val="24"/>
        </w:rPr>
      </w:pP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1275"/>
        <w:gridCol w:w="1560"/>
        <w:gridCol w:w="1134"/>
        <w:gridCol w:w="1275"/>
        <w:gridCol w:w="1491"/>
        <w:gridCol w:w="885"/>
      </w:tblGrid>
      <w:tr w:rsidR="004221AE" w:rsidRPr="004221AE" w14:paraId="40CC041A" w14:textId="77777777" w:rsidTr="0062598D">
        <w:trPr>
          <w:trHeight w:hRule="exact" w:val="567"/>
        </w:trPr>
        <w:tc>
          <w:tcPr>
            <w:tcW w:w="1668" w:type="dxa"/>
            <w:vMerge w:val="restart"/>
          </w:tcPr>
          <w:p w14:paraId="07B59F8A" w14:textId="77777777" w:rsidR="004221AE" w:rsidRPr="004221AE" w:rsidRDefault="004221AE" w:rsidP="00DE08B1">
            <w:pPr>
              <w:jc w:val="left"/>
              <w:rPr>
                <w:rFonts w:eastAsia="Calibri" w:cs="Times New Roman"/>
                <w:color w:val="auto"/>
                <w:sz w:val="20"/>
                <w:szCs w:val="20"/>
              </w:rPr>
            </w:pPr>
          </w:p>
        </w:tc>
        <w:tc>
          <w:tcPr>
            <w:tcW w:w="3969" w:type="dxa"/>
            <w:gridSpan w:val="3"/>
          </w:tcPr>
          <w:p w14:paraId="5DB635EA" w14:textId="6F2A65E6" w:rsidR="004221AE" w:rsidRPr="00FF056D" w:rsidRDefault="00291CEE" w:rsidP="00E97EF5">
            <w:pPr>
              <w:pStyle w:val="tabelKop"/>
            </w:pPr>
            <w:r>
              <w:t>Aantal v</w:t>
            </w:r>
            <w:r w:rsidR="004221AE" w:rsidRPr="00FF056D">
              <w:t>aartuigen</w:t>
            </w:r>
          </w:p>
        </w:tc>
        <w:tc>
          <w:tcPr>
            <w:tcW w:w="3651" w:type="dxa"/>
            <w:gridSpan w:val="3"/>
          </w:tcPr>
          <w:p w14:paraId="323F4878" w14:textId="6A337959" w:rsidR="004221AE" w:rsidRPr="00FF056D" w:rsidRDefault="004221AE" w:rsidP="00E97EF5">
            <w:pPr>
              <w:pStyle w:val="tabelKop"/>
            </w:pPr>
            <w:r w:rsidRPr="00FF056D">
              <w:t>Laadvermogen                                               (x 1</w:t>
            </w:r>
            <w:r w:rsidR="00FF056D" w:rsidRPr="00FF056D">
              <w:t>.</w:t>
            </w:r>
            <w:r w:rsidRPr="00FF056D">
              <w:t>000 ton)</w:t>
            </w:r>
          </w:p>
        </w:tc>
      </w:tr>
      <w:tr w:rsidR="004221AE" w:rsidRPr="004221AE" w14:paraId="1BBFE5C2" w14:textId="77777777" w:rsidTr="0062598D">
        <w:tc>
          <w:tcPr>
            <w:tcW w:w="1668" w:type="dxa"/>
            <w:vMerge/>
            <w:tcBorders>
              <w:bottom w:val="single" w:sz="4" w:space="0" w:color="000000"/>
            </w:tcBorders>
          </w:tcPr>
          <w:p w14:paraId="6DC6317C" w14:textId="77777777" w:rsidR="004221AE" w:rsidRPr="004221AE" w:rsidRDefault="004221AE" w:rsidP="00DE08B1">
            <w:pPr>
              <w:jc w:val="left"/>
              <w:rPr>
                <w:rFonts w:eastAsia="Calibri" w:cs="Times New Roman"/>
                <w:color w:val="auto"/>
                <w:sz w:val="20"/>
                <w:szCs w:val="20"/>
              </w:rPr>
            </w:pPr>
          </w:p>
        </w:tc>
        <w:tc>
          <w:tcPr>
            <w:tcW w:w="1275" w:type="dxa"/>
            <w:tcBorders>
              <w:bottom w:val="single" w:sz="4" w:space="0" w:color="000000"/>
            </w:tcBorders>
          </w:tcPr>
          <w:p w14:paraId="67654C4B"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Particulieren</w:t>
            </w:r>
          </w:p>
        </w:tc>
        <w:tc>
          <w:tcPr>
            <w:tcW w:w="1560" w:type="dxa"/>
            <w:tcBorders>
              <w:bottom w:val="single" w:sz="4" w:space="0" w:color="000000"/>
            </w:tcBorders>
          </w:tcPr>
          <w:p w14:paraId="342CC8F7"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Reders en</w:t>
            </w:r>
          </w:p>
          <w:p w14:paraId="35267EE7"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 xml:space="preserve"> ondernemers</w:t>
            </w:r>
          </w:p>
        </w:tc>
        <w:tc>
          <w:tcPr>
            <w:tcW w:w="1134" w:type="dxa"/>
            <w:tcBorders>
              <w:bottom w:val="single" w:sz="4" w:space="0" w:color="000000"/>
            </w:tcBorders>
          </w:tcPr>
          <w:p w14:paraId="20DF2F39"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Totaal</w:t>
            </w:r>
          </w:p>
        </w:tc>
        <w:tc>
          <w:tcPr>
            <w:tcW w:w="1275" w:type="dxa"/>
            <w:tcBorders>
              <w:bottom w:val="single" w:sz="4" w:space="0" w:color="000000"/>
            </w:tcBorders>
          </w:tcPr>
          <w:p w14:paraId="2D23663D"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Particulieren</w:t>
            </w:r>
          </w:p>
        </w:tc>
        <w:tc>
          <w:tcPr>
            <w:tcW w:w="1491" w:type="dxa"/>
            <w:tcBorders>
              <w:bottom w:val="single" w:sz="4" w:space="0" w:color="000000"/>
            </w:tcBorders>
          </w:tcPr>
          <w:p w14:paraId="42160568"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 xml:space="preserve">Reders en </w:t>
            </w:r>
          </w:p>
          <w:p w14:paraId="61DA390D"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ondernemers</w:t>
            </w:r>
          </w:p>
        </w:tc>
        <w:tc>
          <w:tcPr>
            <w:tcW w:w="885" w:type="dxa"/>
            <w:tcBorders>
              <w:bottom w:val="single" w:sz="4" w:space="0" w:color="000000"/>
            </w:tcBorders>
          </w:tcPr>
          <w:p w14:paraId="0BCB9280"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Totaal</w:t>
            </w:r>
          </w:p>
        </w:tc>
      </w:tr>
      <w:tr w:rsidR="004221AE" w:rsidRPr="004221AE" w14:paraId="368CDAA8" w14:textId="77777777" w:rsidTr="0062598D">
        <w:tc>
          <w:tcPr>
            <w:tcW w:w="1668" w:type="dxa"/>
            <w:tcBorders>
              <w:bottom w:val="nil"/>
            </w:tcBorders>
          </w:tcPr>
          <w:p w14:paraId="2BDE123A"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Wilde vaart*</w:t>
            </w:r>
          </w:p>
        </w:tc>
        <w:tc>
          <w:tcPr>
            <w:tcW w:w="1275" w:type="dxa"/>
            <w:tcBorders>
              <w:bottom w:val="nil"/>
            </w:tcBorders>
          </w:tcPr>
          <w:p w14:paraId="016E113E" w14:textId="54F7925D" w:rsidR="004221AE" w:rsidRPr="004221AE" w:rsidRDefault="004221AE" w:rsidP="00E97EF5">
            <w:pPr>
              <w:pStyle w:val="tabelNummers"/>
              <w:rPr>
                <w:rFonts w:eastAsia="Calibri"/>
              </w:rPr>
            </w:pPr>
            <w:r w:rsidRPr="004221AE">
              <w:rPr>
                <w:rFonts w:eastAsia="Calibri"/>
              </w:rPr>
              <w:t>10</w:t>
            </w:r>
            <w:r w:rsidR="00537B5F">
              <w:rPr>
                <w:rFonts w:eastAsia="Calibri"/>
              </w:rPr>
              <w:t>.</w:t>
            </w:r>
            <w:r w:rsidRPr="004221AE">
              <w:rPr>
                <w:rFonts w:eastAsia="Calibri"/>
              </w:rPr>
              <w:t>339</w:t>
            </w:r>
          </w:p>
        </w:tc>
        <w:tc>
          <w:tcPr>
            <w:tcW w:w="1560" w:type="dxa"/>
            <w:tcBorders>
              <w:bottom w:val="nil"/>
            </w:tcBorders>
          </w:tcPr>
          <w:p w14:paraId="769826A6" w14:textId="77777777" w:rsidR="004221AE" w:rsidRPr="004221AE" w:rsidRDefault="004221AE" w:rsidP="00E97EF5">
            <w:pPr>
              <w:pStyle w:val="tabelNummers"/>
              <w:rPr>
                <w:rFonts w:eastAsia="Calibri"/>
              </w:rPr>
            </w:pPr>
            <w:r w:rsidRPr="004221AE">
              <w:rPr>
                <w:rFonts w:eastAsia="Calibri"/>
              </w:rPr>
              <w:t>809</w:t>
            </w:r>
          </w:p>
        </w:tc>
        <w:tc>
          <w:tcPr>
            <w:tcW w:w="1134" w:type="dxa"/>
            <w:tcBorders>
              <w:bottom w:val="nil"/>
            </w:tcBorders>
          </w:tcPr>
          <w:p w14:paraId="460FB82D" w14:textId="140E5943" w:rsidR="004221AE" w:rsidRPr="004221AE" w:rsidRDefault="004221AE" w:rsidP="00E97EF5">
            <w:pPr>
              <w:pStyle w:val="tabelNummers"/>
              <w:rPr>
                <w:rFonts w:eastAsia="Calibri"/>
              </w:rPr>
            </w:pPr>
            <w:r w:rsidRPr="004221AE">
              <w:rPr>
                <w:rFonts w:eastAsia="Calibri"/>
              </w:rPr>
              <w:t>11</w:t>
            </w:r>
            <w:r w:rsidR="00537B5F">
              <w:rPr>
                <w:rFonts w:eastAsia="Calibri"/>
              </w:rPr>
              <w:t>.</w:t>
            </w:r>
            <w:r w:rsidRPr="004221AE">
              <w:rPr>
                <w:rFonts w:eastAsia="Calibri"/>
              </w:rPr>
              <w:t>148</w:t>
            </w:r>
          </w:p>
        </w:tc>
        <w:tc>
          <w:tcPr>
            <w:tcW w:w="1275" w:type="dxa"/>
            <w:tcBorders>
              <w:bottom w:val="nil"/>
            </w:tcBorders>
          </w:tcPr>
          <w:p w14:paraId="64195DC1" w14:textId="24DA3DA5" w:rsidR="004221AE" w:rsidRPr="004221AE" w:rsidRDefault="004221AE" w:rsidP="00E97EF5">
            <w:pPr>
              <w:pStyle w:val="tabelNummers"/>
              <w:rPr>
                <w:rFonts w:eastAsia="Calibri"/>
              </w:rPr>
            </w:pPr>
            <w:r w:rsidRPr="004221AE">
              <w:rPr>
                <w:rFonts w:eastAsia="Calibri"/>
              </w:rPr>
              <w:t>2</w:t>
            </w:r>
            <w:r w:rsidR="00537B5F">
              <w:rPr>
                <w:rFonts w:eastAsia="Calibri"/>
              </w:rPr>
              <w:t>.</w:t>
            </w:r>
            <w:r w:rsidRPr="004221AE">
              <w:rPr>
                <w:rFonts w:eastAsia="Calibri"/>
              </w:rPr>
              <w:t>588</w:t>
            </w:r>
          </w:p>
        </w:tc>
        <w:tc>
          <w:tcPr>
            <w:tcW w:w="1491" w:type="dxa"/>
            <w:tcBorders>
              <w:bottom w:val="nil"/>
            </w:tcBorders>
          </w:tcPr>
          <w:p w14:paraId="3C2E92ED" w14:textId="77777777" w:rsidR="004221AE" w:rsidRPr="004221AE" w:rsidRDefault="004221AE" w:rsidP="00E97EF5">
            <w:pPr>
              <w:pStyle w:val="tabelNummers"/>
              <w:rPr>
                <w:rFonts w:eastAsia="Calibri"/>
              </w:rPr>
            </w:pPr>
            <w:r w:rsidRPr="004221AE">
              <w:rPr>
                <w:rFonts w:eastAsia="Calibri"/>
              </w:rPr>
              <w:t>405</w:t>
            </w:r>
          </w:p>
        </w:tc>
        <w:tc>
          <w:tcPr>
            <w:tcW w:w="885" w:type="dxa"/>
            <w:tcBorders>
              <w:bottom w:val="nil"/>
            </w:tcBorders>
          </w:tcPr>
          <w:p w14:paraId="61C75175" w14:textId="756058AE" w:rsidR="004221AE" w:rsidRPr="004221AE" w:rsidRDefault="004221AE" w:rsidP="00E97EF5">
            <w:pPr>
              <w:pStyle w:val="tabelNummers"/>
              <w:rPr>
                <w:rFonts w:eastAsia="Calibri"/>
              </w:rPr>
            </w:pPr>
            <w:r w:rsidRPr="004221AE">
              <w:rPr>
                <w:rFonts w:eastAsia="Calibri"/>
              </w:rPr>
              <w:t>2</w:t>
            </w:r>
            <w:r w:rsidR="00537B5F">
              <w:rPr>
                <w:rFonts w:eastAsia="Calibri"/>
              </w:rPr>
              <w:t>.</w:t>
            </w:r>
            <w:r w:rsidRPr="004221AE">
              <w:rPr>
                <w:rFonts w:eastAsia="Calibri"/>
              </w:rPr>
              <w:t>993</w:t>
            </w:r>
          </w:p>
        </w:tc>
      </w:tr>
      <w:tr w:rsidR="004221AE" w:rsidRPr="004221AE" w14:paraId="27EEF63E" w14:textId="77777777" w:rsidTr="0062598D">
        <w:tc>
          <w:tcPr>
            <w:tcW w:w="1668" w:type="dxa"/>
            <w:tcBorders>
              <w:top w:val="nil"/>
              <w:bottom w:val="nil"/>
            </w:tcBorders>
          </w:tcPr>
          <w:p w14:paraId="54AD411D"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Eigen vervoer</w:t>
            </w:r>
          </w:p>
        </w:tc>
        <w:tc>
          <w:tcPr>
            <w:tcW w:w="1275" w:type="dxa"/>
            <w:tcBorders>
              <w:top w:val="nil"/>
              <w:bottom w:val="nil"/>
            </w:tcBorders>
          </w:tcPr>
          <w:p w14:paraId="15A7C676" w14:textId="4268A769" w:rsidR="004221AE" w:rsidRPr="004221AE" w:rsidRDefault="004221AE" w:rsidP="00E97EF5">
            <w:pPr>
              <w:pStyle w:val="tabelNummers"/>
              <w:rPr>
                <w:rFonts w:eastAsia="Calibri"/>
              </w:rPr>
            </w:pPr>
            <w:r w:rsidRPr="004221AE">
              <w:rPr>
                <w:rFonts w:eastAsia="Calibri"/>
              </w:rPr>
              <w:t>1</w:t>
            </w:r>
            <w:r w:rsidR="00537B5F">
              <w:rPr>
                <w:rFonts w:eastAsia="Calibri"/>
              </w:rPr>
              <w:t>.</w:t>
            </w:r>
            <w:r w:rsidRPr="004221AE">
              <w:rPr>
                <w:rFonts w:eastAsia="Calibri"/>
              </w:rPr>
              <w:t>960</w:t>
            </w:r>
          </w:p>
        </w:tc>
        <w:tc>
          <w:tcPr>
            <w:tcW w:w="1560" w:type="dxa"/>
            <w:tcBorders>
              <w:top w:val="nil"/>
              <w:bottom w:val="nil"/>
            </w:tcBorders>
          </w:tcPr>
          <w:p w14:paraId="607556EF" w14:textId="11D9FF4A" w:rsidR="004221AE" w:rsidRPr="004221AE" w:rsidRDefault="004221AE" w:rsidP="00E97EF5">
            <w:pPr>
              <w:pStyle w:val="tabelNummers"/>
              <w:rPr>
                <w:rFonts w:eastAsia="Calibri"/>
              </w:rPr>
            </w:pPr>
            <w:r w:rsidRPr="004221AE">
              <w:rPr>
                <w:rFonts w:eastAsia="Calibri"/>
              </w:rPr>
              <w:t>2</w:t>
            </w:r>
            <w:r w:rsidR="00537B5F">
              <w:rPr>
                <w:rFonts w:eastAsia="Calibri"/>
              </w:rPr>
              <w:t>.</w:t>
            </w:r>
            <w:r w:rsidRPr="004221AE">
              <w:rPr>
                <w:rFonts w:eastAsia="Calibri"/>
              </w:rPr>
              <w:t>898</w:t>
            </w:r>
          </w:p>
        </w:tc>
        <w:tc>
          <w:tcPr>
            <w:tcW w:w="1134" w:type="dxa"/>
            <w:tcBorders>
              <w:top w:val="nil"/>
              <w:bottom w:val="nil"/>
            </w:tcBorders>
          </w:tcPr>
          <w:p w14:paraId="10950643" w14:textId="2C793396" w:rsidR="004221AE" w:rsidRPr="004221AE" w:rsidRDefault="004221AE" w:rsidP="00E97EF5">
            <w:pPr>
              <w:pStyle w:val="tabelNummers"/>
              <w:rPr>
                <w:rFonts w:eastAsia="Calibri"/>
              </w:rPr>
            </w:pPr>
            <w:r w:rsidRPr="004221AE">
              <w:rPr>
                <w:rFonts w:eastAsia="Calibri"/>
              </w:rPr>
              <w:t>4</w:t>
            </w:r>
            <w:r w:rsidR="00537B5F">
              <w:rPr>
                <w:rFonts w:eastAsia="Calibri"/>
              </w:rPr>
              <w:t>.</w:t>
            </w:r>
            <w:r w:rsidRPr="004221AE">
              <w:rPr>
                <w:rFonts w:eastAsia="Calibri"/>
              </w:rPr>
              <w:t>858</w:t>
            </w:r>
          </w:p>
        </w:tc>
        <w:tc>
          <w:tcPr>
            <w:tcW w:w="1275" w:type="dxa"/>
            <w:tcBorders>
              <w:top w:val="nil"/>
              <w:bottom w:val="nil"/>
            </w:tcBorders>
          </w:tcPr>
          <w:p w14:paraId="401E0059" w14:textId="77777777" w:rsidR="004221AE" w:rsidRPr="004221AE" w:rsidRDefault="004221AE" w:rsidP="00E97EF5">
            <w:pPr>
              <w:pStyle w:val="tabelNummers"/>
              <w:rPr>
                <w:rFonts w:eastAsia="Calibri"/>
              </w:rPr>
            </w:pPr>
            <w:r w:rsidRPr="004221AE">
              <w:rPr>
                <w:rFonts w:eastAsia="Calibri"/>
              </w:rPr>
              <w:t>136</w:t>
            </w:r>
          </w:p>
        </w:tc>
        <w:tc>
          <w:tcPr>
            <w:tcW w:w="1491" w:type="dxa"/>
            <w:tcBorders>
              <w:top w:val="nil"/>
              <w:bottom w:val="nil"/>
            </w:tcBorders>
          </w:tcPr>
          <w:p w14:paraId="5A001F29" w14:textId="77777777" w:rsidR="004221AE" w:rsidRPr="004221AE" w:rsidRDefault="004221AE" w:rsidP="00E97EF5">
            <w:pPr>
              <w:pStyle w:val="tabelNummers"/>
              <w:rPr>
                <w:rFonts w:eastAsia="Calibri"/>
              </w:rPr>
            </w:pPr>
            <w:r w:rsidRPr="004221AE">
              <w:rPr>
                <w:rFonts w:eastAsia="Calibri"/>
              </w:rPr>
              <w:t>386</w:t>
            </w:r>
          </w:p>
        </w:tc>
        <w:tc>
          <w:tcPr>
            <w:tcW w:w="885" w:type="dxa"/>
            <w:tcBorders>
              <w:top w:val="nil"/>
              <w:bottom w:val="nil"/>
            </w:tcBorders>
          </w:tcPr>
          <w:p w14:paraId="51B85703" w14:textId="77777777" w:rsidR="004221AE" w:rsidRPr="004221AE" w:rsidRDefault="004221AE" w:rsidP="00E97EF5">
            <w:pPr>
              <w:pStyle w:val="tabelNummers"/>
              <w:rPr>
                <w:rFonts w:eastAsia="Calibri"/>
              </w:rPr>
            </w:pPr>
            <w:r w:rsidRPr="004221AE">
              <w:rPr>
                <w:rFonts w:eastAsia="Calibri"/>
              </w:rPr>
              <w:t>522</w:t>
            </w:r>
          </w:p>
        </w:tc>
      </w:tr>
      <w:tr w:rsidR="004221AE" w:rsidRPr="004221AE" w14:paraId="4008E47D" w14:textId="77777777" w:rsidTr="0062598D">
        <w:tc>
          <w:tcPr>
            <w:tcW w:w="1668" w:type="dxa"/>
            <w:tcBorders>
              <w:top w:val="nil"/>
              <w:bottom w:val="nil"/>
            </w:tcBorders>
          </w:tcPr>
          <w:p w14:paraId="15696E6F"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Beurtvaart</w:t>
            </w:r>
          </w:p>
        </w:tc>
        <w:tc>
          <w:tcPr>
            <w:tcW w:w="1275" w:type="dxa"/>
            <w:tcBorders>
              <w:top w:val="nil"/>
              <w:bottom w:val="nil"/>
            </w:tcBorders>
          </w:tcPr>
          <w:p w14:paraId="08BE5DDD" w14:textId="44B206C8" w:rsidR="004221AE" w:rsidRPr="004221AE" w:rsidRDefault="00A91826" w:rsidP="00E97EF5">
            <w:pPr>
              <w:pStyle w:val="tabelNummers"/>
              <w:rPr>
                <w:rFonts w:eastAsia="Calibri"/>
              </w:rPr>
            </w:pPr>
            <w:r>
              <w:rPr>
                <w:rFonts w:eastAsia="Calibri"/>
              </w:rPr>
              <w:t>-</w:t>
            </w:r>
          </w:p>
        </w:tc>
        <w:tc>
          <w:tcPr>
            <w:tcW w:w="1560" w:type="dxa"/>
            <w:tcBorders>
              <w:top w:val="nil"/>
              <w:bottom w:val="nil"/>
            </w:tcBorders>
          </w:tcPr>
          <w:p w14:paraId="0A2389FB" w14:textId="59A656A8" w:rsidR="004221AE" w:rsidRPr="004221AE" w:rsidRDefault="00A91826" w:rsidP="00E97EF5">
            <w:pPr>
              <w:pStyle w:val="tabelNummers"/>
              <w:rPr>
                <w:rFonts w:eastAsia="Calibri"/>
              </w:rPr>
            </w:pPr>
            <w:r>
              <w:rPr>
                <w:rFonts w:eastAsia="Calibri"/>
              </w:rPr>
              <w:t>-</w:t>
            </w:r>
          </w:p>
        </w:tc>
        <w:tc>
          <w:tcPr>
            <w:tcW w:w="1134" w:type="dxa"/>
            <w:tcBorders>
              <w:top w:val="nil"/>
              <w:bottom w:val="nil"/>
            </w:tcBorders>
          </w:tcPr>
          <w:p w14:paraId="1071197C" w14:textId="3C597CF8" w:rsidR="004221AE" w:rsidRPr="004221AE" w:rsidRDefault="004221AE" w:rsidP="00E97EF5">
            <w:pPr>
              <w:pStyle w:val="tabelNummers"/>
              <w:rPr>
                <w:rFonts w:eastAsia="Calibri"/>
              </w:rPr>
            </w:pPr>
            <w:r w:rsidRPr="004221AE">
              <w:rPr>
                <w:rFonts w:eastAsia="Calibri"/>
              </w:rPr>
              <w:t>1</w:t>
            </w:r>
            <w:r w:rsidR="00537B5F">
              <w:rPr>
                <w:rFonts w:eastAsia="Calibri"/>
              </w:rPr>
              <w:t>.</w:t>
            </w:r>
            <w:r w:rsidRPr="004221AE">
              <w:rPr>
                <w:rFonts w:eastAsia="Calibri"/>
              </w:rPr>
              <w:t>938</w:t>
            </w:r>
          </w:p>
        </w:tc>
        <w:tc>
          <w:tcPr>
            <w:tcW w:w="1275" w:type="dxa"/>
            <w:tcBorders>
              <w:top w:val="nil"/>
              <w:bottom w:val="nil"/>
            </w:tcBorders>
          </w:tcPr>
          <w:p w14:paraId="5DEB5F78" w14:textId="5DC48FD8" w:rsidR="004221AE" w:rsidRPr="004221AE" w:rsidRDefault="00A91826" w:rsidP="00E97EF5">
            <w:pPr>
              <w:pStyle w:val="tabelNummers"/>
              <w:rPr>
                <w:rFonts w:eastAsia="Calibri"/>
              </w:rPr>
            </w:pPr>
            <w:r>
              <w:rPr>
                <w:rFonts w:eastAsia="Calibri"/>
              </w:rPr>
              <w:t>-</w:t>
            </w:r>
          </w:p>
        </w:tc>
        <w:tc>
          <w:tcPr>
            <w:tcW w:w="1491" w:type="dxa"/>
            <w:tcBorders>
              <w:top w:val="nil"/>
              <w:bottom w:val="nil"/>
            </w:tcBorders>
          </w:tcPr>
          <w:p w14:paraId="29BA6BFE" w14:textId="6F6A3C7A" w:rsidR="004221AE" w:rsidRPr="004221AE" w:rsidRDefault="00A91826" w:rsidP="00E97EF5">
            <w:pPr>
              <w:pStyle w:val="tabelNummers"/>
              <w:rPr>
                <w:rFonts w:eastAsia="Calibri"/>
              </w:rPr>
            </w:pPr>
            <w:r>
              <w:rPr>
                <w:rFonts w:eastAsia="Calibri"/>
              </w:rPr>
              <w:t>-</w:t>
            </w:r>
          </w:p>
        </w:tc>
        <w:tc>
          <w:tcPr>
            <w:tcW w:w="885" w:type="dxa"/>
            <w:tcBorders>
              <w:top w:val="nil"/>
              <w:bottom w:val="nil"/>
            </w:tcBorders>
          </w:tcPr>
          <w:p w14:paraId="6FCDAA3D" w14:textId="77777777" w:rsidR="004221AE" w:rsidRPr="004221AE" w:rsidRDefault="004221AE" w:rsidP="00E97EF5">
            <w:pPr>
              <w:pStyle w:val="tabelNummers"/>
              <w:rPr>
                <w:rFonts w:eastAsia="Calibri"/>
              </w:rPr>
            </w:pPr>
            <w:r w:rsidRPr="004221AE">
              <w:rPr>
                <w:rFonts w:eastAsia="Calibri"/>
              </w:rPr>
              <w:t>159</w:t>
            </w:r>
          </w:p>
        </w:tc>
      </w:tr>
      <w:tr w:rsidR="004221AE" w:rsidRPr="004221AE" w14:paraId="446405E3" w14:textId="77777777" w:rsidTr="0062598D">
        <w:tc>
          <w:tcPr>
            <w:tcW w:w="1668" w:type="dxa"/>
            <w:tcBorders>
              <w:top w:val="nil"/>
              <w:bottom w:val="nil"/>
            </w:tcBorders>
          </w:tcPr>
          <w:p w14:paraId="303272D7"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Vaste relatie</w:t>
            </w:r>
          </w:p>
        </w:tc>
        <w:tc>
          <w:tcPr>
            <w:tcW w:w="1275" w:type="dxa"/>
            <w:tcBorders>
              <w:top w:val="nil"/>
              <w:bottom w:val="nil"/>
            </w:tcBorders>
          </w:tcPr>
          <w:p w14:paraId="1A6C7D5F" w14:textId="77777777" w:rsidR="004221AE" w:rsidRPr="004221AE" w:rsidRDefault="004221AE" w:rsidP="00E97EF5">
            <w:pPr>
              <w:pStyle w:val="tabelNummers"/>
              <w:rPr>
                <w:rFonts w:eastAsia="Calibri"/>
              </w:rPr>
            </w:pPr>
            <w:r w:rsidRPr="004221AE">
              <w:rPr>
                <w:rFonts w:eastAsia="Calibri"/>
              </w:rPr>
              <w:t>612</w:t>
            </w:r>
          </w:p>
        </w:tc>
        <w:tc>
          <w:tcPr>
            <w:tcW w:w="1560" w:type="dxa"/>
            <w:tcBorders>
              <w:top w:val="nil"/>
              <w:bottom w:val="nil"/>
            </w:tcBorders>
          </w:tcPr>
          <w:p w14:paraId="4F126221" w14:textId="77777777" w:rsidR="004221AE" w:rsidRPr="004221AE" w:rsidRDefault="004221AE" w:rsidP="00E97EF5">
            <w:pPr>
              <w:pStyle w:val="tabelNummers"/>
              <w:rPr>
                <w:rFonts w:eastAsia="Calibri"/>
              </w:rPr>
            </w:pPr>
            <w:r w:rsidRPr="004221AE">
              <w:rPr>
                <w:rFonts w:eastAsia="Calibri"/>
              </w:rPr>
              <w:t>307</w:t>
            </w:r>
          </w:p>
        </w:tc>
        <w:tc>
          <w:tcPr>
            <w:tcW w:w="1134" w:type="dxa"/>
            <w:tcBorders>
              <w:top w:val="nil"/>
              <w:bottom w:val="nil"/>
            </w:tcBorders>
          </w:tcPr>
          <w:p w14:paraId="0F4B63CF" w14:textId="77777777" w:rsidR="004221AE" w:rsidRPr="004221AE" w:rsidRDefault="004221AE" w:rsidP="00E97EF5">
            <w:pPr>
              <w:pStyle w:val="tabelNummers"/>
              <w:rPr>
                <w:rFonts w:eastAsia="Calibri"/>
              </w:rPr>
            </w:pPr>
            <w:r w:rsidRPr="004221AE">
              <w:rPr>
                <w:rFonts w:eastAsia="Calibri"/>
              </w:rPr>
              <w:t>919</w:t>
            </w:r>
          </w:p>
        </w:tc>
        <w:tc>
          <w:tcPr>
            <w:tcW w:w="1275" w:type="dxa"/>
            <w:tcBorders>
              <w:top w:val="nil"/>
              <w:bottom w:val="nil"/>
            </w:tcBorders>
          </w:tcPr>
          <w:p w14:paraId="5A40AB2E" w14:textId="77777777" w:rsidR="004221AE" w:rsidRPr="004221AE" w:rsidRDefault="004221AE" w:rsidP="00E97EF5">
            <w:pPr>
              <w:pStyle w:val="tabelNummers"/>
              <w:rPr>
                <w:rFonts w:eastAsia="Calibri"/>
              </w:rPr>
            </w:pPr>
            <w:r w:rsidRPr="004221AE">
              <w:rPr>
                <w:rFonts w:eastAsia="Calibri"/>
              </w:rPr>
              <w:t>66</w:t>
            </w:r>
          </w:p>
        </w:tc>
        <w:tc>
          <w:tcPr>
            <w:tcW w:w="1491" w:type="dxa"/>
            <w:tcBorders>
              <w:top w:val="nil"/>
              <w:bottom w:val="nil"/>
            </w:tcBorders>
          </w:tcPr>
          <w:p w14:paraId="7DF3D947" w14:textId="77777777" w:rsidR="004221AE" w:rsidRPr="004221AE" w:rsidRDefault="004221AE" w:rsidP="00E97EF5">
            <w:pPr>
              <w:pStyle w:val="tabelNummers"/>
              <w:rPr>
                <w:rFonts w:eastAsia="Calibri"/>
              </w:rPr>
            </w:pPr>
            <w:r w:rsidRPr="004221AE">
              <w:rPr>
                <w:rFonts w:eastAsia="Calibri"/>
              </w:rPr>
              <w:t>63</w:t>
            </w:r>
          </w:p>
        </w:tc>
        <w:tc>
          <w:tcPr>
            <w:tcW w:w="885" w:type="dxa"/>
            <w:tcBorders>
              <w:top w:val="nil"/>
              <w:bottom w:val="nil"/>
            </w:tcBorders>
          </w:tcPr>
          <w:p w14:paraId="0EE36345" w14:textId="77777777" w:rsidR="004221AE" w:rsidRPr="004221AE" w:rsidRDefault="004221AE" w:rsidP="00E97EF5">
            <w:pPr>
              <w:pStyle w:val="tabelNummers"/>
              <w:rPr>
                <w:rFonts w:eastAsia="Calibri"/>
              </w:rPr>
            </w:pPr>
            <w:r w:rsidRPr="004221AE">
              <w:rPr>
                <w:rFonts w:eastAsia="Calibri"/>
              </w:rPr>
              <w:t>130</w:t>
            </w:r>
          </w:p>
        </w:tc>
      </w:tr>
      <w:tr w:rsidR="004221AE" w:rsidRPr="004221AE" w14:paraId="359C151E" w14:textId="77777777" w:rsidTr="0062598D">
        <w:tc>
          <w:tcPr>
            <w:tcW w:w="1668" w:type="dxa"/>
            <w:tcBorders>
              <w:top w:val="nil"/>
              <w:bottom w:val="single" w:sz="4" w:space="0" w:color="auto"/>
            </w:tcBorders>
          </w:tcPr>
          <w:p w14:paraId="4C42BBAB"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Combinaties</w:t>
            </w:r>
          </w:p>
        </w:tc>
        <w:tc>
          <w:tcPr>
            <w:tcW w:w="1275" w:type="dxa"/>
            <w:tcBorders>
              <w:top w:val="nil"/>
              <w:bottom w:val="single" w:sz="4" w:space="0" w:color="auto"/>
            </w:tcBorders>
          </w:tcPr>
          <w:p w14:paraId="37265FAB" w14:textId="5736A52B" w:rsidR="004221AE" w:rsidRPr="004221AE" w:rsidRDefault="00A91826" w:rsidP="00E97EF5">
            <w:pPr>
              <w:pStyle w:val="tabelNummers"/>
              <w:rPr>
                <w:rFonts w:eastAsia="Calibri"/>
              </w:rPr>
            </w:pPr>
            <w:r>
              <w:rPr>
                <w:rFonts w:eastAsia="Calibri"/>
              </w:rPr>
              <w:t>-</w:t>
            </w:r>
          </w:p>
        </w:tc>
        <w:tc>
          <w:tcPr>
            <w:tcW w:w="1560" w:type="dxa"/>
            <w:tcBorders>
              <w:top w:val="nil"/>
              <w:bottom w:val="single" w:sz="4" w:space="0" w:color="auto"/>
            </w:tcBorders>
          </w:tcPr>
          <w:p w14:paraId="56310713" w14:textId="653934D6" w:rsidR="004221AE" w:rsidRPr="004221AE" w:rsidRDefault="00A91826" w:rsidP="00E97EF5">
            <w:pPr>
              <w:pStyle w:val="tabelNummers"/>
              <w:rPr>
                <w:rFonts w:eastAsia="Calibri"/>
              </w:rPr>
            </w:pPr>
            <w:r>
              <w:rPr>
                <w:rFonts w:eastAsia="Calibri"/>
              </w:rPr>
              <w:t>-</w:t>
            </w:r>
          </w:p>
        </w:tc>
        <w:tc>
          <w:tcPr>
            <w:tcW w:w="1134" w:type="dxa"/>
            <w:tcBorders>
              <w:top w:val="nil"/>
              <w:bottom w:val="single" w:sz="4" w:space="0" w:color="auto"/>
            </w:tcBorders>
          </w:tcPr>
          <w:p w14:paraId="31E94995" w14:textId="77777777" w:rsidR="004221AE" w:rsidRPr="004221AE" w:rsidRDefault="004221AE" w:rsidP="00E97EF5">
            <w:pPr>
              <w:pStyle w:val="tabelNummers"/>
              <w:rPr>
                <w:rFonts w:eastAsia="Calibri"/>
              </w:rPr>
            </w:pPr>
            <w:r w:rsidRPr="004221AE">
              <w:rPr>
                <w:rFonts w:eastAsia="Calibri"/>
              </w:rPr>
              <w:t>417</w:t>
            </w:r>
          </w:p>
        </w:tc>
        <w:tc>
          <w:tcPr>
            <w:tcW w:w="1275" w:type="dxa"/>
            <w:tcBorders>
              <w:top w:val="nil"/>
              <w:bottom w:val="single" w:sz="4" w:space="0" w:color="auto"/>
            </w:tcBorders>
          </w:tcPr>
          <w:p w14:paraId="5DB89F43" w14:textId="091F3260" w:rsidR="004221AE" w:rsidRPr="004221AE" w:rsidRDefault="00A91826" w:rsidP="00E97EF5">
            <w:pPr>
              <w:pStyle w:val="tabelNummers"/>
              <w:rPr>
                <w:rFonts w:eastAsia="Calibri"/>
              </w:rPr>
            </w:pPr>
            <w:r>
              <w:rPr>
                <w:rFonts w:eastAsia="Calibri"/>
              </w:rPr>
              <w:t>-</w:t>
            </w:r>
          </w:p>
        </w:tc>
        <w:tc>
          <w:tcPr>
            <w:tcW w:w="1491" w:type="dxa"/>
            <w:tcBorders>
              <w:top w:val="nil"/>
              <w:bottom w:val="single" w:sz="4" w:space="0" w:color="auto"/>
            </w:tcBorders>
          </w:tcPr>
          <w:p w14:paraId="0EC2A7C8" w14:textId="7A6222DC" w:rsidR="004221AE" w:rsidRPr="004221AE" w:rsidRDefault="00A91826" w:rsidP="00E97EF5">
            <w:pPr>
              <w:pStyle w:val="tabelNummers"/>
              <w:rPr>
                <w:rFonts w:eastAsia="Calibri"/>
              </w:rPr>
            </w:pPr>
            <w:r>
              <w:rPr>
                <w:rFonts w:eastAsia="Calibri"/>
              </w:rPr>
              <w:t>-</w:t>
            </w:r>
          </w:p>
        </w:tc>
        <w:tc>
          <w:tcPr>
            <w:tcW w:w="885" w:type="dxa"/>
            <w:tcBorders>
              <w:top w:val="nil"/>
              <w:bottom w:val="single" w:sz="4" w:space="0" w:color="auto"/>
            </w:tcBorders>
          </w:tcPr>
          <w:p w14:paraId="5CAB6059" w14:textId="77777777" w:rsidR="004221AE" w:rsidRPr="004221AE" w:rsidRDefault="004221AE" w:rsidP="00E97EF5">
            <w:pPr>
              <w:pStyle w:val="tabelNummers"/>
              <w:rPr>
                <w:rFonts w:eastAsia="Calibri"/>
              </w:rPr>
            </w:pPr>
            <w:r w:rsidRPr="004221AE">
              <w:rPr>
                <w:rFonts w:eastAsia="Calibri"/>
              </w:rPr>
              <w:t>43</w:t>
            </w:r>
          </w:p>
        </w:tc>
      </w:tr>
      <w:tr w:rsidR="004221AE" w:rsidRPr="004221AE" w14:paraId="44B228D5" w14:textId="77777777" w:rsidTr="0062598D">
        <w:tc>
          <w:tcPr>
            <w:tcW w:w="1668" w:type="dxa"/>
            <w:tcBorders>
              <w:top w:val="single" w:sz="4" w:space="0" w:color="auto"/>
            </w:tcBorders>
          </w:tcPr>
          <w:p w14:paraId="3FE2F11F"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Totaal</w:t>
            </w:r>
          </w:p>
        </w:tc>
        <w:tc>
          <w:tcPr>
            <w:tcW w:w="1275" w:type="dxa"/>
            <w:tcBorders>
              <w:top w:val="single" w:sz="4" w:space="0" w:color="auto"/>
            </w:tcBorders>
          </w:tcPr>
          <w:p w14:paraId="00490835" w14:textId="600EDF52" w:rsidR="004221AE" w:rsidRPr="004221AE" w:rsidRDefault="00A91826" w:rsidP="00E97EF5">
            <w:pPr>
              <w:pStyle w:val="tabelNummers"/>
              <w:rPr>
                <w:rFonts w:eastAsia="Calibri"/>
              </w:rPr>
            </w:pPr>
            <w:r>
              <w:rPr>
                <w:rFonts w:eastAsia="Calibri"/>
              </w:rPr>
              <w:t>-</w:t>
            </w:r>
          </w:p>
        </w:tc>
        <w:tc>
          <w:tcPr>
            <w:tcW w:w="1560" w:type="dxa"/>
            <w:tcBorders>
              <w:top w:val="single" w:sz="4" w:space="0" w:color="auto"/>
            </w:tcBorders>
          </w:tcPr>
          <w:p w14:paraId="0CCC99D8" w14:textId="32A054D9" w:rsidR="004221AE" w:rsidRPr="004221AE" w:rsidRDefault="00A91826" w:rsidP="00E97EF5">
            <w:pPr>
              <w:pStyle w:val="tabelNummers"/>
              <w:rPr>
                <w:rFonts w:eastAsia="Calibri"/>
              </w:rPr>
            </w:pPr>
            <w:r>
              <w:rPr>
                <w:rFonts w:eastAsia="Calibri"/>
              </w:rPr>
              <w:t>-</w:t>
            </w:r>
          </w:p>
        </w:tc>
        <w:tc>
          <w:tcPr>
            <w:tcW w:w="1134" w:type="dxa"/>
            <w:tcBorders>
              <w:top w:val="single" w:sz="4" w:space="0" w:color="auto"/>
            </w:tcBorders>
          </w:tcPr>
          <w:p w14:paraId="2036BCFA" w14:textId="4DDFF3AF" w:rsidR="004221AE" w:rsidRPr="004221AE" w:rsidRDefault="004221AE" w:rsidP="00E97EF5">
            <w:pPr>
              <w:pStyle w:val="tabelNummers"/>
              <w:rPr>
                <w:rFonts w:eastAsia="Calibri"/>
              </w:rPr>
            </w:pPr>
            <w:r w:rsidRPr="004221AE">
              <w:rPr>
                <w:rFonts w:eastAsia="Calibri"/>
              </w:rPr>
              <w:t>19</w:t>
            </w:r>
            <w:r w:rsidR="00537B5F">
              <w:rPr>
                <w:rFonts w:eastAsia="Calibri"/>
              </w:rPr>
              <w:t>.</w:t>
            </w:r>
            <w:r w:rsidRPr="004221AE">
              <w:rPr>
                <w:rFonts w:eastAsia="Calibri"/>
              </w:rPr>
              <w:t>280</w:t>
            </w:r>
          </w:p>
        </w:tc>
        <w:tc>
          <w:tcPr>
            <w:tcW w:w="1275" w:type="dxa"/>
            <w:tcBorders>
              <w:top w:val="single" w:sz="4" w:space="0" w:color="auto"/>
            </w:tcBorders>
          </w:tcPr>
          <w:p w14:paraId="6EFC8BF0" w14:textId="0FEB139C" w:rsidR="004221AE" w:rsidRPr="004221AE" w:rsidRDefault="00A91826" w:rsidP="00E97EF5">
            <w:pPr>
              <w:pStyle w:val="tabelNummers"/>
              <w:rPr>
                <w:rFonts w:eastAsia="Calibri"/>
              </w:rPr>
            </w:pPr>
            <w:r>
              <w:rPr>
                <w:rFonts w:eastAsia="Calibri"/>
              </w:rPr>
              <w:t>-</w:t>
            </w:r>
          </w:p>
        </w:tc>
        <w:tc>
          <w:tcPr>
            <w:tcW w:w="1491" w:type="dxa"/>
            <w:tcBorders>
              <w:top w:val="single" w:sz="4" w:space="0" w:color="auto"/>
            </w:tcBorders>
          </w:tcPr>
          <w:p w14:paraId="699171EE" w14:textId="019A789E" w:rsidR="004221AE" w:rsidRPr="004221AE" w:rsidRDefault="00A91826" w:rsidP="00E97EF5">
            <w:pPr>
              <w:pStyle w:val="tabelNummers"/>
              <w:rPr>
                <w:rFonts w:eastAsia="Calibri"/>
              </w:rPr>
            </w:pPr>
            <w:r>
              <w:rPr>
                <w:rFonts w:eastAsia="Calibri"/>
              </w:rPr>
              <w:t>-</w:t>
            </w:r>
          </w:p>
        </w:tc>
        <w:tc>
          <w:tcPr>
            <w:tcW w:w="885" w:type="dxa"/>
            <w:tcBorders>
              <w:top w:val="single" w:sz="4" w:space="0" w:color="auto"/>
            </w:tcBorders>
          </w:tcPr>
          <w:p w14:paraId="0BCCA3BC" w14:textId="167FF2D8" w:rsidR="004221AE" w:rsidRPr="004221AE" w:rsidRDefault="004221AE" w:rsidP="00E97EF5">
            <w:pPr>
              <w:pStyle w:val="tabelNummers"/>
              <w:rPr>
                <w:rFonts w:eastAsia="Calibri"/>
              </w:rPr>
            </w:pPr>
            <w:r w:rsidRPr="004221AE">
              <w:rPr>
                <w:rFonts w:eastAsia="Calibri"/>
              </w:rPr>
              <w:t>3</w:t>
            </w:r>
            <w:r w:rsidR="00537B5F">
              <w:rPr>
                <w:rFonts w:eastAsia="Calibri"/>
              </w:rPr>
              <w:t>.</w:t>
            </w:r>
            <w:r w:rsidRPr="004221AE">
              <w:rPr>
                <w:rFonts w:eastAsia="Calibri"/>
              </w:rPr>
              <w:t>847</w:t>
            </w:r>
          </w:p>
        </w:tc>
      </w:tr>
    </w:tbl>
    <w:p w14:paraId="01D53C70" w14:textId="2B89A5B7" w:rsidR="004221AE" w:rsidRDefault="004221AE" w:rsidP="00DE08B1">
      <w:pPr>
        <w:jc w:val="left"/>
        <w:rPr>
          <w:rFonts w:eastAsia="Calibri" w:cs="Times New Roman"/>
          <w:color w:val="auto"/>
          <w:szCs w:val="24"/>
        </w:rPr>
      </w:pPr>
    </w:p>
    <w:p w14:paraId="56AD61F5" w14:textId="395276AD" w:rsidR="00845FB6" w:rsidRPr="00234234" w:rsidRDefault="00850CCF" w:rsidP="00845FB6">
      <w:pPr>
        <w:jc w:val="left"/>
        <w:rPr>
          <w:rFonts w:eastAsia="Calibri" w:cs="Times New Roman"/>
          <w:color w:val="auto"/>
          <w:sz w:val="20"/>
          <w:szCs w:val="20"/>
        </w:rPr>
      </w:pPr>
      <w:r>
        <w:rPr>
          <w:rFonts w:eastAsia="Calibri" w:cs="Times New Roman"/>
          <w:i/>
          <w:iCs/>
          <w:color w:val="auto"/>
          <w:szCs w:val="24"/>
        </w:rPr>
        <w:t>Tabel 1</w:t>
      </w:r>
      <w:r w:rsidR="00F729EC">
        <w:rPr>
          <w:rFonts w:eastAsia="Calibri" w:cs="Times New Roman"/>
          <w:i/>
          <w:iCs/>
          <w:color w:val="auto"/>
          <w:szCs w:val="24"/>
        </w:rPr>
        <w:t>5</w:t>
      </w:r>
      <w:r w:rsidR="0039467C">
        <w:rPr>
          <w:rFonts w:eastAsia="Calibri" w:cs="Times New Roman"/>
          <w:color w:val="auto"/>
          <w:szCs w:val="24"/>
        </w:rPr>
        <w:t>:</w:t>
      </w:r>
      <w:r w:rsidRPr="004221AE">
        <w:rPr>
          <w:rFonts w:eastAsia="Calibri" w:cs="Times New Roman"/>
          <w:color w:val="auto"/>
          <w:szCs w:val="24"/>
        </w:rPr>
        <w:t xml:space="preserve"> </w:t>
      </w:r>
      <w:r w:rsidRPr="004221AE">
        <w:rPr>
          <w:rFonts w:eastAsia="Calibri" w:cs="Times New Roman"/>
          <w:i/>
          <w:color w:val="auto"/>
          <w:szCs w:val="24"/>
        </w:rPr>
        <w:t>Binnenlands vervoer. Eigendom van de vaartuigen (1939)</w:t>
      </w:r>
      <w:r w:rsidR="0039467C">
        <w:rPr>
          <w:rFonts w:eastAsia="Calibri" w:cs="Times New Roman"/>
          <w:i/>
          <w:color w:val="auto"/>
          <w:szCs w:val="24"/>
        </w:rPr>
        <w:t>.</w:t>
      </w:r>
      <w:r w:rsidRPr="004221AE">
        <w:rPr>
          <w:rFonts w:eastAsia="Calibri" w:cs="Times New Roman"/>
          <w:color w:val="auto"/>
          <w:szCs w:val="24"/>
          <w:vertAlign w:val="superscript"/>
        </w:rPr>
        <w:endnoteReference w:id="67"/>
      </w:r>
      <w:r w:rsidR="0039467C">
        <w:rPr>
          <w:rFonts w:eastAsia="Calibri" w:cs="Times New Roman"/>
          <w:color w:val="auto"/>
          <w:szCs w:val="24"/>
        </w:rPr>
        <w:t xml:space="preserve"> </w:t>
      </w:r>
      <w:r w:rsidR="002234ED">
        <w:rPr>
          <w:rFonts w:eastAsia="Calibri" w:cs="Times New Roman"/>
          <w:color w:val="auto"/>
          <w:sz w:val="20"/>
          <w:szCs w:val="20"/>
        </w:rPr>
        <w:br/>
      </w:r>
      <w:r w:rsidR="00845FB6" w:rsidRPr="00234234">
        <w:rPr>
          <w:rFonts w:eastAsia="Calibri" w:cs="Times New Roman"/>
          <w:color w:val="auto"/>
          <w:sz w:val="20"/>
          <w:szCs w:val="20"/>
        </w:rPr>
        <w:t>* Inclusief campagnevaart en tankschepen.</w:t>
      </w:r>
    </w:p>
    <w:p w14:paraId="777BDE55" w14:textId="2338A630" w:rsidR="004221AE" w:rsidRPr="004221AE" w:rsidRDefault="00F17505" w:rsidP="00F17505">
      <w:pPr>
        <w:jc w:val="left"/>
        <w:rPr>
          <w:rFonts w:eastAsia="Calibri" w:cs="Times New Roman"/>
          <w:color w:val="auto"/>
          <w:szCs w:val="24"/>
        </w:rPr>
      </w:pPr>
      <w:r>
        <w:rPr>
          <w:rFonts w:eastAsia="Calibri" w:cs="Times New Roman"/>
          <w:color w:val="auto"/>
          <w:szCs w:val="24"/>
        </w:rPr>
        <w:br/>
      </w:r>
    </w:p>
    <w:p w14:paraId="660D6746" w14:textId="0F8B18CF" w:rsidR="004221AE" w:rsidRPr="00F17505" w:rsidRDefault="004221AE" w:rsidP="00F17505">
      <w:pPr>
        <w:pStyle w:val="Heading2"/>
        <w:jc w:val="left"/>
        <w:rPr>
          <w:rStyle w:val="Heading2Char"/>
        </w:rPr>
      </w:pPr>
      <w:r w:rsidRPr="004221AE">
        <w:lastRenderedPageBreak/>
        <w:t>D</w:t>
      </w:r>
      <w:r w:rsidRPr="00F17505">
        <w:rPr>
          <w:rStyle w:val="Heading2Char"/>
        </w:rPr>
        <w:t>e Rijnvaartvloot</w:t>
      </w:r>
      <w:r w:rsidR="00FB6EEA" w:rsidRPr="00F17505">
        <w:rPr>
          <w:rStyle w:val="Heading2Char"/>
        </w:rPr>
        <w:t xml:space="preserve"> (1935-1937)</w:t>
      </w:r>
      <w:r w:rsidR="00F17505">
        <w:rPr>
          <w:rStyle w:val="Heading2Char"/>
        </w:rPr>
        <w:br/>
      </w:r>
    </w:p>
    <w:p w14:paraId="2B3FE723" w14:textId="72B0CECE" w:rsidR="004221AE" w:rsidRDefault="004221AE" w:rsidP="00F17505">
      <w:pPr>
        <w:jc w:val="left"/>
      </w:pPr>
      <w:r w:rsidRPr="004221AE">
        <w:t xml:space="preserve">In 1935 was bijna de helft van het laadvermogen </w:t>
      </w:r>
      <w:r w:rsidR="003366A0">
        <w:t xml:space="preserve">van de Rijnvaart </w:t>
      </w:r>
      <w:r w:rsidRPr="004221AE">
        <w:t>in Nederlandse handen. Het grootste deel van de Nederlandse vloot was eigendom van particuliere schippers. Wél voeren deze schippers vaak voor een rederij, waarvan ze afhankelijk waren. Bijna al het vervoer vond plaats met sleepschepen.</w:t>
      </w:r>
    </w:p>
    <w:p w14:paraId="217B425D" w14:textId="77777777" w:rsidR="008A4177" w:rsidRPr="004221AE" w:rsidRDefault="008A4177" w:rsidP="00F17505">
      <w:pPr>
        <w:jc w:val="left"/>
      </w:pPr>
    </w:p>
    <w:p w14:paraId="2FBB12B6" w14:textId="77777777" w:rsidR="004221AE" w:rsidRPr="004221AE" w:rsidRDefault="004221AE" w:rsidP="00DE08B1">
      <w:pPr>
        <w:jc w:val="left"/>
        <w:rPr>
          <w:rFonts w:eastAsia="Calibri" w:cs="Times New Roman"/>
          <w:color w:val="auto"/>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68"/>
        <w:gridCol w:w="1060"/>
        <w:gridCol w:w="1005"/>
        <w:gridCol w:w="747"/>
        <w:gridCol w:w="984"/>
        <w:gridCol w:w="1060"/>
        <w:gridCol w:w="1005"/>
        <w:gridCol w:w="747"/>
        <w:gridCol w:w="984"/>
      </w:tblGrid>
      <w:tr w:rsidR="004221AE" w:rsidRPr="004221AE" w14:paraId="04BEBE50" w14:textId="77777777" w:rsidTr="00A51485">
        <w:trPr>
          <w:trHeight w:val="519"/>
        </w:trPr>
        <w:tc>
          <w:tcPr>
            <w:tcW w:w="1768" w:type="dxa"/>
            <w:vMerge w:val="restart"/>
          </w:tcPr>
          <w:p w14:paraId="36C99594" w14:textId="77777777" w:rsidR="004221AE" w:rsidRPr="00711B87" w:rsidRDefault="004221AE" w:rsidP="00DE08B1">
            <w:pPr>
              <w:jc w:val="left"/>
              <w:rPr>
                <w:rFonts w:eastAsia="Calibri" w:cs="Times New Roman"/>
                <w:b/>
                <w:color w:val="auto"/>
                <w:sz w:val="20"/>
                <w:szCs w:val="20"/>
              </w:rPr>
            </w:pPr>
            <w:r w:rsidRPr="00711B87">
              <w:rPr>
                <w:rFonts w:eastAsia="Calibri" w:cs="Times New Roman"/>
                <w:b/>
                <w:color w:val="auto"/>
                <w:sz w:val="20"/>
                <w:szCs w:val="20"/>
              </w:rPr>
              <w:t>Voortbeweging</w:t>
            </w:r>
          </w:p>
        </w:tc>
        <w:tc>
          <w:tcPr>
            <w:tcW w:w="3796" w:type="dxa"/>
            <w:gridSpan w:val="4"/>
          </w:tcPr>
          <w:p w14:paraId="6E7C10DA" w14:textId="77777777" w:rsidR="004221AE" w:rsidRPr="00711B87" w:rsidRDefault="004221AE" w:rsidP="00563392">
            <w:pPr>
              <w:pStyle w:val="tabelKop"/>
            </w:pPr>
            <w:r w:rsidRPr="00711B87">
              <w:t>Aantal vaartuigen</w:t>
            </w:r>
          </w:p>
        </w:tc>
        <w:tc>
          <w:tcPr>
            <w:tcW w:w="3796" w:type="dxa"/>
            <w:gridSpan w:val="4"/>
          </w:tcPr>
          <w:p w14:paraId="289F5CFA" w14:textId="3D82B69A" w:rsidR="004221AE" w:rsidRPr="00711B87" w:rsidRDefault="004221AE" w:rsidP="00563392">
            <w:pPr>
              <w:pStyle w:val="tabelKop"/>
            </w:pPr>
            <w:r w:rsidRPr="00711B87">
              <w:t>Gezamenlijk laadvermogen                           (x 1</w:t>
            </w:r>
            <w:r w:rsidR="00D63000">
              <w:t>.</w:t>
            </w:r>
            <w:r w:rsidRPr="00711B87">
              <w:t>000 ton)</w:t>
            </w:r>
          </w:p>
        </w:tc>
      </w:tr>
      <w:tr w:rsidR="004221AE" w:rsidRPr="004221AE" w14:paraId="0DB79D3D" w14:textId="77777777" w:rsidTr="00660DC6">
        <w:trPr>
          <w:trHeight w:val="743"/>
        </w:trPr>
        <w:tc>
          <w:tcPr>
            <w:tcW w:w="1768" w:type="dxa"/>
            <w:vMerge/>
            <w:tcBorders>
              <w:bottom w:val="single" w:sz="4" w:space="0" w:color="000000"/>
            </w:tcBorders>
          </w:tcPr>
          <w:p w14:paraId="2497AE39" w14:textId="77777777" w:rsidR="004221AE" w:rsidRPr="004221AE" w:rsidRDefault="004221AE" w:rsidP="00DE08B1">
            <w:pPr>
              <w:jc w:val="left"/>
              <w:rPr>
                <w:rFonts w:eastAsia="Calibri" w:cs="Times New Roman"/>
                <w:color w:val="auto"/>
                <w:sz w:val="20"/>
                <w:szCs w:val="20"/>
              </w:rPr>
            </w:pPr>
          </w:p>
        </w:tc>
        <w:tc>
          <w:tcPr>
            <w:tcW w:w="1060" w:type="dxa"/>
            <w:tcBorders>
              <w:bottom w:val="single" w:sz="4" w:space="0" w:color="000000"/>
            </w:tcBorders>
          </w:tcPr>
          <w:p w14:paraId="6A038C28"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Nederland</w:t>
            </w:r>
          </w:p>
        </w:tc>
        <w:tc>
          <w:tcPr>
            <w:tcW w:w="1005" w:type="dxa"/>
            <w:tcBorders>
              <w:bottom w:val="single" w:sz="4" w:space="0" w:color="000000"/>
            </w:tcBorders>
          </w:tcPr>
          <w:p w14:paraId="2524D75D"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Duitsland</w:t>
            </w:r>
          </w:p>
        </w:tc>
        <w:tc>
          <w:tcPr>
            <w:tcW w:w="747" w:type="dxa"/>
            <w:tcBorders>
              <w:bottom w:val="single" w:sz="4" w:space="0" w:color="000000"/>
            </w:tcBorders>
          </w:tcPr>
          <w:p w14:paraId="1166D5CB"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België</w:t>
            </w:r>
          </w:p>
        </w:tc>
        <w:tc>
          <w:tcPr>
            <w:tcW w:w="984" w:type="dxa"/>
            <w:tcBorders>
              <w:bottom w:val="single" w:sz="4" w:space="0" w:color="000000"/>
            </w:tcBorders>
          </w:tcPr>
          <w:p w14:paraId="31247968"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Totale Rijnvloot</w:t>
            </w:r>
          </w:p>
        </w:tc>
        <w:tc>
          <w:tcPr>
            <w:tcW w:w="1060" w:type="dxa"/>
            <w:tcBorders>
              <w:bottom w:val="single" w:sz="4" w:space="0" w:color="000000"/>
            </w:tcBorders>
          </w:tcPr>
          <w:p w14:paraId="5F524825"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Nederland</w:t>
            </w:r>
          </w:p>
        </w:tc>
        <w:tc>
          <w:tcPr>
            <w:tcW w:w="1005" w:type="dxa"/>
            <w:tcBorders>
              <w:bottom w:val="single" w:sz="4" w:space="0" w:color="000000"/>
            </w:tcBorders>
          </w:tcPr>
          <w:p w14:paraId="72A6AA93"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Duitsland</w:t>
            </w:r>
          </w:p>
        </w:tc>
        <w:tc>
          <w:tcPr>
            <w:tcW w:w="747" w:type="dxa"/>
            <w:tcBorders>
              <w:bottom w:val="single" w:sz="4" w:space="0" w:color="000000"/>
            </w:tcBorders>
          </w:tcPr>
          <w:p w14:paraId="7EEAC242"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België</w:t>
            </w:r>
          </w:p>
        </w:tc>
        <w:tc>
          <w:tcPr>
            <w:tcW w:w="984" w:type="dxa"/>
            <w:tcBorders>
              <w:bottom w:val="single" w:sz="4" w:space="0" w:color="000000"/>
            </w:tcBorders>
          </w:tcPr>
          <w:p w14:paraId="0F2B5DBC"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Totale Rijnvloot</w:t>
            </w:r>
          </w:p>
        </w:tc>
      </w:tr>
      <w:tr w:rsidR="004221AE" w:rsidRPr="004221AE" w14:paraId="453E2E02" w14:textId="77777777" w:rsidTr="00660DC6">
        <w:trPr>
          <w:trHeight w:val="232"/>
        </w:trPr>
        <w:tc>
          <w:tcPr>
            <w:tcW w:w="1768" w:type="dxa"/>
            <w:tcBorders>
              <w:bottom w:val="nil"/>
            </w:tcBorders>
          </w:tcPr>
          <w:p w14:paraId="5817D984"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Sleepschepen</w:t>
            </w:r>
          </w:p>
        </w:tc>
        <w:tc>
          <w:tcPr>
            <w:tcW w:w="1060" w:type="dxa"/>
            <w:tcBorders>
              <w:bottom w:val="nil"/>
            </w:tcBorders>
          </w:tcPr>
          <w:p w14:paraId="26008B2D" w14:textId="5A526330" w:rsidR="004221AE" w:rsidRPr="004221AE" w:rsidRDefault="004221AE" w:rsidP="00563392">
            <w:pPr>
              <w:pStyle w:val="tabelNummers"/>
              <w:rPr>
                <w:rFonts w:eastAsia="Calibri"/>
              </w:rPr>
            </w:pPr>
            <w:r w:rsidRPr="004221AE">
              <w:rPr>
                <w:rFonts w:eastAsia="Calibri"/>
              </w:rPr>
              <w:t>6</w:t>
            </w:r>
            <w:r w:rsidR="00F84A87">
              <w:rPr>
                <w:rFonts w:eastAsia="Calibri"/>
              </w:rPr>
              <w:t>.</w:t>
            </w:r>
            <w:r w:rsidRPr="004221AE">
              <w:rPr>
                <w:rFonts w:eastAsia="Calibri"/>
              </w:rPr>
              <w:t>070</w:t>
            </w:r>
          </w:p>
        </w:tc>
        <w:tc>
          <w:tcPr>
            <w:tcW w:w="1005" w:type="dxa"/>
            <w:tcBorders>
              <w:bottom w:val="nil"/>
            </w:tcBorders>
          </w:tcPr>
          <w:p w14:paraId="7DE7F83D" w14:textId="1ECC4D13" w:rsidR="004221AE" w:rsidRPr="004221AE" w:rsidRDefault="004221AE" w:rsidP="00563392">
            <w:pPr>
              <w:pStyle w:val="tabelNummers"/>
              <w:rPr>
                <w:rFonts w:eastAsia="Calibri"/>
              </w:rPr>
            </w:pPr>
            <w:r w:rsidRPr="004221AE">
              <w:rPr>
                <w:rFonts w:eastAsia="Calibri"/>
              </w:rPr>
              <w:t>3</w:t>
            </w:r>
            <w:r w:rsidR="00F84A87">
              <w:rPr>
                <w:rFonts w:eastAsia="Calibri"/>
              </w:rPr>
              <w:t>.</w:t>
            </w:r>
            <w:r w:rsidRPr="004221AE">
              <w:rPr>
                <w:rFonts w:eastAsia="Calibri"/>
              </w:rPr>
              <w:t>287</w:t>
            </w:r>
          </w:p>
        </w:tc>
        <w:tc>
          <w:tcPr>
            <w:tcW w:w="747" w:type="dxa"/>
            <w:tcBorders>
              <w:bottom w:val="nil"/>
            </w:tcBorders>
          </w:tcPr>
          <w:p w14:paraId="472B3385" w14:textId="5F64A42A" w:rsidR="004221AE" w:rsidRPr="004221AE" w:rsidRDefault="004221AE" w:rsidP="00563392">
            <w:pPr>
              <w:pStyle w:val="tabelNummers"/>
              <w:rPr>
                <w:rFonts w:eastAsia="Calibri"/>
              </w:rPr>
            </w:pPr>
            <w:r w:rsidRPr="004221AE">
              <w:rPr>
                <w:rFonts w:eastAsia="Calibri"/>
              </w:rPr>
              <w:t>2</w:t>
            </w:r>
            <w:r w:rsidR="00F84A87">
              <w:rPr>
                <w:rFonts w:eastAsia="Calibri"/>
              </w:rPr>
              <w:t>.</w:t>
            </w:r>
            <w:r w:rsidRPr="004221AE">
              <w:rPr>
                <w:rFonts w:eastAsia="Calibri"/>
              </w:rPr>
              <w:t>613</w:t>
            </w:r>
          </w:p>
        </w:tc>
        <w:tc>
          <w:tcPr>
            <w:tcW w:w="984" w:type="dxa"/>
            <w:tcBorders>
              <w:bottom w:val="nil"/>
            </w:tcBorders>
          </w:tcPr>
          <w:p w14:paraId="5F645CCA" w14:textId="3B031ED5" w:rsidR="004221AE" w:rsidRPr="004221AE" w:rsidRDefault="004221AE" w:rsidP="00563392">
            <w:pPr>
              <w:pStyle w:val="tabelNummers"/>
              <w:rPr>
                <w:rFonts w:eastAsia="Calibri"/>
              </w:rPr>
            </w:pPr>
            <w:r w:rsidRPr="004221AE">
              <w:rPr>
                <w:rFonts w:eastAsia="Calibri"/>
              </w:rPr>
              <w:t>12</w:t>
            </w:r>
            <w:r w:rsidR="00F84A87">
              <w:rPr>
                <w:rFonts w:eastAsia="Calibri"/>
              </w:rPr>
              <w:t>.</w:t>
            </w:r>
            <w:r w:rsidRPr="004221AE">
              <w:rPr>
                <w:rFonts w:eastAsia="Calibri"/>
              </w:rPr>
              <w:t>459</w:t>
            </w:r>
          </w:p>
        </w:tc>
        <w:tc>
          <w:tcPr>
            <w:tcW w:w="1060" w:type="dxa"/>
            <w:tcBorders>
              <w:bottom w:val="nil"/>
            </w:tcBorders>
          </w:tcPr>
          <w:p w14:paraId="2848ABAB" w14:textId="406B4F18" w:rsidR="004221AE" w:rsidRPr="004221AE" w:rsidRDefault="004221AE" w:rsidP="00563392">
            <w:pPr>
              <w:pStyle w:val="tabelNummers"/>
              <w:rPr>
                <w:rFonts w:eastAsia="Calibri"/>
              </w:rPr>
            </w:pPr>
            <w:r w:rsidRPr="004221AE">
              <w:rPr>
                <w:rFonts w:eastAsia="Calibri"/>
              </w:rPr>
              <w:t>3</w:t>
            </w:r>
            <w:r w:rsidR="00F84A87">
              <w:rPr>
                <w:rFonts w:eastAsia="Calibri"/>
              </w:rPr>
              <w:t>.</w:t>
            </w:r>
            <w:r w:rsidRPr="004221AE">
              <w:rPr>
                <w:rFonts w:eastAsia="Calibri"/>
              </w:rPr>
              <w:t>656</w:t>
            </w:r>
          </w:p>
        </w:tc>
        <w:tc>
          <w:tcPr>
            <w:tcW w:w="1005" w:type="dxa"/>
            <w:tcBorders>
              <w:bottom w:val="nil"/>
            </w:tcBorders>
          </w:tcPr>
          <w:p w14:paraId="06EE8362" w14:textId="683AEB52" w:rsidR="004221AE" w:rsidRPr="004221AE" w:rsidRDefault="004221AE" w:rsidP="00563392">
            <w:pPr>
              <w:pStyle w:val="tabelNummers"/>
              <w:rPr>
                <w:rFonts w:eastAsia="Calibri"/>
              </w:rPr>
            </w:pPr>
            <w:r w:rsidRPr="004221AE">
              <w:rPr>
                <w:rFonts w:eastAsia="Calibri"/>
              </w:rPr>
              <w:t>2</w:t>
            </w:r>
            <w:r w:rsidR="00F84A87">
              <w:rPr>
                <w:rFonts w:eastAsia="Calibri"/>
              </w:rPr>
              <w:t>.</w:t>
            </w:r>
            <w:r w:rsidRPr="004221AE">
              <w:rPr>
                <w:rFonts w:eastAsia="Calibri"/>
              </w:rPr>
              <w:t>631</w:t>
            </w:r>
          </w:p>
        </w:tc>
        <w:tc>
          <w:tcPr>
            <w:tcW w:w="747" w:type="dxa"/>
            <w:tcBorders>
              <w:bottom w:val="nil"/>
            </w:tcBorders>
          </w:tcPr>
          <w:p w14:paraId="07330C4A" w14:textId="7E025BD9" w:rsidR="004221AE" w:rsidRPr="004221AE" w:rsidRDefault="004221AE" w:rsidP="00563392">
            <w:pPr>
              <w:pStyle w:val="tabelNummers"/>
              <w:rPr>
                <w:rFonts w:eastAsia="Calibri"/>
              </w:rPr>
            </w:pPr>
            <w:r w:rsidRPr="004221AE">
              <w:rPr>
                <w:rFonts w:eastAsia="Calibri"/>
              </w:rPr>
              <w:t>1</w:t>
            </w:r>
            <w:r w:rsidR="00F84A87">
              <w:rPr>
                <w:rFonts w:eastAsia="Calibri"/>
              </w:rPr>
              <w:t>.</w:t>
            </w:r>
            <w:r w:rsidRPr="004221AE">
              <w:rPr>
                <w:rFonts w:eastAsia="Calibri"/>
              </w:rPr>
              <w:t>256</w:t>
            </w:r>
          </w:p>
        </w:tc>
        <w:tc>
          <w:tcPr>
            <w:tcW w:w="984" w:type="dxa"/>
            <w:tcBorders>
              <w:bottom w:val="nil"/>
            </w:tcBorders>
          </w:tcPr>
          <w:p w14:paraId="4C6B2383" w14:textId="2E855299" w:rsidR="004221AE" w:rsidRPr="004221AE" w:rsidRDefault="004221AE" w:rsidP="00563392">
            <w:pPr>
              <w:pStyle w:val="tabelNummers"/>
              <w:rPr>
                <w:rFonts w:eastAsia="Calibri"/>
              </w:rPr>
            </w:pPr>
            <w:r w:rsidRPr="004221AE">
              <w:rPr>
                <w:rFonts w:eastAsia="Calibri"/>
              </w:rPr>
              <w:t>8</w:t>
            </w:r>
            <w:r w:rsidR="00F84A87">
              <w:rPr>
                <w:rFonts w:eastAsia="Calibri"/>
              </w:rPr>
              <w:t>.</w:t>
            </w:r>
            <w:r w:rsidRPr="004221AE">
              <w:rPr>
                <w:rFonts w:eastAsia="Calibri"/>
              </w:rPr>
              <w:t>028</w:t>
            </w:r>
          </w:p>
        </w:tc>
      </w:tr>
      <w:tr w:rsidR="004221AE" w:rsidRPr="004221AE" w14:paraId="75F4A954" w14:textId="77777777" w:rsidTr="00660DC6">
        <w:trPr>
          <w:trHeight w:val="247"/>
        </w:trPr>
        <w:tc>
          <w:tcPr>
            <w:tcW w:w="1768" w:type="dxa"/>
            <w:tcBorders>
              <w:top w:val="nil"/>
              <w:bottom w:val="nil"/>
            </w:tcBorders>
          </w:tcPr>
          <w:p w14:paraId="7D77DF42"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Tanksleepschepen</w:t>
            </w:r>
          </w:p>
        </w:tc>
        <w:tc>
          <w:tcPr>
            <w:tcW w:w="1060" w:type="dxa"/>
            <w:tcBorders>
              <w:top w:val="nil"/>
              <w:bottom w:val="nil"/>
            </w:tcBorders>
          </w:tcPr>
          <w:p w14:paraId="7ABCF3B0" w14:textId="77777777" w:rsidR="004221AE" w:rsidRPr="004221AE" w:rsidRDefault="004221AE" w:rsidP="00563392">
            <w:pPr>
              <w:pStyle w:val="tabelNummers"/>
              <w:rPr>
                <w:rFonts w:eastAsia="Calibri"/>
              </w:rPr>
            </w:pPr>
            <w:r w:rsidRPr="004221AE">
              <w:rPr>
                <w:rFonts w:eastAsia="Calibri"/>
              </w:rPr>
              <w:t>156</w:t>
            </w:r>
          </w:p>
        </w:tc>
        <w:tc>
          <w:tcPr>
            <w:tcW w:w="1005" w:type="dxa"/>
            <w:tcBorders>
              <w:top w:val="nil"/>
              <w:bottom w:val="nil"/>
            </w:tcBorders>
          </w:tcPr>
          <w:p w14:paraId="3DDDABF0" w14:textId="77777777" w:rsidR="004221AE" w:rsidRPr="004221AE" w:rsidRDefault="004221AE" w:rsidP="00563392">
            <w:pPr>
              <w:pStyle w:val="tabelNummers"/>
              <w:rPr>
                <w:rFonts w:eastAsia="Calibri"/>
              </w:rPr>
            </w:pPr>
            <w:r w:rsidRPr="004221AE">
              <w:rPr>
                <w:rFonts w:eastAsia="Calibri"/>
              </w:rPr>
              <w:t>45</w:t>
            </w:r>
          </w:p>
        </w:tc>
        <w:tc>
          <w:tcPr>
            <w:tcW w:w="747" w:type="dxa"/>
            <w:tcBorders>
              <w:top w:val="nil"/>
              <w:bottom w:val="nil"/>
            </w:tcBorders>
          </w:tcPr>
          <w:p w14:paraId="7C19D98B" w14:textId="77777777" w:rsidR="004221AE" w:rsidRPr="004221AE" w:rsidRDefault="004221AE" w:rsidP="00563392">
            <w:pPr>
              <w:pStyle w:val="tabelNummers"/>
              <w:rPr>
                <w:rFonts w:eastAsia="Calibri"/>
              </w:rPr>
            </w:pPr>
            <w:r w:rsidRPr="004221AE">
              <w:rPr>
                <w:rFonts w:eastAsia="Calibri"/>
              </w:rPr>
              <w:t>20</w:t>
            </w:r>
          </w:p>
        </w:tc>
        <w:tc>
          <w:tcPr>
            <w:tcW w:w="984" w:type="dxa"/>
            <w:tcBorders>
              <w:top w:val="nil"/>
              <w:bottom w:val="nil"/>
            </w:tcBorders>
          </w:tcPr>
          <w:p w14:paraId="06BBB504" w14:textId="77777777" w:rsidR="004221AE" w:rsidRPr="004221AE" w:rsidRDefault="004221AE" w:rsidP="00563392">
            <w:pPr>
              <w:pStyle w:val="tabelNummers"/>
              <w:rPr>
                <w:rFonts w:eastAsia="Calibri"/>
              </w:rPr>
            </w:pPr>
            <w:r w:rsidRPr="004221AE">
              <w:rPr>
                <w:rFonts w:eastAsia="Calibri"/>
              </w:rPr>
              <w:t>242</w:t>
            </w:r>
          </w:p>
        </w:tc>
        <w:tc>
          <w:tcPr>
            <w:tcW w:w="1060" w:type="dxa"/>
            <w:tcBorders>
              <w:top w:val="nil"/>
              <w:bottom w:val="nil"/>
            </w:tcBorders>
          </w:tcPr>
          <w:p w14:paraId="6A1C1652" w14:textId="77777777" w:rsidR="004221AE" w:rsidRPr="004221AE" w:rsidRDefault="004221AE" w:rsidP="00563392">
            <w:pPr>
              <w:pStyle w:val="tabelNummers"/>
              <w:rPr>
                <w:rFonts w:eastAsia="Calibri"/>
              </w:rPr>
            </w:pPr>
            <w:r w:rsidRPr="004221AE">
              <w:rPr>
                <w:rFonts w:eastAsia="Calibri"/>
              </w:rPr>
              <w:t>118</w:t>
            </w:r>
          </w:p>
        </w:tc>
        <w:tc>
          <w:tcPr>
            <w:tcW w:w="1005" w:type="dxa"/>
            <w:tcBorders>
              <w:top w:val="nil"/>
              <w:bottom w:val="nil"/>
            </w:tcBorders>
          </w:tcPr>
          <w:p w14:paraId="529126A6" w14:textId="77777777" w:rsidR="004221AE" w:rsidRPr="004221AE" w:rsidRDefault="004221AE" w:rsidP="00563392">
            <w:pPr>
              <w:pStyle w:val="tabelNummers"/>
              <w:rPr>
                <w:rFonts w:eastAsia="Calibri"/>
              </w:rPr>
            </w:pPr>
            <w:r w:rsidRPr="004221AE">
              <w:rPr>
                <w:rFonts w:eastAsia="Calibri"/>
              </w:rPr>
              <w:t>40</w:t>
            </w:r>
          </w:p>
        </w:tc>
        <w:tc>
          <w:tcPr>
            <w:tcW w:w="747" w:type="dxa"/>
            <w:tcBorders>
              <w:top w:val="nil"/>
              <w:bottom w:val="nil"/>
            </w:tcBorders>
          </w:tcPr>
          <w:p w14:paraId="2584867F" w14:textId="77777777" w:rsidR="004221AE" w:rsidRPr="004221AE" w:rsidRDefault="004221AE" w:rsidP="00563392">
            <w:pPr>
              <w:pStyle w:val="tabelNummers"/>
              <w:rPr>
                <w:rFonts w:eastAsia="Calibri"/>
              </w:rPr>
            </w:pPr>
            <w:r w:rsidRPr="004221AE">
              <w:rPr>
                <w:rFonts w:eastAsia="Calibri"/>
              </w:rPr>
              <w:t>9</w:t>
            </w:r>
          </w:p>
        </w:tc>
        <w:tc>
          <w:tcPr>
            <w:tcW w:w="984" w:type="dxa"/>
            <w:tcBorders>
              <w:top w:val="nil"/>
              <w:bottom w:val="nil"/>
            </w:tcBorders>
          </w:tcPr>
          <w:p w14:paraId="682887F5" w14:textId="77777777" w:rsidR="004221AE" w:rsidRPr="004221AE" w:rsidRDefault="004221AE" w:rsidP="00563392">
            <w:pPr>
              <w:pStyle w:val="tabelNummers"/>
              <w:rPr>
                <w:rFonts w:eastAsia="Calibri"/>
              </w:rPr>
            </w:pPr>
            <w:r w:rsidRPr="004221AE">
              <w:rPr>
                <w:rFonts w:eastAsia="Calibri"/>
              </w:rPr>
              <w:t>184</w:t>
            </w:r>
          </w:p>
        </w:tc>
      </w:tr>
      <w:tr w:rsidR="004221AE" w:rsidRPr="004221AE" w14:paraId="1EF99F22" w14:textId="77777777" w:rsidTr="00660DC6">
        <w:trPr>
          <w:trHeight w:val="247"/>
        </w:trPr>
        <w:tc>
          <w:tcPr>
            <w:tcW w:w="1768" w:type="dxa"/>
            <w:tcBorders>
              <w:top w:val="nil"/>
              <w:bottom w:val="nil"/>
            </w:tcBorders>
          </w:tcPr>
          <w:p w14:paraId="4610E7DD"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Motorschepen</w:t>
            </w:r>
          </w:p>
        </w:tc>
        <w:tc>
          <w:tcPr>
            <w:tcW w:w="1060" w:type="dxa"/>
            <w:tcBorders>
              <w:top w:val="nil"/>
              <w:bottom w:val="nil"/>
            </w:tcBorders>
          </w:tcPr>
          <w:p w14:paraId="119BD5F1" w14:textId="77777777" w:rsidR="004221AE" w:rsidRPr="004221AE" w:rsidRDefault="004221AE" w:rsidP="00563392">
            <w:pPr>
              <w:pStyle w:val="tabelNummers"/>
              <w:rPr>
                <w:rFonts w:eastAsia="Calibri"/>
              </w:rPr>
            </w:pPr>
            <w:r w:rsidRPr="004221AE">
              <w:rPr>
                <w:rFonts w:eastAsia="Calibri"/>
              </w:rPr>
              <w:t>784</w:t>
            </w:r>
          </w:p>
        </w:tc>
        <w:tc>
          <w:tcPr>
            <w:tcW w:w="1005" w:type="dxa"/>
            <w:tcBorders>
              <w:top w:val="nil"/>
              <w:bottom w:val="nil"/>
            </w:tcBorders>
          </w:tcPr>
          <w:p w14:paraId="226B2B0F" w14:textId="77777777" w:rsidR="004221AE" w:rsidRPr="004221AE" w:rsidRDefault="004221AE" w:rsidP="00563392">
            <w:pPr>
              <w:pStyle w:val="tabelNummers"/>
              <w:rPr>
                <w:rFonts w:eastAsia="Calibri"/>
              </w:rPr>
            </w:pPr>
            <w:r w:rsidRPr="004221AE">
              <w:rPr>
                <w:rFonts w:eastAsia="Calibri"/>
              </w:rPr>
              <w:t>357</w:t>
            </w:r>
          </w:p>
        </w:tc>
        <w:tc>
          <w:tcPr>
            <w:tcW w:w="747" w:type="dxa"/>
            <w:tcBorders>
              <w:top w:val="nil"/>
              <w:bottom w:val="nil"/>
            </w:tcBorders>
          </w:tcPr>
          <w:p w14:paraId="045FB43F" w14:textId="77777777" w:rsidR="004221AE" w:rsidRPr="004221AE" w:rsidRDefault="004221AE" w:rsidP="00563392">
            <w:pPr>
              <w:pStyle w:val="tabelNummers"/>
              <w:rPr>
                <w:rFonts w:eastAsia="Calibri"/>
              </w:rPr>
            </w:pPr>
            <w:r w:rsidRPr="004221AE">
              <w:rPr>
                <w:rFonts w:eastAsia="Calibri"/>
              </w:rPr>
              <w:t>274</w:t>
            </w:r>
          </w:p>
        </w:tc>
        <w:tc>
          <w:tcPr>
            <w:tcW w:w="984" w:type="dxa"/>
            <w:tcBorders>
              <w:top w:val="nil"/>
              <w:bottom w:val="nil"/>
            </w:tcBorders>
          </w:tcPr>
          <w:p w14:paraId="66928789" w14:textId="5BC47B90" w:rsidR="004221AE" w:rsidRPr="004221AE" w:rsidRDefault="004221AE" w:rsidP="00563392">
            <w:pPr>
              <w:pStyle w:val="tabelNummers"/>
              <w:rPr>
                <w:rFonts w:eastAsia="Calibri"/>
              </w:rPr>
            </w:pPr>
            <w:r w:rsidRPr="004221AE">
              <w:rPr>
                <w:rFonts w:eastAsia="Calibri"/>
              </w:rPr>
              <w:t>1</w:t>
            </w:r>
            <w:r w:rsidR="00F84A87">
              <w:rPr>
                <w:rFonts w:eastAsia="Calibri"/>
              </w:rPr>
              <w:t>.</w:t>
            </w:r>
            <w:r w:rsidRPr="004221AE">
              <w:rPr>
                <w:rFonts w:eastAsia="Calibri"/>
              </w:rPr>
              <w:t>620</w:t>
            </w:r>
          </w:p>
        </w:tc>
        <w:tc>
          <w:tcPr>
            <w:tcW w:w="1060" w:type="dxa"/>
            <w:tcBorders>
              <w:top w:val="nil"/>
              <w:bottom w:val="nil"/>
            </w:tcBorders>
          </w:tcPr>
          <w:p w14:paraId="1E668AE2" w14:textId="77777777" w:rsidR="004221AE" w:rsidRPr="004221AE" w:rsidRDefault="004221AE" w:rsidP="00563392">
            <w:pPr>
              <w:pStyle w:val="tabelNummers"/>
              <w:rPr>
                <w:rFonts w:eastAsia="Calibri"/>
              </w:rPr>
            </w:pPr>
            <w:r w:rsidRPr="004221AE">
              <w:rPr>
                <w:rFonts w:eastAsia="Calibri"/>
              </w:rPr>
              <w:t>170</w:t>
            </w:r>
          </w:p>
        </w:tc>
        <w:tc>
          <w:tcPr>
            <w:tcW w:w="1005" w:type="dxa"/>
            <w:tcBorders>
              <w:top w:val="nil"/>
              <w:bottom w:val="nil"/>
            </w:tcBorders>
          </w:tcPr>
          <w:p w14:paraId="5EEABA18" w14:textId="77777777" w:rsidR="004221AE" w:rsidRPr="004221AE" w:rsidRDefault="004221AE" w:rsidP="00563392">
            <w:pPr>
              <w:pStyle w:val="tabelNummers"/>
              <w:rPr>
                <w:rFonts w:eastAsia="Calibri"/>
              </w:rPr>
            </w:pPr>
            <w:r w:rsidRPr="004221AE">
              <w:rPr>
                <w:rFonts w:eastAsia="Calibri"/>
              </w:rPr>
              <w:t>134</w:t>
            </w:r>
          </w:p>
        </w:tc>
        <w:tc>
          <w:tcPr>
            <w:tcW w:w="747" w:type="dxa"/>
            <w:tcBorders>
              <w:top w:val="nil"/>
              <w:bottom w:val="nil"/>
            </w:tcBorders>
          </w:tcPr>
          <w:p w14:paraId="6DF21B2F" w14:textId="77777777" w:rsidR="004221AE" w:rsidRPr="004221AE" w:rsidRDefault="004221AE" w:rsidP="00563392">
            <w:pPr>
              <w:pStyle w:val="tabelNummers"/>
              <w:rPr>
                <w:rFonts w:eastAsia="Calibri"/>
              </w:rPr>
            </w:pPr>
            <w:r w:rsidRPr="004221AE">
              <w:rPr>
                <w:rFonts w:eastAsia="Calibri"/>
              </w:rPr>
              <w:t>83</w:t>
            </w:r>
          </w:p>
        </w:tc>
        <w:tc>
          <w:tcPr>
            <w:tcW w:w="984" w:type="dxa"/>
            <w:tcBorders>
              <w:top w:val="nil"/>
              <w:bottom w:val="nil"/>
            </w:tcBorders>
          </w:tcPr>
          <w:p w14:paraId="7C09CC90" w14:textId="77777777" w:rsidR="004221AE" w:rsidRPr="004221AE" w:rsidRDefault="004221AE" w:rsidP="00563392">
            <w:pPr>
              <w:pStyle w:val="tabelNummers"/>
              <w:rPr>
                <w:rFonts w:eastAsia="Calibri"/>
              </w:rPr>
            </w:pPr>
            <w:r w:rsidRPr="004221AE">
              <w:rPr>
                <w:rFonts w:eastAsia="Calibri"/>
              </w:rPr>
              <w:t>469</w:t>
            </w:r>
          </w:p>
        </w:tc>
      </w:tr>
      <w:tr w:rsidR="004D538E" w:rsidRPr="004221AE" w14:paraId="412991B5" w14:textId="77777777" w:rsidTr="00660DC6">
        <w:trPr>
          <w:trHeight w:val="247"/>
        </w:trPr>
        <w:tc>
          <w:tcPr>
            <w:tcW w:w="1768" w:type="dxa"/>
            <w:tcBorders>
              <w:top w:val="nil"/>
              <w:bottom w:val="nil"/>
            </w:tcBorders>
          </w:tcPr>
          <w:p w14:paraId="58540EDF" w14:textId="101E9C0E" w:rsidR="004D538E" w:rsidRPr="004221AE" w:rsidRDefault="004D538E" w:rsidP="00DE08B1">
            <w:pPr>
              <w:jc w:val="left"/>
              <w:rPr>
                <w:rFonts w:eastAsia="Calibri" w:cs="Times New Roman"/>
                <w:color w:val="auto"/>
                <w:sz w:val="20"/>
                <w:szCs w:val="20"/>
              </w:rPr>
            </w:pPr>
            <w:r>
              <w:rPr>
                <w:rFonts w:eastAsia="Calibri" w:cs="Times New Roman"/>
                <w:color w:val="auto"/>
                <w:sz w:val="20"/>
                <w:szCs w:val="20"/>
              </w:rPr>
              <w:t>Stoomschepen</w:t>
            </w:r>
          </w:p>
        </w:tc>
        <w:tc>
          <w:tcPr>
            <w:tcW w:w="1060" w:type="dxa"/>
            <w:tcBorders>
              <w:top w:val="nil"/>
              <w:bottom w:val="nil"/>
            </w:tcBorders>
          </w:tcPr>
          <w:p w14:paraId="2BCB7048" w14:textId="2C94D076" w:rsidR="004D538E" w:rsidRPr="004221AE" w:rsidRDefault="004D538E" w:rsidP="00563392">
            <w:pPr>
              <w:pStyle w:val="tabelNummers"/>
              <w:rPr>
                <w:rFonts w:eastAsia="Calibri"/>
              </w:rPr>
            </w:pPr>
            <w:r>
              <w:rPr>
                <w:rFonts w:eastAsia="Calibri"/>
              </w:rPr>
              <w:t>96</w:t>
            </w:r>
          </w:p>
        </w:tc>
        <w:tc>
          <w:tcPr>
            <w:tcW w:w="1005" w:type="dxa"/>
            <w:tcBorders>
              <w:top w:val="nil"/>
              <w:bottom w:val="nil"/>
            </w:tcBorders>
          </w:tcPr>
          <w:p w14:paraId="369F49E1" w14:textId="2B07DFE9" w:rsidR="004D538E" w:rsidRPr="004221AE" w:rsidRDefault="004D538E" w:rsidP="00563392">
            <w:pPr>
              <w:pStyle w:val="tabelNummers"/>
              <w:rPr>
                <w:rFonts w:eastAsia="Calibri"/>
              </w:rPr>
            </w:pPr>
            <w:r>
              <w:rPr>
                <w:rFonts w:eastAsia="Calibri"/>
              </w:rPr>
              <w:t>87</w:t>
            </w:r>
          </w:p>
        </w:tc>
        <w:tc>
          <w:tcPr>
            <w:tcW w:w="747" w:type="dxa"/>
            <w:tcBorders>
              <w:top w:val="nil"/>
              <w:bottom w:val="nil"/>
            </w:tcBorders>
          </w:tcPr>
          <w:p w14:paraId="17E220C5" w14:textId="1F62A981" w:rsidR="004D538E" w:rsidRPr="004221AE" w:rsidRDefault="004D538E" w:rsidP="00563392">
            <w:pPr>
              <w:pStyle w:val="tabelNummers"/>
              <w:rPr>
                <w:rFonts w:eastAsia="Calibri"/>
              </w:rPr>
            </w:pPr>
            <w:r>
              <w:rPr>
                <w:rFonts w:eastAsia="Calibri"/>
              </w:rPr>
              <w:t>11</w:t>
            </w:r>
          </w:p>
        </w:tc>
        <w:tc>
          <w:tcPr>
            <w:tcW w:w="984" w:type="dxa"/>
            <w:tcBorders>
              <w:top w:val="nil"/>
              <w:bottom w:val="nil"/>
            </w:tcBorders>
          </w:tcPr>
          <w:p w14:paraId="590FEBD9" w14:textId="247E7380" w:rsidR="004D538E" w:rsidRPr="004221AE" w:rsidRDefault="004D538E" w:rsidP="00563392">
            <w:pPr>
              <w:pStyle w:val="tabelNummers"/>
              <w:rPr>
                <w:rFonts w:eastAsia="Calibri"/>
              </w:rPr>
            </w:pPr>
            <w:r>
              <w:rPr>
                <w:rFonts w:eastAsia="Calibri"/>
              </w:rPr>
              <w:t>196</w:t>
            </w:r>
          </w:p>
        </w:tc>
        <w:tc>
          <w:tcPr>
            <w:tcW w:w="1060" w:type="dxa"/>
            <w:tcBorders>
              <w:top w:val="nil"/>
              <w:bottom w:val="nil"/>
            </w:tcBorders>
          </w:tcPr>
          <w:p w14:paraId="52D7CC35" w14:textId="123E4A08" w:rsidR="004D538E" w:rsidRPr="004221AE" w:rsidRDefault="004D538E" w:rsidP="00563392">
            <w:pPr>
              <w:pStyle w:val="tabelNummers"/>
              <w:rPr>
                <w:rFonts w:eastAsia="Calibri"/>
              </w:rPr>
            </w:pPr>
            <w:r>
              <w:rPr>
                <w:rFonts w:eastAsia="Calibri"/>
              </w:rPr>
              <w:t>46</w:t>
            </w:r>
          </w:p>
        </w:tc>
        <w:tc>
          <w:tcPr>
            <w:tcW w:w="1005" w:type="dxa"/>
            <w:tcBorders>
              <w:top w:val="nil"/>
              <w:bottom w:val="nil"/>
            </w:tcBorders>
          </w:tcPr>
          <w:p w14:paraId="3BC1E811" w14:textId="70838D12" w:rsidR="004D538E" w:rsidRPr="004221AE" w:rsidRDefault="004D538E" w:rsidP="00563392">
            <w:pPr>
              <w:pStyle w:val="tabelNummers"/>
              <w:rPr>
                <w:rFonts w:eastAsia="Calibri"/>
              </w:rPr>
            </w:pPr>
            <w:r>
              <w:rPr>
                <w:rFonts w:eastAsia="Calibri"/>
              </w:rPr>
              <w:t>73</w:t>
            </w:r>
          </w:p>
        </w:tc>
        <w:tc>
          <w:tcPr>
            <w:tcW w:w="747" w:type="dxa"/>
            <w:tcBorders>
              <w:top w:val="nil"/>
              <w:bottom w:val="nil"/>
            </w:tcBorders>
          </w:tcPr>
          <w:p w14:paraId="18F0B3B6" w14:textId="6AAF0C2B" w:rsidR="004D538E" w:rsidRPr="004221AE" w:rsidRDefault="004D538E" w:rsidP="00563392">
            <w:pPr>
              <w:pStyle w:val="tabelNummers"/>
              <w:rPr>
                <w:rFonts w:eastAsia="Calibri"/>
              </w:rPr>
            </w:pPr>
            <w:r>
              <w:rPr>
                <w:rFonts w:eastAsia="Calibri"/>
              </w:rPr>
              <w:t>5</w:t>
            </w:r>
          </w:p>
        </w:tc>
        <w:tc>
          <w:tcPr>
            <w:tcW w:w="984" w:type="dxa"/>
            <w:tcBorders>
              <w:top w:val="nil"/>
              <w:bottom w:val="nil"/>
            </w:tcBorders>
          </w:tcPr>
          <w:p w14:paraId="652B174B" w14:textId="58850A97" w:rsidR="004D538E" w:rsidRPr="004221AE" w:rsidRDefault="004D538E" w:rsidP="00563392">
            <w:pPr>
              <w:pStyle w:val="tabelNummers"/>
              <w:rPr>
                <w:rFonts w:eastAsia="Calibri"/>
              </w:rPr>
            </w:pPr>
            <w:r>
              <w:rPr>
                <w:rFonts w:eastAsia="Calibri"/>
              </w:rPr>
              <w:t>126</w:t>
            </w:r>
          </w:p>
        </w:tc>
      </w:tr>
      <w:tr w:rsidR="004D538E" w:rsidRPr="004221AE" w14:paraId="67BC9E07" w14:textId="77777777" w:rsidTr="00660DC6">
        <w:trPr>
          <w:trHeight w:val="247"/>
        </w:trPr>
        <w:tc>
          <w:tcPr>
            <w:tcW w:w="1768" w:type="dxa"/>
            <w:tcBorders>
              <w:top w:val="nil"/>
              <w:bottom w:val="nil"/>
            </w:tcBorders>
          </w:tcPr>
          <w:p w14:paraId="122D6070" w14:textId="4ABCC888" w:rsidR="004D538E" w:rsidRPr="004221AE" w:rsidRDefault="004D538E" w:rsidP="00DE08B1">
            <w:pPr>
              <w:jc w:val="left"/>
              <w:rPr>
                <w:rFonts w:eastAsia="Calibri" w:cs="Times New Roman"/>
                <w:color w:val="auto"/>
                <w:sz w:val="20"/>
                <w:szCs w:val="20"/>
              </w:rPr>
            </w:pPr>
            <w:r>
              <w:rPr>
                <w:rFonts w:eastAsia="Calibri" w:cs="Times New Roman"/>
                <w:color w:val="auto"/>
                <w:sz w:val="20"/>
                <w:szCs w:val="20"/>
              </w:rPr>
              <w:t>Tankmotorschepen</w:t>
            </w:r>
          </w:p>
        </w:tc>
        <w:tc>
          <w:tcPr>
            <w:tcW w:w="1060" w:type="dxa"/>
            <w:tcBorders>
              <w:top w:val="nil"/>
              <w:bottom w:val="nil"/>
            </w:tcBorders>
          </w:tcPr>
          <w:p w14:paraId="71D9714A" w14:textId="0A1BFD58" w:rsidR="004D538E" w:rsidRPr="004221AE" w:rsidRDefault="004D538E" w:rsidP="00563392">
            <w:pPr>
              <w:pStyle w:val="tabelNummers"/>
              <w:rPr>
                <w:rFonts w:eastAsia="Calibri"/>
              </w:rPr>
            </w:pPr>
            <w:r>
              <w:rPr>
                <w:rFonts w:eastAsia="Calibri"/>
              </w:rPr>
              <w:t>84</w:t>
            </w:r>
          </w:p>
        </w:tc>
        <w:tc>
          <w:tcPr>
            <w:tcW w:w="1005" w:type="dxa"/>
            <w:tcBorders>
              <w:top w:val="nil"/>
              <w:bottom w:val="nil"/>
            </w:tcBorders>
          </w:tcPr>
          <w:p w14:paraId="3DDC2476" w14:textId="0B1540B9" w:rsidR="004D538E" w:rsidRPr="004221AE" w:rsidRDefault="004D538E" w:rsidP="00563392">
            <w:pPr>
              <w:pStyle w:val="tabelNummers"/>
              <w:rPr>
                <w:rFonts w:eastAsia="Calibri"/>
              </w:rPr>
            </w:pPr>
            <w:r>
              <w:rPr>
                <w:rFonts w:eastAsia="Calibri"/>
              </w:rPr>
              <w:t>14</w:t>
            </w:r>
          </w:p>
        </w:tc>
        <w:tc>
          <w:tcPr>
            <w:tcW w:w="747" w:type="dxa"/>
            <w:tcBorders>
              <w:top w:val="nil"/>
              <w:bottom w:val="nil"/>
            </w:tcBorders>
          </w:tcPr>
          <w:p w14:paraId="416F9105" w14:textId="270D7821" w:rsidR="004D538E" w:rsidRPr="004221AE" w:rsidRDefault="004D538E" w:rsidP="00563392">
            <w:pPr>
              <w:pStyle w:val="tabelNummers"/>
              <w:rPr>
                <w:rFonts w:eastAsia="Calibri"/>
              </w:rPr>
            </w:pPr>
            <w:r>
              <w:rPr>
                <w:rFonts w:eastAsia="Calibri"/>
              </w:rPr>
              <w:t>9</w:t>
            </w:r>
          </w:p>
        </w:tc>
        <w:tc>
          <w:tcPr>
            <w:tcW w:w="984" w:type="dxa"/>
            <w:tcBorders>
              <w:top w:val="nil"/>
              <w:bottom w:val="nil"/>
            </w:tcBorders>
          </w:tcPr>
          <w:p w14:paraId="701B3199" w14:textId="42D87BFC" w:rsidR="004D538E" w:rsidRPr="004221AE" w:rsidRDefault="004D538E" w:rsidP="00563392">
            <w:pPr>
              <w:pStyle w:val="tabelNummers"/>
              <w:rPr>
                <w:rFonts w:eastAsia="Calibri"/>
              </w:rPr>
            </w:pPr>
            <w:r>
              <w:rPr>
                <w:rFonts w:eastAsia="Calibri"/>
              </w:rPr>
              <w:t>159</w:t>
            </w:r>
          </w:p>
        </w:tc>
        <w:tc>
          <w:tcPr>
            <w:tcW w:w="1060" w:type="dxa"/>
            <w:tcBorders>
              <w:top w:val="nil"/>
              <w:bottom w:val="nil"/>
            </w:tcBorders>
          </w:tcPr>
          <w:p w14:paraId="5E4AB10B" w14:textId="07E9C5D8" w:rsidR="004D538E" w:rsidRPr="004221AE" w:rsidRDefault="004D538E" w:rsidP="00563392">
            <w:pPr>
              <w:pStyle w:val="tabelNummers"/>
              <w:rPr>
                <w:rFonts w:eastAsia="Calibri"/>
              </w:rPr>
            </w:pPr>
            <w:r>
              <w:rPr>
                <w:rFonts w:eastAsia="Calibri"/>
              </w:rPr>
              <w:t>23</w:t>
            </w:r>
          </w:p>
        </w:tc>
        <w:tc>
          <w:tcPr>
            <w:tcW w:w="1005" w:type="dxa"/>
            <w:tcBorders>
              <w:top w:val="nil"/>
              <w:bottom w:val="nil"/>
            </w:tcBorders>
          </w:tcPr>
          <w:p w14:paraId="7276D393" w14:textId="01C7D7D1" w:rsidR="004D538E" w:rsidRPr="004221AE" w:rsidRDefault="004D538E" w:rsidP="00563392">
            <w:pPr>
              <w:pStyle w:val="tabelNummers"/>
              <w:rPr>
                <w:rFonts w:eastAsia="Calibri"/>
              </w:rPr>
            </w:pPr>
            <w:r>
              <w:rPr>
                <w:rFonts w:eastAsia="Calibri"/>
              </w:rPr>
              <w:t>5</w:t>
            </w:r>
          </w:p>
        </w:tc>
        <w:tc>
          <w:tcPr>
            <w:tcW w:w="747" w:type="dxa"/>
            <w:tcBorders>
              <w:top w:val="nil"/>
              <w:bottom w:val="nil"/>
            </w:tcBorders>
          </w:tcPr>
          <w:p w14:paraId="539FB3C6" w14:textId="5872C402" w:rsidR="004D538E" w:rsidRPr="004221AE" w:rsidRDefault="004D538E" w:rsidP="00563392">
            <w:pPr>
              <w:pStyle w:val="tabelNummers"/>
              <w:rPr>
                <w:rFonts w:eastAsia="Calibri"/>
              </w:rPr>
            </w:pPr>
            <w:r>
              <w:rPr>
                <w:rFonts w:eastAsia="Calibri"/>
              </w:rPr>
              <w:t>2</w:t>
            </w:r>
          </w:p>
        </w:tc>
        <w:tc>
          <w:tcPr>
            <w:tcW w:w="984" w:type="dxa"/>
            <w:tcBorders>
              <w:top w:val="nil"/>
              <w:bottom w:val="nil"/>
            </w:tcBorders>
          </w:tcPr>
          <w:p w14:paraId="30C0990F" w14:textId="6DC37EE1" w:rsidR="004D538E" w:rsidRPr="004221AE" w:rsidRDefault="004D538E" w:rsidP="00563392">
            <w:pPr>
              <w:pStyle w:val="tabelNummers"/>
              <w:rPr>
                <w:rFonts w:eastAsia="Calibri"/>
              </w:rPr>
            </w:pPr>
            <w:r>
              <w:rPr>
                <w:rFonts w:eastAsia="Calibri"/>
              </w:rPr>
              <w:t>46</w:t>
            </w:r>
          </w:p>
        </w:tc>
      </w:tr>
      <w:tr w:rsidR="004221AE" w:rsidRPr="004221AE" w14:paraId="1D18A271" w14:textId="77777777" w:rsidTr="00660DC6">
        <w:trPr>
          <w:trHeight w:val="247"/>
        </w:trPr>
        <w:tc>
          <w:tcPr>
            <w:tcW w:w="1768" w:type="dxa"/>
            <w:tcBorders>
              <w:top w:val="nil"/>
              <w:bottom w:val="nil"/>
            </w:tcBorders>
          </w:tcPr>
          <w:p w14:paraId="2F051A3D"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Sleepboten</w:t>
            </w:r>
          </w:p>
        </w:tc>
        <w:tc>
          <w:tcPr>
            <w:tcW w:w="1060" w:type="dxa"/>
            <w:tcBorders>
              <w:top w:val="nil"/>
              <w:bottom w:val="nil"/>
            </w:tcBorders>
          </w:tcPr>
          <w:p w14:paraId="71CC67E7" w14:textId="77777777" w:rsidR="004221AE" w:rsidRPr="004221AE" w:rsidRDefault="004221AE" w:rsidP="00563392">
            <w:pPr>
              <w:pStyle w:val="tabelNummers"/>
              <w:rPr>
                <w:rFonts w:eastAsia="Calibri"/>
              </w:rPr>
            </w:pPr>
            <w:r w:rsidRPr="004221AE">
              <w:rPr>
                <w:rFonts w:eastAsia="Calibri"/>
              </w:rPr>
              <w:t>806</w:t>
            </w:r>
          </w:p>
        </w:tc>
        <w:tc>
          <w:tcPr>
            <w:tcW w:w="1005" w:type="dxa"/>
            <w:tcBorders>
              <w:top w:val="nil"/>
              <w:bottom w:val="nil"/>
            </w:tcBorders>
          </w:tcPr>
          <w:p w14:paraId="49BB0FA4" w14:textId="77777777" w:rsidR="004221AE" w:rsidRPr="004221AE" w:rsidRDefault="004221AE" w:rsidP="00563392">
            <w:pPr>
              <w:pStyle w:val="tabelNummers"/>
              <w:rPr>
                <w:rFonts w:eastAsia="Calibri"/>
              </w:rPr>
            </w:pPr>
            <w:r w:rsidRPr="004221AE">
              <w:rPr>
                <w:rFonts w:eastAsia="Calibri"/>
              </w:rPr>
              <w:t>655</w:t>
            </w:r>
          </w:p>
        </w:tc>
        <w:tc>
          <w:tcPr>
            <w:tcW w:w="747" w:type="dxa"/>
            <w:tcBorders>
              <w:top w:val="nil"/>
              <w:bottom w:val="nil"/>
            </w:tcBorders>
          </w:tcPr>
          <w:p w14:paraId="2853D0D5" w14:textId="77777777" w:rsidR="004221AE" w:rsidRPr="004221AE" w:rsidRDefault="004221AE" w:rsidP="00563392">
            <w:pPr>
              <w:pStyle w:val="tabelNummers"/>
              <w:rPr>
                <w:rFonts w:eastAsia="Calibri"/>
              </w:rPr>
            </w:pPr>
            <w:r w:rsidRPr="004221AE">
              <w:rPr>
                <w:rFonts w:eastAsia="Calibri"/>
              </w:rPr>
              <w:t>149</w:t>
            </w:r>
          </w:p>
        </w:tc>
        <w:tc>
          <w:tcPr>
            <w:tcW w:w="984" w:type="dxa"/>
            <w:tcBorders>
              <w:top w:val="nil"/>
              <w:bottom w:val="nil"/>
            </w:tcBorders>
          </w:tcPr>
          <w:p w14:paraId="327F5572" w14:textId="63D8D406" w:rsidR="004221AE" w:rsidRPr="004221AE" w:rsidRDefault="004221AE" w:rsidP="00563392">
            <w:pPr>
              <w:pStyle w:val="tabelNummers"/>
              <w:rPr>
                <w:rFonts w:eastAsia="Calibri"/>
              </w:rPr>
            </w:pPr>
            <w:r w:rsidRPr="004221AE">
              <w:rPr>
                <w:rFonts w:eastAsia="Calibri"/>
              </w:rPr>
              <w:t>2</w:t>
            </w:r>
            <w:r w:rsidR="00F84A87">
              <w:rPr>
                <w:rFonts w:eastAsia="Calibri"/>
              </w:rPr>
              <w:t>.</w:t>
            </w:r>
            <w:r w:rsidRPr="004221AE">
              <w:rPr>
                <w:rFonts w:eastAsia="Calibri"/>
              </w:rPr>
              <w:t>709</w:t>
            </w:r>
          </w:p>
        </w:tc>
        <w:tc>
          <w:tcPr>
            <w:tcW w:w="1060" w:type="dxa"/>
            <w:tcBorders>
              <w:top w:val="nil"/>
              <w:bottom w:val="nil"/>
            </w:tcBorders>
          </w:tcPr>
          <w:p w14:paraId="59FDB6A0" w14:textId="77777777" w:rsidR="004221AE" w:rsidRPr="004221AE" w:rsidRDefault="004221AE" w:rsidP="00563392">
            <w:pPr>
              <w:pStyle w:val="tabelNummers"/>
              <w:rPr>
                <w:rFonts w:eastAsia="Calibri"/>
              </w:rPr>
            </w:pPr>
            <w:r w:rsidRPr="004221AE">
              <w:rPr>
                <w:rFonts w:eastAsia="Calibri"/>
              </w:rPr>
              <w:t>-</w:t>
            </w:r>
          </w:p>
        </w:tc>
        <w:tc>
          <w:tcPr>
            <w:tcW w:w="1005" w:type="dxa"/>
            <w:tcBorders>
              <w:top w:val="nil"/>
              <w:bottom w:val="nil"/>
            </w:tcBorders>
          </w:tcPr>
          <w:p w14:paraId="75540B83" w14:textId="77777777" w:rsidR="004221AE" w:rsidRPr="004221AE" w:rsidRDefault="004221AE" w:rsidP="00563392">
            <w:pPr>
              <w:pStyle w:val="tabelNummers"/>
              <w:rPr>
                <w:rFonts w:eastAsia="Calibri"/>
              </w:rPr>
            </w:pPr>
            <w:r w:rsidRPr="004221AE">
              <w:rPr>
                <w:rFonts w:eastAsia="Calibri"/>
              </w:rPr>
              <w:t>-</w:t>
            </w:r>
          </w:p>
        </w:tc>
        <w:tc>
          <w:tcPr>
            <w:tcW w:w="747" w:type="dxa"/>
            <w:tcBorders>
              <w:top w:val="nil"/>
              <w:bottom w:val="nil"/>
            </w:tcBorders>
          </w:tcPr>
          <w:p w14:paraId="344A964E" w14:textId="77777777" w:rsidR="004221AE" w:rsidRPr="004221AE" w:rsidRDefault="004221AE" w:rsidP="00563392">
            <w:pPr>
              <w:pStyle w:val="tabelNummers"/>
              <w:rPr>
                <w:rFonts w:eastAsia="Calibri"/>
              </w:rPr>
            </w:pPr>
            <w:r w:rsidRPr="004221AE">
              <w:rPr>
                <w:rFonts w:eastAsia="Calibri"/>
              </w:rPr>
              <w:t>-</w:t>
            </w:r>
          </w:p>
        </w:tc>
        <w:tc>
          <w:tcPr>
            <w:tcW w:w="984" w:type="dxa"/>
            <w:tcBorders>
              <w:top w:val="nil"/>
              <w:bottom w:val="nil"/>
            </w:tcBorders>
          </w:tcPr>
          <w:p w14:paraId="2C74EF9A" w14:textId="77777777" w:rsidR="004221AE" w:rsidRPr="004221AE" w:rsidRDefault="004221AE" w:rsidP="00563392">
            <w:pPr>
              <w:pStyle w:val="tabelNummers"/>
              <w:rPr>
                <w:rFonts w:eastAsia="Calibri"/>
              </w:rPr>
            </w:pPr>
            <w:r w:rsidRPr="004221AE">
              <w:rPr>
                <w:rFonts w:eastAsia="Calibri"/>
              </w:rPr>
              <w:t>-</w:t>
            </w:r>
          </w:p>
        </w:tc>
      </w:tr>
      <w:tr w:rsidR="004221AE" w:rsidRPr="004221AE" w14:paraId="2B56553A" w14:textId="77777777" w:rsidTr="00660DC6">
        <w:trPr>
          <w:trHeight w:val="232"/>
        </w:trPr>
        <w:tc>
          <w:tcPr>
            <w:tcW w:w="1768" w:type="dxa"/>
          </w:tcPr>
          <w:p w14:paraId="551C8511"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Totaal</w:t>
            </w:r>
          </w:p>
        </w:tc>
        <w:tc>
          <w:tcPr>
            <w:tcW w:w="1060" w:type="dxa"/>
          </w:tcPr>
          <w:p w14:paraId="4229C9F9" w14:textId="2965AA08" w:rsidR="004221AE" w:rsidRPr="004221AE" w:rsidRDefault="004221AE" w:rsidP="00563392">
            <w:pPr>
              <w:pStyle w:val="tabelNummers"/>
              <w:rPr>
                <w:rFonts w:eastAsia="Calibri"/>
              </w:rPr>
            </w:pPr>
            <w:r w:rsidRPr="004221AE">
              <w:rPr>
                <w:rFonts w:eastAsia="Calibri"/>
              </w:rPr>
              <w:t>7</w:t>
            </w:r>
            <w:r w:rsidR="00F84A87">
              <w:rPr>
                <w:rFonts w:eastAsia="Calibri"/>
              </w:rPr>
              <w:t>.</w:t>
            </w:r>
            <w:r w:rsidRPr="004221AE">
              <w:rPr>
                <w:rFonts w:eastAsia="Calibri"/>
              </w:rPr>
              <w:t>996</w:t>
            </w:r>
          </w:p>
        </w:tc>
        <w:tc>
          <w:tcPr>
            <w:tcW w:w="1005" w:type="dxa"/>
          </w:tcPr>
          <w:p w14:paraId="58362568" w14:textId="07C2CC3B" w:rsidR="004221AE" w:rsidRPr="004221AE" w:rsidRDefault="004221AE" w:rsidP="00563392">
            <w:pPr>
              <w:pStyle w:val="tabelNummers"/>
              <w:rPr>
                <w:rFonts w:eastAsia="Calibri"/>
              </w:rPr>
            </w:pPr>
            <w:r w:rsidRPr="004221AE">
              <w:rPr>
                <w:rFonts w:eastAsia="Calibri"/>
              </w:rPr>
              <w:t>4</w:t>
            </w:r>
            <w:r w:rsidR="00F84A87">
              <w:rPr>
                <w:rFonts w:eastAsia="Calibri"/>
              </w:rPr>
              <w:t>.</w:t>
            </w:r>
            <w:r w:rsidRPr="004221AE">
              <w:rPr>
                <w:rFonts w:eastAsia="Calibri"/>
              </w:rPr>
              <w:t>445</w:t>
            </w:r>
          </w:p>
        </w:tc>
        <w:tc>
          <w:tcPr>
            <w:tcW w:w="747" w:type="dxa"/>
          </w:tcPr>
          <w:p w14:paraId="3045D95A" w14:textId="350C1064" w:rsidR="004221AE" w:rsidRPr="004221AE" w:rsidRDefault="004221AE" w:rsidP="00563392">
            <w:pPr>
              <w:pStyle w:val="tabelNummers"/>
              <w:rPr>
                <w:rFonts w:eastAsia="Calibri"/>
              </w:rPr>
            </w:pPr>
            <w:r w:rsidRPr="004221AE">
              <w:rPr>
                <w:rFonts w:eastAsia="Calibri"/>
              </w:rPr>
              <w:t>3</w:t>
            </w:r>
            <w:r w:rsidR="00F84A87">
              <w:rPr>
                <w:rFonts w:eastAsia="Calibri"/>
              </w:rPr>
              <w:t>.</w:t>
            </w:r>
            <w:r w:rsidRPr="004221AE">
              <w:rPr>
                <w:rFonts w:eastAsia="Calibri"/>
              </w:rPr>
              <w:t>076</w:t>
            </w:r>
          </w:p>
        </w:tc>
        <w:tc>
          <w:tcPr>
            <w:tcW w:w="984" w:type="dxa"/>
          </w:tcPr>
          <w:p w14:paraId="02B031FB" w14:textId="59E1C1A8" w:rsidR="004221AE" w:rsidRPr="004221AE" w:rsidRDefault="004221AE" w:rsidP="00563392">
            <w:pPr>
              <w:pStyle w:val="tabelNummers"/>
              <w:rPr>
                <w:rFonts w:eastAsia="Calibri"/>
              </w:rPr>
            </w:pPr>
            <w:r w:rsidRPr="004221AE">
              <w:rPr>
                <w:rFonts w:eastAsia="Calibri"/>
              </w:rPr>
              <w:t>17</w:t>
            </w:r>
            <w:r w:rsidR="00F84A87">
              <w:rPr>
                <w:rFonts w:eastAsia="Calibri"/>
              </w:rPr>
              <w:t>.</w:t>
            </w:r>
            <w:r w:rsidRPr="004221AE">
              <w:rPr>
                <w:rFonts w:eastAsia="Calibri"/>
              </w:rPr>
              <w:t>385</w:t>
            </w:r>
          </w:p>
        </w:tc>
        <w:tc>
          <w:tcPr>
            <w:tcW w:w="1060" w:type="dxa"/>
          </w:tcPr>
          <w:p w14:paraId="3C7A2D52" w14:textId="5615DD10" w:rsidR="004221AE" w:rsidRPr="004221AE" w:rsidRDefault="004221AE" w:rsidP="00563392">
            <w:pPr>
              <w:pStyle w:val="tabelNummers"/>
              <w:rPr>
                <w:rFonts w:eastAsia="Calibri"/>
              </w:rPr>
            </w:pPr>
            <w:r w:rsidRPr="004221AE">
              <w:rPr>
                <w:rFonts w:eastAsia="Calibri"/>
              </w:rPr>
              <w:t>4</w:t>
            </w:r>
            <w:r w:rsidR="00F84A87">
              <w:rPr>
                <w:rFonts w:eastAsia="Calibri"/>
              </w:rPr>
              <w:t>.</w:t>
            </w:r>
            <w:r w:rsidRPr="004221AE">
              <w:rPr>
                <w:rFonts w:eastAsia="Calibri"/>
              </w:rPr>
              <w:t>013</w:t>
            </w:r>
          </w:p>
        </w:tc>
        <w:tc>
          <w:tcPr>
            <w:tcW w:w="1005" w:type="dxa"/>
          </w:tcPr>
          <w:p w14:paraId="3629730A" w14:textId="34425D32" w:rsidR="004221AE" w:rsidRPr="004221AE" w:rsidRDefault="004221AE" w:rsidP="00563392">
            <w:pPr>
              <w:pStyle w:val="tabelNummers"/>
              <w:rPr>
                <w:rFonts w:eastAsia="Calibri"/>
              </w:rPr>
            </w:pPr>
            <w:r w:rsidRPr="004221AE">
              <w:rPr>
                <w:rFonts w:eastAsia="Calibri"/>
              </w:rPr>
              <w:t>2</w:t>
            </w:r>
            <w:r w:rsidR="00F84A87">
              <w:rPr>
                <w:rFonts w:eastAsia="Calibri"/>
              </w:rPr>
              <w:t>.</w:t>
            </w:r>
            <w:r w:rsidRPr="004221AE">
              <w:rPr>
                <w:rFonts w:eastAsia="Calibri"/>
              </w:rPr>
              <w:t>883</w:t>
            </w:r>
          </w:p>
        </w:tc>
        <w:tc>
          <w:tcPr>
            <w:tcW w:w="747" w:type="dxa"/>
          </w:tcPr>
          <w:p w14:paraId="6F2F25B7" w14:textId="21781B87" w:rsidR="004221AE" w:rsidRPr="004221AE" w:rsidRDefault="004221AE" w:rsidP="00563392">
            <w:pPr>
              <w:pStyle w:val="tabelNummers"/>
              <w:rPr>
                <w:rFonts w:eastAsia="Calibri"/>
              </w:rPr>
            </w:pPr>
            <w:r w:rsidRPr="004221AE">
              <w:rPr>
                <w:rFonts w:eastAsia="Calibri"/>
              </w:rPr>
              <w:t>1</w:t>
            </w:r>
            <w:r w:rsidR="00F84A87">
              <w:rPr>
                <w:rFonts w:eastAsia="Calibri"/>
              </w:rPr>
              <w:t>.</w:t>
            </w:r>
            <w:r w:rsidRPr="004221AE">
              <w:rPr>
                <w:rFonts w:eastAsia="Calibri"/>
              </w:rPr>
              <w:t>355</w:t>
            </w:r>
          </w:p>
        </w:tc>
        <w:tc>
          <w:tcPr>
            <w:tcW w:w="984" w:type="dxa"/>
          </w:tcPr>
          <w:p w14:paraId="7EC6CA93" w14:textId="3B1CA8BD" w:rsidR="004221AE" w:rsidRPr="004221AE" w:rsidRDefault="004221AE" w:rsidP="00563392">
            <w:pPr>
              <w:pStyle w:val="tabelNummers"/>
              <w:rPr>
                <w:rFonts w:eastAsia="Calibri"/>
              </w:rPr>
            </w:pPr>
            <w:r w:rsidRPr="004221AE">
              <w:rPr>
                <w:rFonts w:eastAsia="Calibri"/>
              </w:rPr>
              <w:t>8</w:t>
            </w:r>
            <w:r w:rsidR="00F84A87">
              <w:rPr>
                <w:rFonts w:eastAsia="Calibri"/>
              </w:rPr>
              <w:t>.</w:t>
            </w:r>
            <w:r w:rsidRPr="004221AE">
              <w:rPr>
                <w:rFonts w:eastAsia="Calibri"/>
              </w:rPr>
              <w:t>853</w:t>
            </w:r>
          </w:p>
        </w:tc>
      </w:tr>
    </w:tbl>
    <w:p w14:paraId="2A10543C" w14:textId="5C3496AF" w:rsidR="004221AE" w:rsidRDefault="004221AE" w:rsidP="00DE08B1">
      <w:pPr>
        <w:jc w:val="left"/>
        <w:rPr>
          <w:rFonts w:eastAsia="Calibri" w:cs="Times New Roman"/>
          <w:color w:val="auto"/>
          <w:szCs w:val="24"/>
        </w:rPr>
      </w:pPr>
    </w:p>
    <w:p w14:paraId="66EEE3C4" w14:textId="04DC1AD3" w:rsidR="00850CCF" w:rsidRPr="004221AE" w:rsidRDefault="00850CCF" w:rsidP="00DE08B1">
      <w:pPr>
        <w:jc w:val="left"/>
        <w:rPr>
          <w:rFonts w:eastAsia="Calibri" w:cs="Times New Roman"/>
          <w:i/>
          <w:color w:val="auto"/>
          <w:szCs w:val="24"/>
        </w:rPr>
      </w:pPr>
      <w:r>
        <w:rPr>
          <w:rFonts w:eastAsia="Calibri" w:cs="Times New Roman"/>
          <w:i/>
          <w:iCs/>
          <w:color w:val="auto"/>
          <w:szCs w:val="24"/>
        </w:rPr>
        <w:t>Tabel 1</w:t>
      </w:r>
      <w:r w:rsidR="00F729EC">
        <w:rPr>
          <w:rFonts w:eastAsia="Calibri" w:cs="Times New Roman"/>
          <w:i/>
          <w:iCs/>
          <w:color w:val="auto"/>
          <w:szCs w:val="24"/>
        </w:rPr>
        <w:t>6</w:t>
      </w:r>
      <w:r w:rsidR="00905CA5">
        <w:rPr>
          <w:rFonts w:eastAsia="Calibri" w:cs="Times New Roman"/>
          <w:color w:val="auto"/>
          <w:szCs w:val="24"/>
        </w:rPr>
        <w:t>:</w:t>
      </w:r>
      <w:r w:rsidRPr="004221AE">
        <w:rPr>
          <w:rFonts w:eastAsia="Calibri" w:cs="Times New Roman"/>
          <w:color w:val="auto"/>
          <w:szCs w:val="24"/>
        </w:rPr>
        <w:t xml:space="preserve"> </w:t>
      </w:r>
      <w:r w:rsidRPr="004221AE">
        <w:rPr>
          <w:rFonts w:eastAsia="Calibri" w:cs="Times New Roman"/>
          <w:i/>
          <w:color w:val="auto"/>
          <w:szCs w:val="24"/>
        </w:rPr>
        <w:t>De Rijnvaartvloot. Type schepen en wijze van voortbeweging (1935)</w:t>
      </w:r>
      <w:r w:rsidRPr="004221AE">
        <w:rPr>
          <w:rFonts w:eastAsia="Calibri" w:cs="Times New Roman"/>
          <w:color w:val="auto"/>
          <w:szCs w:val="24"/>
        </w:rPr>
        <w:t>.</w:t>
      </w:r>
      <w:r w:rsidRPr="004221AE">
        <w:rPr>
          <w:rFonts w:eastAsia="Calibri" w:cs="Times New Roman"/>
          <w:color w:val="auto"/>
          <w:szCs w:val="24"/>
          <w:vertAlign w:val="superscript"/>
        </w:rPr>
        <w:endnoteReference w:id="68"/>
      </w:r>
    </w:p>
    <w:p w14:paraId="47A55F14" w14:textId="548B3D89" w:rsidR="004221AE" w:rsidRDefault="004221AE" w:rsidP="00DE08B1">
      <w:pPr>
        <w:jc w:val="left"/>
        <w:rPr>
          <w:rFonts w:eastAsia="Calibri" w:cs="Times New Roman"/>
          <w:color w:val="auto"/>
          <w:szCs w:val="24"/>
        </w:rPr>
      </w:pPr>
    </w:p>
    <w:p w14:paraId="7CC49E03" w14:textId="77777777" w:rsidR="00A42C3E" w:rsidRPr="004221AE" w:rsidRDefault="00A42C3E" w:rsidP="00DE08B1">
      <w:pPr>
        <w:jc w:val="left"/>
        <w:rPr>
          <w:rFonts w:eastAsia="Calibri" w:cs="Times New Roman"/>
          <w:color w:val="auto"/>
          <w:szCs w:val="24"/>
        </w:rPr>
      </w:pP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1756"/>
        <w:gridCol w:w="1729"/>
        <w:gridCol w:w="1755"/>
        <w:gridCol w:w="1729"/>
      </w:tblGrid>
      <w:tr w:rsidR="004221AE" w:rsidRPr="004221AE" w14:paraId="7CBC7AD1" w14:textId="77777777" w:rsidTr="0062598D">
        <w:tc>
          <w:tcPr>
            <w:tcW w:w="2176" w:type="dxa"/>
            <w:vMerge w:val="restart"/>
          </w:tcPr>
          <w:p w14:paraId="2E3D4E52" w14:textId="77777777" w:rsidR="004221AE" w:rsidRPr="00711B87" w:rsidRDefault="004221AE" w:rsidP="00DE08B1">
            <w:pPr>
              <w:jc w:val="left"/>
              <w:rPr>
                <w:rFonts w:eastAsia="Calibri" w:cs="Times New Roman"/>
                <w:b/>
                <w:color w:val="auto"/>
                <w:sz w:val="20"/>
                <w:szCs w:val="20"/>
              </w:rPr>
            </w:pPr>
            <w:r w:rsidRPr="00711B87">
              <w:rPr>
                <w:rFonts w:eastAsia="Calibri" w:cs="Times New Roman"/>
                <w:b/>
                <w:color w:val="auto"/>
                <w:sz w:val="20"/>
                <w:szCs w:val="20"/>
              </w:rPr>
              <w:t>Nationaliteit</w:t>
            </w:r>
          </w:p>
        </w:tc>
        <w:tc>
          <w:tcPr>
            <w:tcW w:w="3572" w:type="dxa"/>
            <w:gridSpan w:val="2"/>
          </w:tcPr>
          <w:p w14:paraId="00F26148" w14:textId="77777777" w:rsidR="004221AE" w:rsidRPr="00711B87" w:rsidRDefault="004221AE" w:rsidP="00DE08B1">
            <w:pPr>
              <w:jc w:val="left"/>
              <w:rPr>
                <w:rFonts w:eastAsia="Calibri" w:cs="Times New Roman"/>
                <w:b/>
                <w:color w:val="auto"/>
                <w:sz w:val="20"/>
                <w:szCs w:val="20"/>
              </w:rPr>
            </w:pPr>
            <w:r w:rsidRPr="00711B87">
              <w:rPr>
                <w:rFonts w:eastAsia="Calibri" w:cs="Times New Roman"/>
                <w:b/>
                <w:color w:val="auto"/>
                <w:sz w:val="20"/>
                <w:szCs w:val="20"/>
              </w:rPr>
              <w:t>Aantal vaartuigen</w:t>
            </w:r>
          </w:p>
        </w:tc>
        <w:tc>
          <w:tcPr>
            <w:tcW w:w="3572" w:type="dxa"/>
            <w:gridSpan w:val="2"/>
          </w:tcPr>
          <w:p w14:paraId="6D8AB130" w14:textId="5AA41347" w:rsidR="004221AE" w:rsidRPr="00711B87" w:rsidRDefault="004221AE" w:rsidP="00DE08B1">
            <w:pPr>
              <w:jc w:val="left"/>
              <w:rPr>
                <w:rFonts w:eastAsia="Calibri" w:cs="Times New Roman"/>
                <w:b/>
                <w:color w:val="auto"/>
                <w:sz w:val="20"/>
                <w:szCs w:val="20"/>
              </w:rPr>
            </w:pPr>
            <w:r w:rsidRPr="00711B87">
              <w:rPr>
                <w:rFonts w:eastAsia="Calibri" w:cs="Times New Roman"/>
                <w:b/>
                <w:color w:val="auto"/>
                <w:sz w:val="20"/>
                <w:szCs w:val="20"/>
              </w:rPr>
              <w:t>Gezamenlijk laadvermogen                     (x 1</w:t>
            </w:r>
            <w:r w:rsidR="00D63000">
              <w:rPr>
                <w:rFonts w:eastAsia="Calibri" w:cs="Times New Roman"/>
                <w:b/>
                <w:color w:val="auto"/>
                <w:sz w:val="20"/>
                <w:szCs w:val="20"/>
              </w:rPr>
              <w:t>.</w:t>
            </w:r>
            <w:r w:rsidRPr="00711B87">
              <w:rPr>
                <w:rFonts w:eastAsia="Calibri" w:cs="Times New Roman"/>
                <w:b/>
                <w:color w:val="auto"/>
                <w:sz w:val="20"/>
                <w:szCs w:val="20"/>
              </w:rPr>
              <w:t>000 ton)</w:t>
            </w:r>
          </w:p>
        </w:tc>
      </w:tr>
      <w:tr w:rsidR="004221AE" w:rsidRPr="004221AE" w14:paraId="0B577580" w14:textId="77777777" w:rsidTr="0062598D">
        <w:trPr>
          <w:trHeight w:hRule="exact" w:val="284"/>
        </w:trPr>
        <w:tc>
          <w:tcPr>
            <w:tcW w:w="2176" w:type="dxa"/>
            <w:vMerge/>
            <w:tcBorders>
              <w:bottom w:val="single" w:sz="4" w:space="0" w:color="000000"/>
            </w:tcBorders>
          </w:tcPr>
          <w:p w14:paraId="65C09D62" w14:textId="77777777" w:rsidR="004221AE" w:rsidRPr="004221AE" w:rsidRDefault="004221AE" w:rsidP="00DE08B1">
            <w:pPr>
              <w:jc w:val="left"/>
              <w:rPr>
                <w:rFonts w:eastAsia="Calibri" w:cs="Times New Roman"/>
                <w:color w:val="auto"/>
                <w:sz w:val="20"/>
                <w:szCs w:val="20"/>
              </w:rPr>
            </w:pPr>
          </w:p>
        </w:tc>
        <w:tc>
          <w:tcPr>
            <w:tcW w:w="1786" w:type="dxa"/>
            <w:tcBorders>
              <w:bottom w:val="single" w:sz="4" w:space="0" w:color="000000"/>
            </w:tcBorders>
          </w:tcPr>
          <w:p w14:paraId="2962A360"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Particulieren</w:t>
            </w:r>
          </w:p>
        </w:tc>
        <w:tc>
          <w:tcPr>
            <w:tcW w:w="1786" w:type="dxa"/>
            <w:tcBorders>
              <w:bottom w:val="single" w:sz="4" w:space="0" w:color="000000"/>
            </w:tcBorders>
          </w:tcPr>
          <w:p w14:paraId="48226D7F"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Reders</w:t>
            </w:r>
          </w:p>
        </w:tc>
        <w:tc>
          <w:tcPr>
            <w:tcW w:w="1786" w:type="dxa"/>
            <w:tcBorders>
              <w:bottom w:val="single" w:sz="4" w:space="0" w:color="000000"/>
            </w:tcBorders>
          </w:tcPr>
          <w:p w14:paraId="6BCF6FE2"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 xml:space="preserve">Particulieren </w:t>
            </w:r>
          </w:p>
        </w:tc>
        <w:tc>
          <w:tcPr>
            <w:tcW w:w="1786" w:type="dxa"/>
            <w:tcBorders>
              <w:bottom w:val="single" w:sz="4" w:space="0" w:color="000000"/>
            </w:tcBorders>
          </w:tcPr>
          <w:p w14:paraId="10042DA3"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Reders</w:t>
            </w:r>
          </w:p>
        </w:tc>
      </w:tr>
      <w:tr w:rsidR="004221AE" w:rsidRPr="004221AE" w14:paraId="32A8B1E2" w14:textId="77777777" w:rsidTr="0062598D">
        <w:trPr>
          <w:trHeight w:hRule="exact" w:val="284"/>
        </w:trPr>
        <w:tc>
          <w:tcPr>
            <w:tcW w:w="2176" w:type="dxa"/>
            <w:tcBorders>
              <w:bottom w:val="nil"/>
            </w:tcBorders>
          </w:tcPr>
          <w:p w14:paraId="35435437"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Nederland</w:t>
            </w:r>
          </w:p>
        </w:tc>
        <w:tc>
          <w:tcPr>
            <w:tcW w:w="1786" w:type="dxa"/>
            <w:tcBorders>
              <w:bottom w:val="nil"/>
            </w:tcBorders>
          </w:tcPr>
          <w:p w14:paraId="73029BF7" w14:textId="2DF1A033" w:rsidR="004221AE" w:rsidRPr="004221AE" w:rsidRDefault="004221AE" w:rsidP="00D30ED9">
            <w:pPr>
              <w:pStyle w:val="tabelNummers"/>
              <w:rPr>
                <w:rFonts w:eastAsia="Calibri"/>
              </w:rPr>
            </w:pPr>
            <w:r w:rsidRPr="004221AE">
              <w:rPr>
                <w:rFonts w:eastAsia="Calibri"/>
              </w:rPr>
              <w:t>5</w:t>
            </w:r>
            <w:r w:rsidR="005A0FDE">
              <w:rPr>
                <w:rFonts w:eastAsia="Calibri"/>
              </w:rPr>
              <w:t>.</w:t>
            </w:r>
            <w:r w:rsidRPr="004221AE">
              <w:rPr>
                <w:rFonts w:eastAsia="Calibri"/>
              </w:rPr>
              <w:t>198</w:t>
            </w:r>
          </w:p>
        </w:tc>
        <w:tc>
          <w:tcPr>
            <w:tcW w:w="1786" w:type="dxa"/>
            <w:tcBorders>
              <w:bottom w:val="nil"/>
            </w:tcBorders>
          </w:tcPr>
          <w:p w14:paraId="462658B4" w14:textId="77777777" w:rsidR="004221AE" w:rsidRPr="004221AE" w:rsidRDefault="004221AE" w:rsidP="00D30ED9">
            <w:pPr>
              <w:pStyle w:val="tabelNummers"/>
              <w:rPr>
                <w:rFonts w:eastAsia="Calibri"/>
              </w:rPr>
            </w:pPr>
            <w:r w:rsidRPr="004221AE">
              <w:rPr>
                <w:rFonts w:eastAsia="Calibri"/>
              </w:rPr>
              <w:t>872</w:t>
            </w:r>
          </w:p>
        </w:tc>
        <w:tc>
          <w:tcPr>
            <w:tcW w:w="1786" w:type="dxa"/>
            <w:tcBorders>
              <w:bottom w:val="nil"/>
            </w:tcBorders>
          </w:tcPr>
          <w:p w14:paraId="4825C28A" w14:textId="2D5CA058" w:rsidR="004221AE" w:rsidRPr="004221AE" w:rsidRDefault="004221AE" w:rsidP="00D30ED9">
            <w:pPr>
              <w:pStyle w:val="tabelNummers"/>
              <w:rPr>
                <w:rFonts w:eastAsia="Calibri"/>
              </w:rPr>
            </w:pPr>
            <w:r w:rsidRPr="004221AE">
              <w:rPr>
                <w:rFonts w:eastAsia="Calibri"/>
              </w:rPr>
              <w:t>2</w:t>
            </w:r>
            <w:r w:rsidR="005A0FDE">
              <w:rPr>
                <w:rFonts w:eastAsia="Calibri"/>
              </w:rPr>
              <w:t>.</w:t>
            </w:r>
            <w:r w:rsidRPr="004221AE">
              <w:rPr>
                <w:rFonts w:eastAsia="Calibri"/>
              </w:rPr>
              <w:t>642</w:t>
            </w:r>
          </w:p>
        </w:tc>
        <w:tc>
          <w:tcPr>
            <w:tcW w:w="1786" w:type="dxa"/>
            <w:tcBorders>
              <w:bottom w:val="nil"/>
            </w:tcBorders>
          </w:tcPr>
          <w:p w14:paraId="6BA4F71B" w14:textId="0769F3F7" w:rsidR="004221AE" w:rsidRPr="004221AE" w:rsidRDefault="004221AE" w:rsidP="00D30ED9">
            <w:pPr>
              <w:pStyle w:val="tabelNummers"/>
              <w:rPr>
                <w:rFonts w:eastAsia="Calibri"/>
              </w:rPr>
            </w:pPr>
            <w:r w:rsidRPr="004221AE">
              <w:rPr>
                <w:rFonts w:eastAsia="Calibri"/>
              </w:rPr>
              <w:t>1</w:t>
            </w:r>
            <w:r w:rsidR="005A0FDE">
              <w:rPr>
                <w:rFonts w:eastAsia="Calibri"/>
              </w:rPr>
              <w:t>.</w:t>
            </w:r>
            <w:r w:rsidRPr="004221AE">
              <w:rPr>
                <w:rFonts w:eastAsia="Calibri"/>
              </w:rPr>
              <w:t>031</w:t>
            </w:r>
          </w:p>
        </w:tc>
      </w:tr>
      <w:tr w:rsidR="004221AE" w:rsidRPr="004221AE" w14:paraId="3C1A7EE3" w14:textId="77777777" w:rsidTr="0062598D">
        <w:trPr>
          <w:trHeight w:hRule="exact" w:val="284"/>
        </w:trPr>
        <w:tc>
          <w:tcPr>
            <w:tcW w:w="2176" w:type="dxa"/>
            <w:tcBorders>
              <w:top w:val="nil"/>
              <w:bottom w:val="nil"/>
            </w:tcBorders>
          </w:tcPr>
          <w:p w14:paraId="0CBCF44F"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Duitsland</w:t>
            </w:r>
          </w:p>
        </w:tc>
        <w:tc>
          <w:tcPr>
            <w:tcW w:w="1786" w:type="dxa"/>
            <w:tcBorders>
              <w:top w:val="nil"/>
              <w:bottom w:val="nil"/>
            </w:tcBorders>
          </w:tcPr>
          <w:p w14:paraId="47F53FEF" w14:textId="14BFDD77" w:rsidR="004221AE" w:rsidRPr="004221AE" w:rsidRDefault="004221AE" w:rsidP="00D30ED9">
            <w:pPr>
              <w:pStyle w:val="tabelNummers"/>
              <w:rPr>
                <w:rFonts w:eastAsia="Calibri"/>
              </w:rPr>
            </w:pPr>
            <w:r w:rsidRPr="004221AE">
              <w:rPr>
                <w:rFonts w:eastAsia="Calibri"/>
              </w:rPr>
              <w:t>1</w:t>
            </w:r>
            <w:r w:rsidR="005A0FDE">
              <w:rPr>
                <w:rFonts w:eastAsia="Calibri"/>
              </w:rPr>
              <w:t>.</w:t>
            </w:r>
            <w:r w:rsidRPr="004221AE">
              <w:rPr>
                <w:rFonts w:eastAsia="Calibri"/>
              </w:rPr>
              <w:t>870</w:t>
            </w:r>
          </w:p>
        </w:tc>
        <w:tc>
          <w:tcPr>
            <w:tcW w:w="1786" w:type="dxa"/>
            <w:tcBorders>
              <w:top w:val="nil"/>
              <w:bottom w:val="nil"/>
            </w:tcBorders>
          </w:tcPr>
          <w:p w14:paraId="26A2875F" w14:textId="46C5FE58" w:rsidR="004221AE" w:rsidRPr="004221AE" w:rsidRDefault="004221AE" w:rsidP="00D30ED9">
            <w:pPr>
              <w:pStyle w:val="tabelNummers"/>
              <w:rPr>
                <w:rFonts w:eastAsia="Calibri"/>
              </w:rPr>
            </w:pPr>
            <w:r w:rsidRPr="004221AE">
              <w:rPr>
                <w:rFonts w:eastAsia="Calibri"/>
              </w:rPr>
              <w:t>1</w:t>
            </w:r>
            <w:r w:rsidR="005A0FDE">
              <w:rPr>
                <w:rFonts w:eastAsia="Calibri"/>
              </w:rPr>
              <w:t>.</w:t>
            </w:r>
            <w:r w:rsidRPr="004221AE">
              <w:rPr>
                <w:rFonts w:eastAsia="Calibri"/>
              </w:rPr>
              <w:t>325</w:t>
            </w:r>
          </w:p>
        </w:tc>
        <w:tc>
          <w:tcPr>
            <w:tcW w:w="1786" w:type="dxa"/>
            <w:tcBorders>
              <w:top w:val="nil"/>
              <w:bottom w:val="nil"/>
            </w:tcBorders>
          </w:tcPr>
          <w:p w14:paraId="44300F4B" w14:textId="21163E23" w:rsidR="004221AE" w:rsidRPr="004221AE" w:rsidRDefault="004221AE" w:rsidP="00D30ED9">
            <w:pPr>
              <w:pStyle w:val="tabelNummers"/>
              <w:rPr>
                <w:rFonts w:eastAsia="Calibri"/>
              </w:rPr>
            </w:pPr>
            <w:r w:rsidRPr="004221AE">
              <w:rPr>
                <w:rFonts w:eastAsia="Calibri"/>
              </w:rPr>
              <w:t>1</w:t>
            </w:r>
            <w:r w:rsidR="005A0FDE">
              <w:rPr>
                <w:rFonts w:eastAsia="Calibri"/>
              </w:rPr>
              <w:t>.</w:t>
            </w:r>
            <w:r w:rsidRPr="004221AE">
              <w:rPr>
                <w:rFonts w:eastAsia="Calibri"/>
              </w:rPr>
              <w:t>290</w:t>
            </w:r>
          </w:p>
        </w:tc>
        <w:tc>
          <w:tcPr>
            <w:tcW w:w="1786" w:type="dxa"/>
            <w:tcBorders>
              <w:top w:val="nil"/>
              <w:bottom w:val="nil"/>
            </w:tcBorders>
          </w:tcPr>
          <w:p w14:paraId="02C78A8A" w14:textId="245C65AC" w:rsidR="004221AE" w:rsidRPr="004221AE" w:rsidRDefault="004221AE" w:rsidP="00D30ED9">
            <w:pPr>
              <w:pStyle w:val="tabelNummers"/>
              <w:rPr>
                <w:rFonts w:eastAsia="Calibri"/>
              </w:rPr>
            </w:pPr>
            <w:r w:rsidRPr="004221AE">
              <w:rPr>
                <w:rFonts w:eastAsia="Calibri"/>
              </w:rPr>
              <w:t>1</w:t>
            </w:r>
            <w:r w:rsidR="005A0FDE">
              <w:rPr>
                <w:rFonts w:eastAsia="Calibri"/>
              </w:rPr>
              <w:t>.</w:t>
            </w:r>
            <w:r w:rsidRPr="004221AE">
              <w:rPr>
                <w:rFonts w:eastAsia="Calibri"/>
              </w:rPr>
              <w:t>332</w:t>
            </w:r>
          </w:p>
        </w:tc>
      </w:tr>
      <w:tr w:rsidR="004221AE" w:rsidRPr="004221AE" w14:paraId="6E2B9F07" w14:textId="77777777" w:rsidTr="0062598D">
        <w:trPr>
          <w:trHeight w:hRule="exact" w:val="284"/>
        </w:trPr>
        <w:tc>
          <w:tcPr>
            <w:tcW w:w="2176" w:type="dxa"/>
            <w:tcBorders>
              <w:top w:val="nil"/>
            </w:tcBorders>
          </w:tcPr>
          <w:p w14:paraId="5F82B17E" w14:textId="77777777" w:rsidR="004221AE" w:rsidRPr="004221AE" w:rsidRDefault="004221AE" w:rsidP="00DE08B1">
            <w:pPr>
              <w:jc w:val="left"/>
              <w:rPr>
                <w:rFonts w:eastAsia="Calibri" w:cs="Times New Roman"/>
                <w:color w:val="auto"/>
                <w:sz w:val="20"/>
                <w:szCs w:val="20"/>
              </w:rPr>
            </w:pPr>
            <w:r w:rsidRPr="004221AE">
              <w:rPr>
                <w:rFonts w:eastAsia="Calibri" w:cs="Times New Roman"/>
                <w:color w:val="auto"/>
                <w:sz w:val="20"/>
                <w:szCs w:val="20"/>
              </w:rPr>
              <w:t>België</w:t>
            </w:r>
          </w:p>
        </w:tc>
        <w:tc>
          <w:tcPr>
            <w:tcW w:w="1786" w:type="dxa"/>
            <w:tcBorders>
              <w:top w:val="nil"/>
            </w:tcBorders>
          </w:tcPr>
          <w:p w14:paraId="33E01640" w14:textId="44C455F4" w:rsidR="004221AE" w:rsidRPr="004221AE" w:rsidRDefault="004221AE" w:rsidP="00D30ED9">
            <w:pPr>
              <w:pStyle w:val="tabelNummers"/>
              <w:rPr>
                <w:rFonts w:eastAsia="Calibri"/>
              </w:rPr>
            </w:pPr>
            <w:r w:rsidRPr="004221AE">
              <w:rPr>
                <w:rFonts w:eastAsia="Calibri"/>
              </w:rPr>
              <w:t>2</w:t>
            </w:r>
            <w:r w:rsidR="005A0FDE">
              <w:rPr>
                <w:rFonts w:eastAsia="Calibri"/>
              </w:rPr>
              <w:t>.</w:t>
            </w:r>
            <w:r w:rsidRPr="004221AE">
              <w:rPr>
                <w:rFonts w:eastAsia="Calibri"/>
              </w:rPr>
              <w:t>136</w:t>
            </w:r>
          </w:p>
        </w:tc>
        <w:tc>
          <w:tcPr>
            <w:tcW w:w="1786" w:type="dxa"/>
            <w:tcBorders>
              <w:top w:val="nil"/>
            </w:tcBorders>
          </w:tcPr>
          <w:p w14:paraId="36C2692C" w14:textId="77777777" w:rsidR="004221AE" w:rsidRPr="004221AE" w:rsidRDefault="004221AE" w:rsidP="00D30ED9">
            <w:pPr>
              <w:pStyle w:val="tabelNummers"/>
              <w:rPr>
                <w:rFonts w:eastAsia="Calibri"/>
              </w:rPr>
            </w:pPr>
            <w:r w:rsidRPr="004221AE">
              <w:rPr>
                <w:rFonts w:eastAsia="Calibri"/>
              </w:rPr>
              <w:t>450</w:t>
            </w:r>
          </w:p>
        </w:tc>
        <w:tc>
          <w:tcPr>
            <w:tcW w:w="1786" w:type="dxa"/>
            <w:tcBorders>
              <w:top w:val="nil"/>
            </w:tcBorders>
          </w:tcPr>
          <w:p w14:paraId="5B49813E" w14:textId="77777777" w:rsidR="004221AE" w:rsidRPr="004221AE" w:rsidRDefault="004221AE" w:rsidP="00D30ED9">
            <w:pPr>
              <w:pStyle w:val="tabelNummers"/>
              <w:rPr>
                <w:rFonts w:eastAsia="Calibri"/>
              </w:rPr>
            </w:pPr>
            <w:r w:rsidRPr="004221AE">
              <w:rPr>
                <w:rFonts w:eastAsia="Calibri"/>
              </w:rPr>
              <w:t>961</w:t>
            </w:r>
          </w:p>
        </w:tc>
        <w:tc>
          <w:tcPr>
            <w:tcW w:w="1786" w:type="dxa"/>
            <w:tcBorders>
              <w:top w:val="nil"/>
            </w:tcBorders>
          </w:tcPr>
          <w:p w14:paraId="2DF01392" w14:textId="77777777" w:rsidR="004221AE" w:rsidRPr="004221AE" w:rsidRDefault="004221AE" w:rsidP="00D30ED9">
            <w:pPr>
              <w:pStyle w:val="tabelNummers"/>
              <w:rPr>
                <w:rFonts w:eastAsia="Calibri"/>
              </w:rPr>
            </w:pPr>
            <w:r w:rsidRPr="004221AE">
              <w:rPr>
                <w:rFonts w:eastAsia="Calibri"/>
              </w:rPr>
              <w:t>196</w:t>
            </w:r>
          </w:p>
        </w:tc>
      </w:tr>
    </w:tbl>
    <w:p w14:paraId="52150F2C" w14:textId="244914EC" w:rsidR="00FB6EEA" w:rsidRDefault="00FB6EEA" w:rsidP="00DE08B1">
      <w:pPr>
        <w:jc w:val="left"/>
      </w:pPr>
    </w:p>
    <w:p w14:paraId="3D90F6F2" w14:textId="0A0D601B" w:rsidR="00850CCF" w:rsidRPr="004221AE" w:rsidRDefault="00850CCF" w:rsidP="00DE08B1">
      <w:pPr>
        <w:jc w:val="left"/>
        <w:rPr>
          <w:rFonts w:eastAsia="Calibri" w:cs="Times New Roman"/>
          <w:color w:val="auto"/>
          <w:szCs w:val="24"/>
        </w:rPr>
      </w:pPr>
      <w:r>
        <w:rPr>
          <w:rFonts w:eastAsia="Calibri" w:cs="Times New Roman"/>
          <w:i/>
          <w:iCs/>
          <w:color w:val="auto"/>
          <w:szCs w:val="24"/>
        </w:rPr>
        <w:t>Tabel 1</w:t>
      </w:r>
      <w:r w:rsidR="00F729EC">
        <w:rPr>
          <w:rFonts w:eastAsia="Calibri" w:cs="Times New Roman"/>
          <w:i/>
          <w:iCs/>
          <w:color w:val="auto"/>
          <w:szCs w:val="24"/>
        </w:rPr>
        <w:t>7</w:t>
      </w:r>
      <w:r w:rsidR="00905CA5">
        <w:rPr>
          <w:rFonts w:eastAsia="Calibri" w:cs="Times New Roman"/>
          <w:i/>
          <w:iCs/>
          <w:color w:val="auto"/>
          <w:szCs w:val="24"/>
        </w:rPr>
        <w:t>:</w:t>
      </w:r>
      <w:r>
        <w:rPr>
          <w:rFonts w:eastAsia="Calibri" w:cs="Times New Roman"/>
          <w:i/>
          <w:iCs/>
          <w:color w:val="auto"/>
          <w:szCs w:val="24"/>
        </w:rPr>
        <w:t xml:space="preserve"> </w:t>
      </w:r>
      <w:r w:rsidRPr="004221AE">
        <w:rPr>
          <w:rFonts w:eastAsia="Calibri" w:cs="Times New Roman"/>
          <w:i/>
          <w:color w:val="auto"/>
          <w:szCs w:val="24"/>
        </w:rPr>
        <w:t>De Rijn</w:t>
      </w:r>
      <w:r>
        <w:rPr>
          <w:rFonts w:eastAsia="Calibri" w:cs="Times New Roman"/>
          <w:i/>
          <w:color w:val="auto"/>
          <w:szCs w:val="24"/>
        </w:rPr>
        <w:t>vaart</w:t>
      </w:r>
      <w:r w:rsidRPr="004221AE">
        <w:rPr>
          <w:rFonts w:eastAsia="Calibri" w:cs="Times New Roman"/>
          <w:i/>
          <w:color w:val="auto"/>
          <w:szCs w:val="24"/>
        </w:rPr>
        <w:t>vloot. Eigendom van de vaartuigen (1937).</w:t>
      </w:r>
      <w:r w:rsidRPr="004221AE">
        <w:rPr>
          <w:rFonts w:eastAsia="Calibri" w:cs="Times New Roman"/>
          <w:color w:val="auto"/>
          <w:szCs w:val="24"/>
          <w:vertAlign w:val="superscript"/>
        </w:rPr>
        <w:endnoteReference w:id="69"/>
      </w:r>
    </w:p>
    <w:p w14:paraId="22B455A9" w14:textId="77777777" w:rsidR="00850CCF" w:rsidRDefault="00850CCF" w:rsidP="00DE08B1">
      <w:pPr>
        <w:jc w:val="left"/>
      </w:pPr>
    </w:p>
    <w:p w14:paraId="6F9AF4C3" w14:textId="77777777" w:rsidR="00080D08" w:rsidRDefault="00030E5C" w:rsidP="00DE08B1">
      <w:pPr>
        <w:jc w:val="left"/>
      </w:pPr>
      <w:r>
        <w:t xml:space="preserve"> </w:t>
      </w:r>
    </w:p>
    <w:p w14:paraId="03605649" w14:textId="1318845E" w:rsidR="0049070C" w:rsidRDefault="00080D08" w:rsidP="00080D08">
      <w:pPr>
        <w:pStyle w:val="Heading2"/>
        <w:jc w:val="left"/>
      </w:pPr>
      <w:r>
        <w:t>7 De vloot na de Tweede Wereldoorlog</w:t>
      </w:r>
      <w:r w:rsidR="005F1588">
        <w:br/>
      </w:r>
    </w:p>
    <w:p w14:paraId="1C91C381" w14:textId="710205B7" w:rsidR="00FB6EEA" w:rsidRDefault="00FB6EEA" w:rsidP="00DE08B1">
      <w:pPr>
        <w:jc w:val="left"/>
      </w:pPr>
      <w:r>
        <w:t xml:space="preserve">De Tweede Wereldoorlog had voor de Nederlandse </w:t>
      </w:r>
      <w:r w:rsidR="00C15F62">
        <w:t xml:space="preserve">vloot </w:t>
      </w:r>
      <w:r>
        <w:t>ingrijpende gevolgen. In 1942 bestond de vloot uit 19.905 vrachtschepen met een gezamenlijk laadvermogen van 4,7 miljoen ton. Begin 1946 waren er nog 13.129 vaartuigen met een laadvermogen van 2</w:t>
      </w:r>
      <w:r w:rsidR="005E1E18">
        <w:t>,</w:t>
      </w:r>
      <w:r>
        <w:t xml:space="preserve">7 miljoen ton over. </w:t>
      </w:r>
      <w:r w:rsidR="00E10249">
        <w:t xml:space="preserve">Tegelijkertijd </w:t>
      </w:r>
      <w:r w:rsidR="00A42C3E">
        <w:t xml:space="preserve">was </w:t>
      </w:r>
      <w:r>
        <w:t>het aantal sleepboten van 2102 naar 1</w:t>
      </w:r>
      <w:r w:rsidR="00BD6EBF">
        <w:t>.</w:t>
      </w:r>
      <w:r>
        <w:t>388</w:t>
      </w:r>
      <w:r w:rsidR="00A42C3E">
        <w:t xml:space="preserve"> teruggelopen</w:t>
      </w:r>
      <w:r>
        <w:t xml:space="preserve">. Het verlies bestond vooral uit moderne, kostbare Rijnschepen, zoals tankschepen, schepen voor bijzondere doeleinden, moderne sleepschepen en grote motorschepen. Van de 47 grootste sleepboten met een vermogen van meer dan 500 pk waren na de oorlog </w:t>
      </w:r>
      <w:r w:rsidR="00E10249">
        <w:t xml:space="preserve">nog </w:t>
      </w:r>
      <w:r w:rsidR="005E1E18">
        <w:t xml:space="preserve">vijf </w:t>
      </w:r>
      <w:r w:rsidR="00A42C3E">
        <w:t>beschikbaar</w:t>
      </w:r>
      <w:r>
        <w:t>.</w:t>
      </w:r>
      <w:r>
        <w:rPr>
          <w:rStyle w:val="EndnoteReference"/>
        </w:rPr>
        <w:endnoteReference w:id="70"/>
      </w:r>
      <w:r>
        <w:t xml:space="preserve"> </w:t>
      </w:r>
    </w:p>
    <w:p w14:paraId="56767EAA" w14:textId="08B5521E" w:rsidR="009838EC" w:rsidRPr="00572D0C" w:rsidRDefault="00094776" w:rsidP="00572D0C">
      <w:pPr>
        <w:jc w:val="left"/>
        <w:rPr>
          <w:rFonts w:ascii="Calibri" w:eastAsia="Times New Roman" w:hAnsi="Calibri" w:cs="Calibri"/>
          <w:color w:val="FF0000"/>
          <w:szCs w:val="24"/>
          <w:shd w:val="clear" w:color="auto" w:fill="FFFFFF"/>
          <w:lang w:eastAsia="nl-NL"/>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A86F01">
        <w:rPr>
          <w:rFonts w:eastAsia="Times New Roman" w:cs="Times New Roman"/>
          <w:color w:val="FF0000"/>
          <w:szCs w:val="24"/>
          <w:lang w:eastAsia="nl-NL"/>
        </w:rPr>
        <w:t>3</w:t>
      </w:r>
      <w:r w:rsidR="003C70A6">
        <w:rPr>
          <w:rFonts w:eastAsia="Times New Roman" w:cs="Times New Roman"/>
          <w:color w:val="FF0000"/>
          <w:szCs w:val="24"/>
          <w:lang w:eastAsia="nl-NL"/>
        </w:rPr>
        <w:t>0</w:t>
      </w:r>
      <w:r w:rsidR="00A86F01">
        <w:rPr>
          <w:rFonts w:eastAsia="Times New Roman" w:cs="Times New Roman"/>
          <w:color w:val="FF0000"/>
          <w:szCs w:val="24"/>
          <w:lang w:eastAsia="nl-NL"/>
        </w:rPr>
        <w:t>-</w:t>
      </w:r>
      <w:r>
        <w:rPr>
          <w:rFonts w:eastAsia="Times New Roman" w:cs="Times New Roman"/>
          <w:color w:val="FF0000"/>
          <w:szCs w:val="24"/>
          <w:lang w:eastAsia="nl-NL"/>
        </w:rPr>
        <w:t>25</w:t>
      </w:r>
      <w:r w:rsidR="00B14305">
        <w:rPr>
          <w:rFonts w:eastAsia="Times New Roman" w:cs="Times New Roman"/>
          <w:color w:val="FF0000"/>
          <w:szCs w:val="24"/>
          <w:lang w:eastAsia="nl-NL"/>
        </w:rPr>
        <w:t>a</w:t>
      </w:r>
      <w:r>
        <w:rPr>
          <w:rFonts w:eastAsia="Times New Roman" w:cs="Times New Roman"/>
          <w:color w:val="FF0000"/>
          <w:szCs w:val="24"/>
          <w:lang w:eastAsia="nl-NL"/>
        </w:rPr>
        <w:t>_</w:t>
      </w:r>
      <w:r w:rsidR="00B14305">
        <w:rPr>
          <w:rFonts w:cstheme="minorHAnsi"/>
          <w:color w:val="FF0000"/>
        </w:rPr>
        <w:t>Maasbracht</w:t>
      </w:r>
      <w:r w:rsidR="003E767D">
        <w:rPr>
          <w:rFonts w:cstheme="minorHAnsi"/>
          <w:color w:val="FF0000"/>
        </w:rPr>
        <w:t>3118</w:t>
      </w:r>
      <w:r>
        <w:rPr>
          <w:rFonts w:cstheme="minorHAnsi"/>
          <w:color w:val="FF0000"/>
        </w:rPr>
        <w:t>.</w:t>
      </w:r>
      <w:r w:rsidR="003E767D">
        <w:rPr>
          <w:rFonts w:cstheme="minorHAnsi"/>
          <w:color w:val="FF0000"/>
        </w:rPr>
        <w:t>JPG</w:t>
      </w:r>
      <w:r w:rsidRPr="005211BE">
        <w:rPr>
          <w:rFonts w:cstheme="minorHAnsi"/>
          <w:color w:val="FF0000"/>
        </w:rPr>
        <w:t>]]]</w:t>
      </w:r>
      <w:r w:rsidR="00CF0DFB">
        <w:rPr>
          <w:rFonts w:cstheme="minorHAnsi"/>
          <w:color w:val="FF0000"/>
        </w:rPr>
        <w:t xml:space="preserve"> </w:t>
      </w:r>
      <w:r w:rsidR="00CF0DFB" w:rsidRPr="005211BE">
        <w:rPr>
          <w:rFonts w:eastAsia="Times New Roman" w:cs="Times New Roman"/>
          <w:color w:val="FF0000"/>
          <w:szCs w:val="24"/>
          <w:lang w:eastAsia="nl-NL"/>
        </w:rPr>
        <w:t>[[[</w:t>
      </w:r>
      <w:r w:rsidR="00A86F01">
        <w:rPr>
          <w:rFonts w:eastAsia="Times New Roman" w:cs="Times New Roman"/>
          <w:color w:val="FF0000"/>
          <w:szCs w:val="24"/>
          <w:lang w:eastAsia="nl-NL"/>
        </w:rPr>
        <w:t>31-</w:t>
      </w:r>
      <w:r w:rsidR="00CF0DFB">
        <w:rPr>
          <w:rFonts w:eastAsia="Times New Roman" w:cs="Times New Roman"/>
          <w:color w:val="FF0000"/>
          <w:szCs w:val="24"/>
          <w:lang w:eastAsia="nl-NL"/>
        </w:rPr>
        <w:t>25</w:t>
      </w:r>
      <w:r w:rsidR="00B14305">
        <w:rPr>
          <w:rFonts w:eastAsia="Times New Roman" w:cs="Times New Roman"/>
          <w:color w:val="FF0000"/>
          <w:szCs w:val="24"/>
          <w:lang w:eastAsia="nl-NL"/>
        </w:rPr>
        <w:t>b</w:t>
      </w:r>
      <w:r w:rsidR="00CF0DFB">
        <w:rPr>
          <w:rFonts w:eastAsia="Times New Roman" w:cs="Times New Roman"/>
          <w:color w:val="FF0000"/>
          <w:szCs w:val="24"/>
          <w:lang w:eastAsia="nl-NL"/>
        </w:rPr>
        <w:t>_</w:t>
      </w:r>
      <w:r w:rsidR="00CF0DFB">
        <w:rPr>
          <w:rFonts w:cstheme="minorHAnsi"/>
          <w:color w:val="FF0000"/>
        </w:rPr>
        <w:t>Maasbracht</w:t>
      </w:r>
      <w:r w:rsidR="003E767D">
        <w:rPr>
          <w:rFonts w:cstheme="minorHAnsi"/>
          <w:color w:val="FF0000"/>
        </w:rPr>
        <w:t>3074.JPG</w:t>
      </w:r>
      <w:r w:rsidR="00CF0DFB"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r w:rsidR="00CF0DFB">
        <w:rPr>
          <w:rFonts w:ascii="Calibri" w:eastAsia="Times New Roman" w:hAnsi="Calibri" w:cs="Calibri"/>
          <w:color w:val="FF0000"/>
          <w:szCs w:val="24"/>
          <w:shd w:val="clear" w:color="auto" w:fill="FFFFFF"/>
          <w:lang w:eastAsia="nl-NL"/>
        </w:rPr>
        <w:t xml:space="preserve">  </w:t>
      </w:r>
    </w:p>
    <w:p w14:paraId="1F05F2BF" w14:textId="1B7FA402" w:rsidR="00FB6EEA" w:rsidRDefault="00094776" w:rsidP="005E1E18">
      <w:pPr>
        <w:jc w:val="left"/>
      </w:pPr>
      <w:r>
        <w:lastRenderedPageBreak/>
        <w:t xml:space="preserve"> </w:t>
      </w:r>
      <w:r>
        <w:tab/>
      </w:r>
      <w:r w:rsidR="00FB6EEA">
        <w:t xml:space="preserve">Na de oorlog waren duizenden schepen zoek. </w:t>
      </w:r>
      <w:r w:rsidR="00E10249">
        <w:t xml:space="preserve">Talrijke </w:t>
      </w:r>
      <w:r w:rsidR="00EF29C9">
        <w:t>vaartuigen</w:t>
      </w:r>
      <w:r w:rsidR="00E10249">
        <w:t xml:space="preserve">, </w:t>
      </w:r>
      <w:r w:rsidR="00FB6EEA">
        <w:t>verspreid over het hele land</w:t>
      </w:r>
      <w:r w:rsidR="00E10249">
        <w:t xml:space="preserve">, waren </w:t>
      </w:r>
      <w:r w:rsidR="00FB6EEA">
        <w:t>gezonken, uitgebrand of zwaar beschadigd.</w:t>
      </w:r>
      <w:r w:rsidR="00EF29C9">
        <w:t xml:space="preserve"> Andere waren tijdens hun laatste </w:t>
      </w:r>
      <w:r w:rsidR="007866B4">
        <w:t>reis</w:t>
      </w:r>
      <w:r w:rsidR="00EF29C9">
        <w:t xml:space="preserve"> in Duitsland gestrand</w:t>
      </w:r>
      <w:r w:rsidR="007866B4">
        <w:t xml:space="preserve"> of ve</w:t>
      </w:r>
      <w:r w:rsidR="00E97698">
        <w:t>r</w:t>
      </w:r>
      <w:r w:rsidR="007866B4">
        <w:t>nietigd</w:t>
      </w:r>
      <w:r w:rsidR="00EF29C9">
        <w:t xml:space="preserve">. </w:t>
      </w:r>
      <w:r w:rsidR="00FB6EEA">
        <w:t>Daarnaast hadden de Duitsers tijdens de oorlog 2</w:t>
      </w:r>
      <w:r w:rsidR="000C2756">
        <w:t>.</w:t>
      </w:r>
      <w:r w:rsidR="00FB6EEA">
        <w:t xml:space="preserve">375 schepen </w:t>
      </w:r>
      <w:r w:rsidR="00EF29C9">
        <w:t xml:space="preserve">in beslag genomen en </w:t>
      </w:r>
      <w:r w:rsidR="00FB6EEA">
        <w:t xml:space="preserve">over de grens weggevoerd, het merendeel naar Duitsland, enkele tot in de Zwarte Zee. </w:t>
      </w:r>
      <w:r w:rsidR="00E10249">
        <w:t xml:space="preserve">Een groot deel hiervan </w:t>
      </w:r>
      <w:r w:rsidR="00FB6EEA">
        <w:t>was gezonken of zwaar bescha</w:t>
      </w:r>
      <w:r w:rsidR="00FB6EEA">
        <w:softHyphen/>
        <w:t>digd. Meteen na de oorlog sloegen het bedrijfsleven en de overheid de handen ineen om de zoekgeraakte, beschadigde vaartuigen op te sporen, terug te brengen en te herstellen. Uiteindelijk lukte het om 2</w:t>
      </w:r>
      <w:r w:rsidR="009E5B61">
        <w:t>.</w:t>
      </w:r>
      <w:r w:rsidR="00FB6EEA">
        <w:t xml:space="preserve">549 vaartuigen, vaak in desastreuze staat, weer naar Nederland te krijgen, waar ze werden hersteld. In 1951 kwamen de laatste uit de Russische bezettingszone van Duitsland retour. De eigenaren van beschadigde of vernietigde vaartuigen ontvingen van de regering een schadevergoeding. In 1950 vertoonde de Nederlandse vloot </w:t>
      </w:r>
      <w:r w:rsidR="007866B4">
        <w:t xml:space="preserve">een soortgelijke </w:t>
      </w:r>
      <w:r w:rsidR="00FB6EEA">
        <w:t>samenstelling als vóór de Tweede Wereldoorlog.</w:t>
      </w:r>
      <w:r w:rsidR="00FB6EEA">
        <w:rPr>
          <w:rStyle w:val="EndnoteReference"/>
        </w:rPr>
        <w:endnoteReference w:id="71"/>
      </w:r>
    </w:p>
    <w:p w14:paraId="0AD2A6F6" w14:textId="006896BE" w:rsidR="00E66293" w:rsidRDefault="00E66293" w:rsidP="005E1E18">
      <w:pPr>
        <w:jc w:val="left"/>
        <w:rPr>
          <w:rFonts w:ascii="Calibri" w:eastAsia="Times New Roman" w:hAnsi="Calibri" w:cs="Calibri"/>
          <w:color w:val="FF0000"/>
          <w:szCs w:val="24"/>
          <w:shd w:val="clear" w:color="auto" w:fill="FFFFFF"/>
          <w:lang w:eastAsia="nl-NL"/>
        </w:rPr>
      </w:pPr>
      <w:r w:rsidRPr="00E66293">
        <w:rPr>
          <w:rFonts w:ascii="Calibri" w:eastAsia="Times New Roman" w:hAnsi="Calibri" w:cs="Calibri"/>
          <w:color w:val="FF0000"/>
          <w:szCs w:val="24"/>
          <w:shd w:val="clear" w:color="auto" w:fill="FFFFFF"/>
          <w:lang w:eastAsia="nl-NL"/>
        </w:rPr>
        <w:t>@i@</w:t>
      </w:r>
      <w:r w:rsidRPr="00E66293">
        <w:rPr>
          <w:color w:val="FF0000"/>
        </w:rPr>
        <w:t>[[[</w:t>
      </w:r>
      <w:r w:rsidR="00B7342F">
        <w:rPr>
          <w:color w:val="FF0000"/>
        </w:rPr>
        <w:t>32-</w:t>
      </w:r>
      <w:r w:rsidRPr="00E66293">
        <w:rPr>
          <w:color w:val="FF0000"/>
        </w:rPr>
        <w:t>25</w:t>
      </w:r>
      <w:r>
        <w:rPr>
          <w:color w:val="FF0000"/>
        </w:rPr>
        <w:t>c</w:t>
      </w:r>
      <w:r w:rsidRPr="00E66293">
        <w:rPr>
          <w:color w:val="FF0000"/>
        </w:rPr>
        <w:t>_d</w:t>
      </w:r>
      <w:r w:rsidR="00D438FC">
        <w:rPr>
          <w:color w:val="FF0000"/>
        </w:rPr>
        <w:t>ezeLimburgschDagblad</w:t>
      </w:r>
      <w:r w:rsidRPr="00E66293">
        <w:rPr>
          <w:color w:val="FF0000"/>
        </w:rPr>
        <w:t>21-10-1944.jpg]]]</w:t>
      </w:r>
      <w:r w:rsidRPr="00E66293">
        <w:rPr>
          <w:rFonts w:ascii="Calibri" w:eastAsia="Times New Roman" w:hAnsi="Calibri" w:cs="Calibri"/>
          <w:color w:val="FF0000"/>
          <w:szCs w:val="24"/>
          <w:shd w:val="clear" w:color="auto" w:fill="FFFFFF"/>
          <w:lang w:eastAsia="nl-NL"/>
        </w:rPr>
        <w:t xml:space="preserve">@/i@​  </w:t>
      </w:r>
    </w:p>
    <w:p w14:paraId="6523E947" w14:textId="2AFAD7E8" w:rsidR="0075254D" w:rsidRDefault="0075254D" w:rsidP="0075254D">
      <w:pPr>
        <w:rPr>
          <w:rFonts w:ascii="Calibri" w:eastAsia="Times New Roman" w:hAnsi="Calibri" w:cs="Calibri"/>
          <w:color w:val="FF0000"/>
          <w:szCs w:val="24"/>
          <w:shd w:val="clear" w:color="auto" w:fill="FFFFFF"/>
          <w:lang w:eastAsia="nl-NL"/>
        </w:rPr>
      </w:pPr>
      <w:r w:rsidRPr="00E66293">
        <w:rPr>
          <w:rFonts w:ascii="Calibri" w:eastAsia="Times New Roman" w:hAnsi="Calibri" w:cs="Calibri"/>
          <w:color w:val="FF0000"/>
          <w:szCs w:val="24"/>
          <w:shd w:val="clear" w:color="auto" w:fill="FFFFFF"/>
          <w:lang w:eastAsia="nl-NL"/>
        </w:rPr>
        <w:t>@i@</w:t>
      </w:r>
      <w:r w:rsidRPr="00E66293">
        <w:rPr>
          <w:color w:val="FF0000"/>
        </w:rPr>
        <w:t>[[[</w:t>
      </w:r>
      <w:r>
        <w:rPr>
          <w:color w:val="FF0000"/>
        </w:rPr>
        <w:t>33-49_defspoorbrug.</w:t>
      </w:r>
      <w:r w:rsidRPr="00E66293">
        <w:rPr>
          <w:color w:val="FF0000"/>
        </w:rPr>
        <w:t>jpg]]]</w:t>
      </w:r>
      <w:r w:rsidRPr="00E66293">
        <w:rPr>
          <w:rFonts w:ascii="Calibri" w:eastAsia="Times New Roman" w:hAnsi="Calibri" w:cs="Calibri"/>
          <w:color w:val="FF0000"/>
          <w:szCs w:val="24"/>
          <w:shd w:val="clear" w:color="auto" w:fill="FFFFFF"/>
          <w:lang w:eastAsia="nl-NL"/>
        </w:rPr>
        <w:t xml:space="preserve">@/i@​  </w:t>
      </w:r>
    </w:p>
    <w:p w14:paraId="63CB359C" w14:textId="77777777" w:rsidR="00A87322" w:rsidRDefault="00A87322" w:rsidP="0075254D">
      <w:pPr>
        <w:rPr>
          <w:rFonts w:ascii="Calibri" w:eastAsia="Times New Roman" w:hAnsi="Calibri" w:cs="Calibri"/>
          <w:color w:val="FF0000"/>
          <w:szCs w:val="24"/>
          <w:shd w:val="clear" w:color="auto" w:fill="FFFFFF"/>
          <w:lang w:eastAsia="nl-NL"/>
        </w:rPr>
      </w:pPr>
    </w:p>
    <w:p w14:paraId="3A0A057C" w14:textId="77777777" w:rsidR="00A87322" w:rsidRPr="0075254D" w:rsidRDefault="00A87322" w:rsidP="0075254D">
      <w:pPr>
        <w:rPr>
          <w:color w:val="FF0000"/>
          <w:highlight w:val="green"/>
        </w:rPr>
      </w:pPr>
    </w:p>
    <w:p w14:paraId="05D8523C" w14:textId="1D73D13F" w:rsidR="00850CCF" w:rsidRDefault="00850CCF" w:rsidP="0063778F">
      <w:pPr>
        <w:pStyle w:val="Heading2"/>
      </w:pPr>
      <w:r>
        <w:t xml:space="preserve">Het verdwijnen van de kleine schepen en de sleepvaart  </w:t>
      </w:r>
    </w:p>
    <w:p w14:paraId="56D78ADB" w14:textId="65AED992" w:rsidR="00850CCF" w:rsidRDefault="0063778F" w:rsidP="00DE08B1">
      <w:pPr>
        <w:jc w:val="left"/>
      </w:pPr>
      <w:r>
        <w:br/>
      </w:r>
      <w:r w:rsidR="00850CCF">
        <w:t>In 1950 bestond de vloot uit 17.055 binnenschepen met een gemiddeld laadvermogen van 245 ton. Hieronder waren bijna 8</w:t>
      </w:r>
      <w:r w:rsidR="00C3248D">
        <w:t>.</w:t>
      </w:r>
      <w:r w:rsidR="00850CCF">
        <w:t xml:space="preserve">000 kleine vaartuigen met een laadvermogen van minder dan 100 ton, die vooral het vervoer op </w:t>
      </w:r>
      <w:r w:rsidR="007866B4">
        <w:t xml:space="preserve">de </w:t>
      </w:r>
      <w:r w:rsidR="00850CCF">
        <w:t xml:space="preserve">kleine vaarwegen verzorgden en voor hun voortstuwing vaak van windkracht, opduwers of zijschroeven gebruikmaakten. </w:t>
      </w:r>
      <w:r w:rsidR="00E97698">
        <w:t>S</w:t>
      </w:r>
      <w:r w:rsidR="00850CCF">
        <w:t xml:space="preserve">poedig bleek dat deze </w:t>
      </w:r>
      <w:r w:rsidR="00F14460">
        <w:t xml:space="preserve">schepen </w:t>
      </w:r>
      <w:r w:rsidR="00850CCF">
        <w:t>de concurrentie tegen de vracht</w:t>
      </w:r>
      <w:r w:rsidR="00E97698">
        <w:t xml:space="preserve">auto </w:t>
      </w:r>
      <w:r w:rsidR="00850CCF">
        <w:t xml:space="preserve">niet langer konden volhouden. Twintig jaar later waren ze verdwenen. Daarmee eindigde </w:t>
      </w:r>
      <w:r w:rsidR="007866B4">
        <w:t xml:space="preserve">de zeilvaart </w:t>
      </w:r>
      <w:r w:rsidR="00850CCF">
        <w:t xml:space="preserve">in het goederenvervoer. Voor veel schippers betekende </w:t>
      </w:r>
      <w:r w:rsidR="007866B4">
        <w:t xml:space="preserve">dit </w:t>
      </w:r>
      <w:r w:rsidR="00850CCF">
        <w:t>een sociaal drama.</w:t>
      </w:r>
      <w:r w:rsidR="00850CCF">
        <w:rPr>
          <w:rStyle w:val="EndnoteReference"/>
        </w:rPr>
        <w:endnoteReference w:id="72"/>
      </w:r>
      <w:r w:rsidR="00850CCF">
        <w:t xml:space="preserve"> </w:t>
      </w:r>
    </w:p>
    <w:p w14:paraId="1429128B" w14:textId="2CF9395A" w:rsidR="00FB24DB" w:rsidRPr="00134E84" w:rsidRDefault="00134E84" w:rsidP="00134E84">
      <w:pPr>
        <w:jc w:val="left"/>
      </w:pPr>
      <w:r w:rsidRPr="00E66293">
        <w:rPr>
          <w:rFonts w:ascii="Calibri" w:eastAsia="Times New Roman" w:hAnsi="Calibri" w:cs="Calibri"/>
          <w:color w:val="FF0000"/>
          <w:szCs w:val="24"/>
          <w:shd w:val="clear" w:color="auto" w:fill="FFFFFF"/>
          <w:lang w:eastAsia="nl-NL"/>
        </w:rPr>
        <w:t>@i@</w:t>
      </w:r>
      <w:r w:rsidRPr="00E66293">
        <w:rPr>
          <w:color w:val="FF0000"/>
        </w:rPr>
        <w:t>[[[</w:t>
      </w:r>
      <w:r>
        <w:rPr>
          <w:color w:val="FF0000"/>
        </w:rPr>
        <w:t>34-</w:t>
      </w:r>
      <w:r w:rsidRPr="007C1EDD">
        <w:rPr>
          <w:color w:val="FF0000"/>
        </w:rPr>
        <w:t>56_Suikerbietencampagne</w:t>
      </w:r>
      <w:r>
        <w:rPr>
          <w:color w:val="FF0000"/>
        </w:rPr>
        <w:t>.jpg</w:t>
      </w:r>
      <w:r w:rsidRPr="00E66293">
        <w:rPr>
          <w:color w:val="FF0000"/>
        </w:rPr>
        <w:t>]]]</w:t>
      </w:r>
      <w:r w:rsidRPr="00E66293">
        <w:rPr>
          <w:rFonts w:ascii="Calibri" w:eastAsia="Times New Roman" w:hAnsi="Calibri" w:cs="Calibri"/>
          <w:color w:val="FF0000"/>
          <w:szCs w:val="24"/>
          <w:shd w:val="clear" w:color="auto" w:fill="FFFFFF"/>
          <w:lang w:eastAsia="nl-NL"/>
        </w:rPr>
        <w:t xml:space="preserve">@/i@​  </w:t>
      </w:r>
    </w:p>
    <w:p w14:paraId="29E17C9C" w14:textId="77777777" w:rsidR="00B13894" w:rsidRDefault="004471CF" w:rsidP="008E28EE">
      <w:pPr>
        <w:jc w:val="left"/>
        <w:rPr>
          <w:rFonts w:ascii="Calibri" w:eastAsia="Times New Roman" w:hAnsi="Calibri" w:cs="Calibri"/>
          <w:color w:val="FF0000"/>
          <w:szCs w:val="24"/>
          <w:shd w:val="clear" w:color="auto" w:fill="FFFFFF"/>
          <w:lang w:eastAsia="nl-NL"/>
        </w:rPr>
      </w:pPr>
      <w:r w:rsidRPr="00E66293">
        <w:rPr>
          <w:rFonts w:ascii="Calibri" w:eastAsia="Times New Roman" w:hAnsi="Calibri" w:cs="Calibri"/>
          <w:color w:val="FF0000"/>
          <w:szCs w:val="24"/>
          <w:shd w:val="clear" w:color="auto" w:fill="FFFFFF"/>
          <w:lang w:eastAsia="nl-NL"/>
        </w:rPr>
        <w:t>@i@</w:t>
      </w:r>
      <w:r w:rsidRPr="00E66293">
        <w:rPr>
          <w:color w:val="FF0000"/>
        </w:rPr>
        <w:t>[[[</w:t>
      </w:r>
      <w:r>
        <w:rPr>
          <w:bCs/>
          <w:color w:val="FF0000"/>
        </w:rPr>
        <w:t>35-</w:t>
      </w:r>
      <w:r w:rsidRPr="00337B08">
        <w:rPr>
          <w:bCs/>
          <w:color w:val="FF0000"/>
        </w:rPr>
        <w:t>16_GoedeVerwachting.jpg</w:t>
      </w:r>
      <w:r w:rsidRPr="00E66293">
        <w:rPr>
          <w:color w:val="FF0000"/>
        </w:rPr>
        <w:t>]]]</w:t>
      </w:r>
      <w:r w:rsidRPr="00E66293">
        <w:rPr>
          <w:rFonts w:ascii="Calibri" w:eastAsia="Times New Roman" w:hAnsi="Calibri" w:cs="Calibri"/>
          <w:color w:val="FF0000"/>
          <w:szCs w:val="24"/>
          <w:shd w:val="clear" w:color="auto" w:fill="FFFFFF"/>
          <w:lang w:eastAsia="nl-NL"/>
        </w:rPr>
        <w:t>@/i@​</w:t>
      </w:r>
    </w:p>
    <w:p w14:paraId="6AA01148" w14:textId="4F381505" w:rsidR="00B13894" w:rsidRPr="00B23E7E" w:rsidRDefault="00B13894" w:rsidP="00862D0D">
      <w:pPr>
        <w:jc w:val="left"/>
        <w:rPr>
          <w:rFonts w:ascii="Calibri" w:eastAsia="Times New Roman" w:hAnsi="Calibri" w:cs="Calibri"/>
          <w:color w:val="FF0000"/>
          <w:szCs w:val="24"/>
          <w:shd w:val="clear" w:color="auto" w:fill="FFFFFF"/>
          <w:lang w:eastAsia="nl-NL"/>
        </w:rPr>
      </w:pPr>
      <w:r w:rsidRPr="00701060">
        <w:rPr>
          <w:rFonts w:ascii="Calibri" w:eastAsia="Times New Roman" w:hAnsi="Calibri" w:cs="Calibri"/>
          <w:color w:val="FF0000"/>
          <w:szCs w:val="24"/>
          <w:shd w:val="clear" w:color="auto" w:fill="FFFFFF"/>
          <w:lang w:eastAsia="nl-NL"/>
        </w:rPr>
        <w:t>@i@</w:t>
      </w:r>
      <w:r w:rsidRPr="00226F0C">
        <w:rPr>
          <w:color w:val="ED0000"/>
        </w:rPr>
        <w:t>[[[</w:t>
      </w:r>
      <w:r>
        <w:rPr>
          <w:color w:val="ED0000"/>
        </w:rPr>
        <w:t>35a-24a-</w:t>
      </w:r>
      <w:r w:rsidRPr="00226F0C">
        <w:rPr>
          <w:color w:val="ED0000"/>
        </w:rPr>
        <w:t>30cc_</w:t>
      </w:r>
      <w:r>
        <w:rPr>
          <w:color w:val="ED0000"/>
        </w:rPr>
        <w:t>vrouwbestuur</w:t>
      </w:r>
      <w:r w:rsidR="00E571BC">
        <w:rPr>
          <w:color w:val="ED0000"/>
        </w:rPr>
        <w:t>t</w:t>
      </w:r>
      <w:r>
        <w:rPr>
          <w:color w:val="ED0000"/>
        </w:rPr>
        <w:t>.jpg</w:t>
      </w:r>
      <w:r w:rsidRPr="00701060">
        <w:rPr>
          <w:rFonts w:cstheme="minorHAnsi"/>
          <w:color w:val="FF0000"/>
        </w:rPr>
        <w:t>]]]</w:t>
      </w:r>
      <w:r w:rsidR="00F5318E">
        <w:rPr>
          <w:rFonts w:cstheme="minorHAnsi"/>
          <w:color w:val="FF0000"/>
        </w:rPr>
        <w:t xml:space="preserve"> </w:t>
      </w:r>
      <w:r w:rsidR="00B23E7E" w:rsidRPr="00226F0C">
        <w:rPr>
          <w:color w:val="ED0000"/>
        </w:rPr>
        <w:t>[[[</w:t>
      </w:r>
      <w:r w:rsidR="00B23E7E">
        <w:rPr>
          <w:color w:val="ED0000"/>
        </w:rPr>
        <w:t>36-24-</w:t>
      </w:r>
      <w:r w:rsidR="00B23E7E" w:rsidRPr="00226F0C">
        <w:rPr>
          <w:color w:val="ED0000"/>
        </w:rPr>
        <w:t>30bb_</w:t>
      </w:r>
      <w:r w:rsidR="00B23E7E">
        <w:rPr>
          <w:color w:val="ED0000"/>
        </w:rPr>
        <w:t>vrouw</w:t>
      </w:r>
      <w:r w:rsidR="00E571BC">
        <w:rPr>
          <w:color w:val="ED0000"/>
        </w:rPr>
        <w:t>sopt</w:t>
      </w:r>
      <w:r w:rsidR="00B23E7E">
        <w:rPr>
          <w:color w:val="ED0000"/>
        </w:rPr>
        <w:t>.jpg</w:t>
      </w:r>
      <w:r w:rsidR="00B23E7E" w:rsidRPr="00701060">
        <w:rPr>
          <w:rFonts w:cstheme="minorHAnsi"/>
          <w:color w:val="FF0000"/>
        </w:rPr>
        <w:t>]]]</w:t>
      </w:r>
      <w:r w:rsidRPr="00701060">
        <w:rPr>
          <w:rFonts w:ascii="Calibri" w:eastAsia="Times New Roman" w:hAnsi="Calibri" w:cs="Calibri"/>
          <w:color w:val="FF0000"/>
          <w:szCs w:val="24"/>
          <w:shd w:val="clear" w:color="auto" w:fill="FFFFFF"/>
          <w:lang w:eastAsia="nl-NL"/>
        </w:rPr>
        <w:t>@/i@​</w:t>
      </w:r>
      <w:r w:rsidR="00B4135C">
        <w:br/>
        <w:t xml:space="preserve"> </w:t>
      </w:r>
      <w:r w:rsidR="00B4135C">
        <w:tab/>
      </w:r>
      <w:r w:rsidR="00850CCF">
        <w:t>Tussen 1960 en 1980 verdwe</w:t>
      </w:r>
      <w:r w:rsidR="004C0ABF">
        <w:t xml:space="preserve">nen ook bijna alle sleepschepen. Hun </w:t>
      </w:r>
      <w:r w:rsidR="00850CCF">
        <w:t>functie werd overgenomen door motorschepen</w:t>
      </w:r>
      <w:r w:rsidR="007866B4">
        <w:t xml:space="preserve"> en </w:t>
      </w:r>
      <w:r w:rsidR="004C0ABF">
        <w:t xml:space="preserve">door de </w:t>
      </w:r>
      <w:r w:rsidR="007866B4">
        <w:t>duwvaart</w:t>
      </w:r>
      <w:r w:rsidR="00850CCF">
        <w:t xml:space="preserve">. </w:t>
      </w:r>
      <w:r w:rsidR="007866B4">
        <w:t xml:space="preserve">Daar </w:t>
      </w:r>
      <w:r w:rsidR="00850CCF">
        <w:t>scheepsmotoren relatief goedkoper werden, werd het voor de eigenaars steeds aantrekkelijker om een motorschip</w:t>
      </w:r>
      <w:r w:rsidR="007866B4">
        <w:t xml:space="preserve"> te kopen</w:t>
      </w:r>
      <w:r w:rsidR="00850CCF">
        <w:t>. Daar</w:t>
      </w:r>
      <w:r w:rsidR="007866B4">
        <w:t>mee</w:t>
      </w:r>
      <w:r w:rsidR="00850CCF">
        <w:t xml:space="preserve"> bespaarden ze de hoge arbeidskosten van een sleepboot, terwijl ze zich onafhankelijk van sleepbootassistentie konden verplaatsen. Bestaande sleepschepen werden omgebouwd tot motorschip of gesloopt, terwijl tegelijk ook een omvangrijke nieuwbouw van motorschepen plaatsvond. In 1970 vormden motorschepen bijna twee derde van het laadvermogen van de totale vloot.</w:t>
      </w:r>
      <w:r w:rsidR="003366A0">
        <w:rPr>
          <w:rStyle w:val="EndnoteReference"/>
        </w:rPr>
        <w:endnoteReference w:id="73"/>
      </w:r>
    </w:p>
    <w:p w14:paraId="607B900E" w14:textId="19C3D8A4" w:rsidR="00CC2B36" w:rsidRPr="00B13894" w:rsidRDefault="00CC2B36" w:rsidP="00B13894">
      <w:pPr>
        <w:rPr>
          <w:color w:val="ED0000"/>
        </w:rPr>
      </w:pPr>
    </w:p>
    <w:p w14:paraId="5B0FFE84" w14:textId="77777777" w:rsidR="000F573A" w:rsidRPr="008E28EE" w:rsidRDefault="000F573A" w:rsidP="008E28EE">
      <w:pPr>
        <w:jc w:val="lef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1275"/>
        <w:gridCol w:w="1110"/>
        <w:gridCol w:w="1280"/>
        <w:gridCol w:w="1280"/>
        <w:gridCol w:w="1282"/>
        <w:gridCol w:w="1280"/>
      </w:tblGrid>
      <w:tr w:rsidR="000A1EE4" w:rsidRPr="001C4B30" w14:paraId="6009A777" w14:textId="77777777" w:rsidTr="0030721E">
        <w:trPr>
          <w:trHeight w:val="567"/>
        </w:trPr>
        <w:tc>
          <w:tcPr>
            <w:tcW w:w="1555" w:type="dxa"/>
            <w:vMerge w:val="restart"/>
          </w:tcPr>
          <w:p w14:paraId="7B3236CC" w14:textId="13A9A3A0" w:rsidR="000A1EE4" w:rsidRPr="0026245B" w:rsidRDefault="000A1EE4" w:rsidP="00DE08B1">
            <w:pPr>
              <w:jc w:val="left"/>
              <w:rPr>
                <w:rFonts w:eastAsia="Calibri" w:cs="Times New Roman"/>
                <w:b/>
                <w:color w:val="auto"/>
                <w:sz w:val="20"/>
                <w:szCs w:val="20"/>
              </w:rPr>
            </w:pPr>
            <w:r w:rsidRPr="0026245B">
              <w:rPr>
                <w:rFonts w:eastAsia="Calibri" w:cs="Times New Roman"/>
                <w:b/>
                <w:color w:val="auto"/>
                <w:sz w:val="20"/>
                <w:szCs w:val="20"/>
              </w:rPr>
              <w:t>Wijze van</w:t>
            </w:r>
          </w:p>
          <w:p w14:paraId="506D3BC6" w14:textId="77777777" w:rsidR="000A1EE4" w:rsidRPr="0026245B" w:rsidRDefault="000A1EE4" w:rsidP="00DE08B1">
            <w:pPr>
              <w:jc w:val="left"/>
              <w:rPr>
                <w:rFonts w:eastAsia="Calibri" w:cs="Times New Roman"/>
                <w:b/>
                <w:color w:val="auto"/>
                <w:sz w:val="20"/>
                <w:szCs w:val="20"/>
              </w:rPr>
            </w:pPr>
            <w:r w:rsidRPr="0026245B">
              <w:rPr>
                <w:rFonts w:eastAsia="Calibri" w:cs="Times New Roman"/>
                <w:b/>
                <w:color w:val="auto"/>
                <w:sz w:val="20"/>
                <w:szCs w:val="20"/>
              </w:rPr>
              <w:t>Voortbeweging</w:t>
            </w:r>
          </w:p>
        </w:tc>
        <w:tc>
          <w:tcPr>
            <w:tcW w:w="3665" w:type="dxa"/>
            <w:gridSpan w:val="3"/>
          </w:tcPr>
          <w:p w14:paraId="099B0AF3" w14:textId="775D53C9" w:rsidR="000A1EE4" w:rsidRPr="0026245B" w:rsidRDefault="000A1EE4" w:rsidP="00563392">
            <w:pPr>
              <w:pStyle w:val="tabelKop"/>
            </w:pPr>
            <w:r w:rsidRPr="00563392">
              <w:rPr>
                <w:sz w:val="18"/>
                <w:szCs w:val="18"/>
              </w:rPr>
              <w:t>Aa</w:t>
            </w:r>
            <w:r w:rsidRPr="0026245B">
              <w:t>ntal</w:t>
            </w:r>
            <w:r w:rsidR="00291CEE">
              <w:t xml:space="preserve"> vaartuigen</w:t>
            </w:r>
          </w:p>
        </w:tc>
        <w:tc>
          <w:tcPr>
            <w:tcW w:w="3842" w:type="dxa"/>
            <w:gridSpan w:val="3"/>
          </w:tcPr>
          <w:p w14:paraId="30A046C0" w14:textId="77777777" w:rsidR="00A94F2B" w:rsidRDefault="000A1EE4" w:rsidP="00A94F2B">
            <w:pPr>
              <w:pStyle w:val="tabelKop"/>
            </w:pPr>
            <w:r w:rsidRPr="0026245B">
              <w:t>Laadvermogen</w:t>
            </w:r>
            <w:r w:rsidR="00A94F2B">
              <w:t xml:space="preserve">  </w:t>
            </w:r>
          </w:p>
          <w:p w14:paraId="40999C30" w14:textId="20E29CA6" w:rsidR="000A1EE4" w:rsidRPr="0026245B" w:rsidRDefault="000A1EE4" w:rsidP="00A94F2B">
            <w:pPr>
              <w:pStyle w:val="tabelKop"/>
            </w:pPr>
            <w:r w:rsidRPr="0026245B">
              <w:t>(m</w:t>
            </w:r>
            <w:r w:rsidR="0026245B">
              <w:t>iljoen</w:t>
            </w:r>
            <w:r w:rsidRPr="0026245B">
              <w:t xml:space="preserve"> ton)</w:t>
            </w:r>
          </w:p>
        </w:tc>
      </w:tr>
      <w:tr w:rsidR="000A1EE4" w:rsidRPr="001C4B30" w14:paraId="5A4DAEF4" w14:textId="77777777" w:rsidTr="0030721E">
        <w:tc>
          <w:tcPr>
            <w:tcW w:w="1555" w:type="dxa"/>
            <w:vMerge/>
            <w:tcBorders>
              <w:bottom w:val="single" w:sz="4" w:space="0" w:color="000000"/>
            </w:tcBorders>
          </w:tcPr>
          <w:p w14:paraId="6D6A6BC0" w14:textId="77777777" w:rsidR="000A1EE4" w:rsidRPr="001C4B30" w:rsidRDefault="000A1EE4" w:rsidP="00DE08B1">
            <w:pPr>
              <w:jc w:val="left"/>
              <w:rPr>
                <w:rFonts w:eastAsia="Calibri" w:cs="Times New Roman"/>
                <w:color w:val="auto"/>
                <w:sz w:val="20"/>
                <w:szCs w:val="20"/>
              </w:rPr>
            </w:pPr>
          </w:p>
        </w:tc>
        <w:tc>
          <w:tcPr>
            <w:tcW w:w="1275" w:type="dxa"/>
            <w:tcBorders>
              <w:bottom w:val="single" w:sz="4" w:space="0" w:color="000000"/>
            </w:tcBorders>
          </w:tcPr>
          <w:p w14:paraId="26B497B1" w14:textId="77777777" w:rsidR="000A1EE4" w:rsidRPr="001C4B30" w:rsidRDefault="000A1EE4" w:rsidP="00563392">
            <w:pPr>
              <w:pStyle w:val="tabelNummers"/>
              <w:rPr>
                <w:rFonts w:eastAsia="Calibri"/>
              </w:rPr>
            </w:pPr>
            <w:r w:rsidRPr="001C4B30">
              <w:rPr>
                <w:rFonts w:eastAsia="Calibri"/>
              </w:rPr>
              <w:t>1950*</w:t>
            </w:r>
          </w:p>
        </w:tc>
        <w:tc>
          <w:tcPr>
            <w:tcW w:w="1110" w:type="dxa"/>
            <w:tcBorders>
              <w:bottom w:val="single" w:sz="4" w:space="0" w:color="000000"/>
            </w:tcBorders>
          </w:tcPr>
          <w:p w14:paraId="792C2D5A" w14:textId="77777777" w:rsidR="000A1EE4" w:rsidRPr="001C4B30" w:rsidRDefault="000A1EE4" w:rsidP="00563392">
            <w:pPr>
              <w:pStyle w:val="tabelNummers"/>
              <w:rPr>
                <w:rFonts w:eastAsia="Calibri"/>
              </w:rPr>
            </w:pPr>
            <w:r w:rsidRPr="001C4B30">
              <w:rPr>
                <w:rFonts w:eastAsia="Calibri"/>
              </w:rPr>
              <w:t>1970*</w:t>
            </w:r>
          </w:p>
        </w:tc>
        <w:tc>
          <w:tcPr>
            <w:tcW w:w="1280" w:type="dxa"/>
            <w:tcBorders>
              <w:bottom w:val="single" w:sz="4" w:space="0" w:color="000000"/>
            </w:tcBorders>
          </w:tcPr>
          <w:p w14:paraId="2ED4BD8C" w14:textId="77777777" w:rsidR="000A1EE4" w:rsidRPr="001C4B30" w:rsidRDefault="000A1EE4" w:rsidP="00563392">
            <w:pPr>
              <w:pStyle w:val="tabelNummers"/>
              <w:rPr>
                <w:rFonts w:eastAsia="Calibri"/>
              </w:rPr>
            </w:pPr>
            <w:r w:rsidRPr="001C4B30">
              <w:rPr>
                <w:rFonts w:eastAsia="Calibri"/>
              </w:rPr>
              <w:t>2003*</w:t>
            </w:r>
          </w:p>
        </w:tc>
        <w:tc>
          <w:tcPr>
            <w:tcW w:w="1280" w:type="dxa"/>
            <w:tcBorders>
              <w:bottom w:val="single" w:sz="4" w:space="0" w:color="000000"/>
            </w:tcBorders>
          </w:tcPr>
          <w:p w14:paraId="32787469" w14:textId="77777777" w:rsidR="000A1EE4" w:rsidRPr="001C4B30" w:rsidRDefault="000A1EE4" w:rsidP="00563392">
            <w:pPr>
              <w:pStyle w:val="tabelNummers"/>
              <w:rPr>
                <w:rFonts w:eastAsia="Calibri"/>
              </w:rPr>
            </w:pPr>
            <w:r w:rsidRPr="001C4B30">
              <w:rPr>
                <w:rFonts w:eastAsia="Calibri"/>
              </w:rPr>
              <w:t>1950*</w:t>
            </w:r>
          </w:p>
        </w:tc>
        <w:tc>
          <w:tcPr>
            <w:tcW w:w="1282" w:type="dxa"/>
            <w:tcBorders>
              <w:bottom w:val="single" w:sz="4" w:space="0" w:color="000000"/>
            </w:tcBorders>
          </w:tcPr>
          <w:p w14:paraId="52169DBC" w14:textId="77777777" w:rsidR="000A1EE4" w:rsidRPr="001C4B30" w:rsidRDefault="000A1EE4" w:rsidP="00563392">
            <w:pPr>
              <w:pStyle w:val="tabelNummers"/>
              <w:rPr>
                <w:rFonts w:eastAsia="Calibri"/>
              </w:rPr>
            </w:pPr>
            <w:r w:rsidRPr="001C4B30">
              <w:rPr>
                <w:rFonts w:eastAsia="Calibri"/>
              </w:rPr>
              <w:t>1970*</w:t>
            </w:r>
          </w:p>
        </w:tc>
        <w:tc>
          <w:tcPr>
            <w:tcW w:w="1280" w:type="dxa"/>
            <w:tcBorders>
              <w:bottom w:val="single" w:sz="4" w:space="0" w:color="000000"/>
            </w:tcBorders>
          </w:tcPr>
          <w:p w14:paraId="48AE1AF9" w14:textId="77777777" w:rsidR="000A1EE4" w:rsidRPr="001C4B30" w:rsidRDefault="000A1EE4" w:rsidP="00563392">
            <w:pPr>
              <w:pStyle w:val="tabelNummers"/>
              <w:rPr>
                <w:rFonts w:eastAsia="Calibri"/>
              </w:rPr>
            </w:pPr>
            <w:r w:rsidRPr="001C4B30">
              <w:rPr>
                <w:rFonts w:eastAsia="Calibri"/>
              </w:rPr>
              <w:t>2003*</w:t>
            </w:r>
          </w:p>
        </w:tc>
      </w:tr>
      <w:tr w:rsidR="000A1EE4" w:rsidRPr="001C4B30" w14:paraId="024E39B3" w14:textId="77777777" w:rsidTr="0030721E">
        <w:tc>
          <w:tcPr>
            <w:tcW w:w="1555" w:type="dxa"/>
            <w:tcBorders>
              <w:bottom w:val="nil"/>
            </w:tcBorders>
          </w:tcPr>
          <w:p w14:paraId="713DA114" w14:textId="77777777" w:rsidR="000A1EE4" w:rsidRPr="001C4B30" w:rsidRDefault="000A1EE4" w:rsidP="00DE08B1">
            <w:pPr>
              <w:jc w:val="left"/>
              <w:rPr>
                <w:rFonts w:eastAsia="Calibri" w:cs="Times New Roman"/>
                <w:color w:val="auto"/>
                <w:sz w:val="20"/>
                <w:szCs w:val="20"/>
              </w:rPr>
            </w:pPr>
            <w:r w:rsidRPr="001C4B30">
              <w:rPr>
                <w:rFonts w:eastAsia="Calibri" w:cs="Times New Roman"/>
                <w:color w:val="auto"/>
                <w:sz w:val="20"/>
                <w:szCs w:val="20"/>
              </w:rPr>
              <w:t>Motorschepen</w:t>
            </w:r>
          </w:p>
        </w:tc>
        <w:tc>
          <w:tcPr>
            <w:tcW w:w="1275" w:type="dxa"/>
            <w:tcBorders>
              <w:bottom w:val="nil"/>
            </w:tcBorders>
          </w:tcPr>
          <w:p w14:paraId="64595F52" w14:textId="52644792" w:rsidR="000A1EE4" w:rsidRPr="001C4B30" w:rsidRDefault="000A1EE4" w:rsidP="00563392">
            <w:pPr>
              <w:pStyle w:val="tabelNummers"/>
              <w:rPr>
                <w:rFonts w:eastAsia="Calibri"/>
              </w:rPr>
            </w:pPr>
            <w:r w:rsidRPr="001C4B30">
              <w:rPr>
                <w:rFonts w:eastAsia="Calibri"/>
              </w:rPr>
              <w:t>6</w:t>
            </w:r>
            <w:r w:rsidR="0026245B">
              <w:rPr>
                <w:rFonts w:eastAsia="Calibri"/>
              </w:rPr>
              <w:t>.</w:t>
            </w:r>
            <w:r w:rsidRPr="001C4B30">
              <w:rPr>
                <w:rFonts w:eastAsia="Calibri"/>
              </w:rPr>
              <w:t>43</w:t>
            </w:r>
            <w:r w:rsidR="00E65EDC">
              <w:rPr>
                <w:rFonts w:eastAsia="Calibri"/>
              </w:rPr>
              <w:t>6</w:t>
            </w:r>
          </w:p>
        </w:tc>
        <w:tc>
          <w:tcPr>
            <w:tcW w:w="1110" w:type="dxa"/>
            <w:tcBorders>
              <w:bottom w:val="nil"/>
            </w:tcBorders>
          </w:tcPr>
          <w:p w14:paraId="53AAABB9" w14:textId="3FA8624E" w:rsidR="000A1EE4" w:rsidRPr="001C4B30" w:rsidRDefault="000A1EE4" w:rsidP="00563392">
            <w:pPr>
              <w:pStyle w:val="tabelNummers"/>
              <w:rPr>
                <w:rFonts w:eastAsia="Calibri"/>
              </w:rPr>
            </w:pPr>
            <w:r w:rsidRPr="001C4B30">
              <w:rPr>
                <w:rFonts w:eastAsia="Calibri"/>
              </w:rPr>
              <w:t>8</w:t>
            </w:r>
            <w:r w:rsidR="00933A0A">
              <w:rPr>
                <w:rFonts w:eastAsia="Calibri"/>
              </w:rPr>
              <w:t>.</w:t>
            </w:r>
            <w:r w:rsidRPr="001C4B30">
              <w:rPr>
                <w:rFonts w:eastAsia="Calibri"/>
              </w:rPr>
              <w:t>177</w:t>
            </w:r>
          </w:p>
        </w:tc>
        <w:tc>
          <w:tcPr>
            <w:tcW w:w="1280" w:type="dxa"/>
            <w:tcBorders>
              <w:bottom w:val="nil"/>
            </w:tcBorders>
          </w:tcPr>
          <w:p w14:paraId="558AB75D" w14:textId="3F3DD285" w:rsidR="000A1EE4" w:rsidRPr="001C4B30" w:rsidRDefault="000A1EE4" w:rsidP="00563392">
            <w:pPr>
              <w:pStyle w:val="tabelNummers"/>
              <w:rPr>
                <w:rFonts w:eastAsia="Calibri"/>
              </w:rPr>
            </w:pPr>
            <w:r w:rsidRPr="001C4B30">
              <w:rPr>
                <w:rFonts w:eastAsia="Calibri"/>
              </w:rPr>
              <w:t>3</w:t>
            </w:r>
            <w:r w:rsidR="00933A0A">
              <w:rPr>
                <w:rFonts w:eastAsia="Calibri"/>
              </w:rPr>
              <w:t>.</w:t>
            </w:r>
            <w:r w:rsidRPr="001C4B30">
              <w:rPr>
                <w:rFonts w:eastAsia="Calibri"/>
              </w:rPr>
              <w:t>568</w:t>
            </w:r>
          </w:p>
        </w:tc>
        <w:tc>
          <w:tcPr>
            <w:tcW w:w="1280" w:type="dxa"/>
            <w:tcBorders>
              <w:bottom w:val="nil"/>
            </w:tcBorders>
          </w:tcPr>
          <w:p w14:paraId="45A95ED9" w14:textId="77777777" w:rsidR="000A1EE4" w:rsidRPr="001C4B30" w:rsidRDefault="000A1EE4" w:rsidP="00563392">
            <w:pPr>
              <w:pStyle w:val="tabelNummers"/>
              <w:rPr>
                <w:rFonts w:eastAsia="Calibri"/>
              </w:rPr>
            </w:pPr>
            <w:r w:rsidRPr="001C4B30">
              <w:rPr>
                <w:rFonts w:eastAsia="Calibri"/>
              </w:rPr>
              <w:t>0,83</w:t>
            </w:r>
          </w:p>
        </w:tc>
        <w:tc>
          <w:tcPr>
            <w:tcW w:w="1282" w:type="dxa"/>
            <w:tcBorders>
              <w:bottom w:val="nil"/>
            </w:tcBorders>
          </w:tcPr>
          <w:p w14:paraId="0DA89289" w14:textId="77777777" w:rsidR="000A1EE4" w:rsidRPr="001C4B30" w:rsidRDefault="000A1EE4" w:rsidP="00563392">
            <w:pPr>
              <w:pStyle w:val="tabelNummers"/>
              <w:rPr>
                <w:rFonts w:eastAsia="Calibri"/>
              </w:rPr>
            </w:pPr>
            <w:r w:rsidRPr="001C4B30">
              <w:rPr>
                <w:rFonts w:eastAsia="Calibri"/>
              </w:rPr>
              <w:t>3,2</w:t>
            </w:r>
            <w:r>
              <w:rPr>
                <w:rFonts w:eastAsia="Calibri"/>
              </w:rPr>
              <w:t>9</w:t>
            </w:r>
          </w:p>
        </w:tc>
        <w:tc>
          <w:tcPr>
            <w:tcW w:w="1280" w:type="dxa"/>
            <w:tcBorders>
              <w:bottom w:val="nil"/>
            </w:tcBorders>
          </w:tcPr>
          <w:p w14:paraId="170A543C" w14:textId="77777777" w:rsidR="000A1EE4" w:rsidRPr="001C4B30" w:rsidRDefault="000A1EE4" w:rsidP="00563392">
            <w:pPr>
              <w:pStyle w:val="tabelNummers"/>
              <w:rPr>
                <w:rFonts w:eastAsia="Calibri"/>
              </w:rPr>
            </w:pPr>
            <w:r w:rsidRPr="001C4B30">
              <w:rPr>
                <w:rFonts w:eastAsia="Calibri"/>
              </w:rPr>
              <w:t>3,93</w:t>
            </w:r>
          </w:p>
        </w:tc>
      </w:tr>
      <w:tr w:rsidR="000A1EE4" w:rsidRPr="001C4B30" w14:paraId="50DAD800" w14:textId="77777777" w:rsidTr="0030721E">
        <w:tc>
          <w:tcPr>
            <w:tcW w:w="1555" w:type="dxa"/>
            <w:tcBorders>
              <w:top w:val="nil"/>
              <w:bottom w:val="nil"/>
            </w:tcBorders>
          </w:tcPr>
          <w:p w14:paraId="0E08287A" w14:textId="77777777" w:rsidR="000A1EE4" w:rsidRPr="001C4B30" w:rsidRDefault="000A1EE4" w:rsidP="00DE08B1">
            <w:pPr>
              <w:jc w:val="left"/>
              <w:rPr>
                <w:rFonts w:eastAsia="Calibri" w:cs="Times New Roman"/>
                <w:color w:val="auto"/>
                <w:sz w:val="20"/>
                <w:szCs w:val="20"/>
              </w:rPr>
            </w:pPr>
            <w:r w:rsidRPr="001C4B30">
              <w:rPr>
                <w:rFonts w:eastAsia="Calibri" w:cs="Times New Roman"/>
                <w:color w:val="auto"/>
                <w:sz w:val="20"/>
                <w:szCs w:val="20"/>
              </w:rPr>
              <w:t>Sleepschepen</w:t>
            </w:r>
          </w:p>
        </w:tc>
        <w:tc>
          <w:tcPr>
            <w:tcW w:w="1275" w:type="dxa"/>
            <w:tcBorders>
              <w:top w:val="nil"/>
              <w:bottom w:val="nil"/>
            </w:tcBorders>
          </w:tcPr>
          <w:p w14:paraId="6A057662" w14:textId="4FD36A98" w:rsidR="000A1EE4" w:rsidRPr="001C4B30" w:rsidRDefault="000A1EE4" w:rsidP="00563392">
            <w:pPr>
              <w:pStyle w:val="tabelNummers"/>
              <w:rPr>
                <w:rFonts w:eastAsia="Calibri"/>
              </w:rPr>
            </w:pPr>
            <w:r w:rsidRPr="001C4B30">
              <w:rPr>
                <w:rFonts w:eastAsia="Calibri"/>
              </w:rPr>
              <w:t>6</w:t>
            </w:r>
            <w:r w:rsidR="0026245B">
              <w:rPr>
                <w:rFonts w:eastAsia="Calibri"/>
              </w:rPr>
              <w:t>.</w:t>
            </w:r>
            <w:r w:rsidRPr="001C4B30">
              <w:rPr>
                <w:rFonts w:eastAsia="Calibri"/>
              </w:rPr>
              <w:t>251</w:t>
            </w:r>
          </w:p>
        </w:tc>
        <w:tc>
          <w:tcPr>
            <w:tcW w:w="1110" w:type="dxa"/>
            <w:tcBorders>
              <w:top w:val="nil"/>
              <w:bottom w:val="nil"/>
            </w:tcBorders>
          </w:tcPr>
          <w:p w14:paraId="6E9B88EE" w14:textId="253AF70E" w:rsidR="000A1EE4" w:rsidRPr="001C4B30" w:rsidRDefault="000A1EE4" w:rsidP="00563392">
            <w:pPr>
              <w:pStyle w:val="tabelNummers"/>
              <w:rPr>
                <w:rFonts w:eastAsia="Calibri"/>
              </w:rPr>
            </w:pPr>
            <w:r w:rsidRPr="001C4B30">
              <w:rPr>
                <w:rFonts w:eastAsia="Calibri"/>
              </w:rPr>
              <w:t>1</w:t>
            </w:r>
            <w:r w:rsidR="00933A0A">
              <w:rPr>
                <w:rFonts w:eastAsia="Calibri"/>
              </w:rPr>
              <w:t>.</w:t>
            </w:r>
            <w:r w:rsidRPr="001C4B30">
              <w:rPr>
                <w:rFonts w:eastAsia="Calibri"/>
              </w:rPr>
              <w:t>493</w:t>
            </w:r>
          </w:p>
        </w:tc>
        <w:tc>
          <w:tcPr>
            <w:tcW w:w="1280" w:type="dxa"/>
            <w:tcBorders>
              <w:top w:val="nil"/>
              <w:bottom w:val="nil"/>
            </w:tcBorders>
          </w:tcPr>
          <w:p w14:paraId="5FE111EA" w14:textId="77777777" w:rsidR="000A1EE4" w:rsidRPr="001C4B30" w:rsidRDefault="000A1EE4" w:rsidP="00563392">
            <w:pPr>
              <w:pStyle w:val="tabelNummers"/>
              <w:rPr>
                <w:rFonts w:eastAsia="Calibri"/>
              </w:rPr>
            </w:pPr>
            <w:r w:rsidRPr="001C4B30">
              <w:rPr>
                <w:rFonts w:eastAsia="Calibri"/>
              </w:rPr>
              <w:t>538</w:t>
            </w:r>
          </w:p>
        </w:tc>
        <w:tc>
          <w:tcPr>
            <w:tcW w:w="1280" w:type="dxa"/>
            <w:tcBorders>
              <w:top w:val="nil"/>
              <w:bottom w:val="nil"/>
            </w:tcBorders>
          </w:tcPr>
          <w:p w14:paraId="587916CC" w14:textId="77777777" w:rsidR="000A1EE4" w:rsidRPr="001C4B30" w:rsidRDefault="000A1EE4" w:rsidP="00563392">
            <w:pPr>
              <w:pStyle w:val="tabelNummers"/>
              <w:rPr>
                <w:rFonts w:eastAsia="Calibri"/>
              </w:rPr>
            </w:pPr>
            <w:r w:rsidRPr="001C4B30">
              <w:rPr>
                <w:rFonts w:eastAsia="Calibri"/>
              </w:rPr>
              <w:t>2,84</w:t>
            </w:r>
          </w:p>
        </w:tc>
        <w:tc>
          <w:tcPr>
            <w:tcW w:w="1282" w:type="dxa"/>
            <w:tcBorders>
              <w:top w:val="nil"/>
              <w:bottom w:val="nil"/>
            </w:tcBorders>
          </w:tcPr>
          <w:p w14:paraId="386C7351" w14:textId="77777777" w:rsidR="000A1EE4" w:rsidRPr="001C4B30" w:rsidRDefault="000A1EE4" w:rsidP="00563392">
            <w:pPr>
              <w:pStyle w:val="tabelNummers"/>
              <w:rPr>
                <w:rFonts w:eastAsia="Calibri"/>
              </w:rPr>
            </w:pPr>
            <w:r w:rsidRPr="001C4B30">
              <w:rPr>
                <w:rFonts w:eastAsia="Calibri"/>
              </w:rPr>
              <w:t>1,42</w:t>
            </w:r>
          </w:p>
        </w:tc>
        <w:tc>
          <w:tcPr>
            <w:tcW w:w="1280" w:type="dxa"/>
            <w:tcBorders>
              <w:top w:val="nil"/>
              <w:bottom w:val="nil"/>
            </w:tcBorders>
          </w:tcPr>
          <w:p w14:paraId="3390B0C9" w14:textId="77777777" w:rsidR="000A1EE4" w:rsidRPr="001C4B30" w:rsidRDefault="000A1EE4" w:rsidP="00563392">
            <w:pPr>
              <w:pStyle w:val="tabelNummers"/>
              <w:rPr>
                <w:rFonts w:eastAsia="Calibri"/>
              </w:rPr>
            </w:pPr>
            <w:r w:rsidRPr="001C4B30">
              <w:rPr>
                <w:rFonts w:eastAsia="Calibri"/>
              </w:rPr>
              <w:t>0,27</w:t>
            </w:r>
          </w:p>
        </w:tc>
      </w:tr>
      <w:tr w:rsidR="000A1EE4" w:rsidRPr="001C4B30" w14:paraId="2B06DE46" w14:textId="77777777" w:rsidTr="0030721E">
        <w:tc>
          <w:tcPr>
            <w:tcW w:w="1555" w:type="dxa"/>
            <w:tcBorders>
              <w:top w:val="nil"/>
              <w:bottom w:val="nil"/>
            </w:tcBorders>
          </w:tcPr>
          <w:p w14:paraId="769D4EB0" w14:textId="77777777" w:rsidR="000A1EE4" w:rsidRPr="001C4B30" w:rsidRDefault="000A1EE4" w:rsidP="00DE08B1">
            <w:pPr>
              <w:jc w:val="left"/>
              <w:rPr>
                <w:rFonts w:eastAsia="Calibri" w:cs="Times New Roman"/>
                <w:color w:val="auto"/>
                <w:sz w:val="20"/>
                <w:szCs w:val="20"/>
              </w:rPr>
            </w:pPr>
            <w:r w:rsidRPr="001C4B30">
              <w:rPr>
                <w:rFonts w:eastAsia="Calibri" w:cs="Times New Roman"/>
                <w:color w:val="auto"/>
                <w:sz w:val="20"/>
                <w:szCs w:val="20"/>
              </w:rPr>
              <w:t>Duwbakken</w:t>
            </w:r>
          </w:p>
        </w:tc>
        <w:tc>
          <w:tcPr>
            <w:tcW w:w="1275" w:type="dxa"/>
            <w:tcBorders>
              <w:top w:val="nil"/>
              <w:bottom w:val="nil"/>
            </w:tcBorders>
          </w:tcPr>
          <w:p w14:paraId="0BE0BC36" w14:textId="77777777" w:rsidR="000A1EE4" w:rsidRPr="001C4B30" w:rsidRDefault="000A1EE4" w:rsidP="00563392">
            <w:pPr>
              <w:pStyle w:val="tabelNummers"/>
              <w:rPr>
                <w:rFonts w:eastAsia="Calibri"/>
              </w:rPr>
            </w:pPr>
            <w:r w:rsidRPr="001C4B30">
              <w:rPr>
                <w:rFonts w:eastAsia="Calibri"/>
              </w:rPr>
              <w:t>-</w:t>
            </w:r>
          </w:p>
        </w:tc>
        <w:tc>
          <w:tcPr>
            <w:tcW w:w="1110" w:type="dxa"/>
            <w:tcBorders>
              <w:top w:val="nil"/>
              <w:bottom w:val="nil"/>
            </w:tcBorders>
          </w:tcPr>
          <w:p w14:paraId="47A12A46" w14:textId="77777777" w:rsidR="000A1EE4" w:rsidRPr="001C4B30" w:rsidRDefault="000A1EE4" w:rsidP="00563392">
            <w:pPr>
              <w:pStyle w:val="tabelNummers"/>
              <w:rPr>
                <w:rFonts w:eastAsia="Calibri"/>
              </w:rPr>
            </w:pPr>
            <w:r w:rsidRPr="001C4B30">
              <w:rPr>
                <w:rFonts w:eastAsia="Calibri"/>
              </w:rPr>
              <w:t>139</w:t>
            </w:r>
          </w:p>
        </w:tc>
        <w:tc>
          <w:tcPr>
            <w:tcW w:w="1280" w:type="dxa"/>
            <w:tcBorders>
              <w:top w:val="nil"/>
              <w:bottom w:val="nil"/>
            </w:tcBorders>
          </w:tcPr>
          <w:p w14:paraId="0CDFA449" w14:textId="77777777" w:rsidR="000A1EE4" w:rsidRPr="001C4B30" w:rsidRDefault="000A1EE4" w:rsidP="00563392">
            <w:pPr>
              <w:pStyle w:val="tabelNummers"/>
              <w:rPr>
                <w:rFonts w:eastAsia="Calibri"/>
              </w:rPr>
            </w:pPr>
            <w:r w:rsidRPr="001C4B30">
              <w:rPr>
                <w:rFonts w:eastAsia="Calibri"/>
              </w:rPr>
              <w:t>666</w:t>
            </w:r>
          </w:p>
        </w:tc>
        <w:tc>
          <w:tcPr>
            <w:tcW w:w="1280" w:type="dxa"/>
            <w:tcBorders>
              <w:top w:val="nil"/>
              <w:bottom w:val="nil"/>
            </w:tcBorders>
          </w:tcPr>
          <w:p w14:paraId="7AAE4AB9" w14:textId="77777777" w:rsidR="000A1EE4" w:rsidRPr="001C4B30" w:rsidRDefault="000A1EE4" w:rsidP="00563392">
            <w:pPr>
              <w:pStyle w:val="tabelNummers"/>
              <w:rPr>
                <w:rFonts w:eastAsia="Calibri"/>
              </w:rPr>
            </w:pPr>
            <w:r w:rsidRPr="001C4B30">
              <w:rPr>
                <w:rFonts w:eastAsia="Calibri"/>
              </w:rPr>
              <w:t>-</w:t>
            </w:r>
          </w:p>
        </w:tc>
        <w:tc>
          <w:tcPr>
            <w:tcW w:w="1282" w:type="dxa"/>
            <w:tcBorders>
              <w:top w:val="nil"/>
              <w:bottom w:val="nil"/>
            </w:tcBorders>
          </w:tcPr>
          <w:p w14:paraId="0B75A2FB" w14:textId="77777777" w:rsidR="000A1EE4" w:rsidRPr="001C4B30" w:rsidRDefault="000A1EE4" w:rsidP="00563392">
            <w:pPr>
              <w:pStyle w:val="tabelNummers"/>
              <w:rPr>
                <w:rFonts w:eastAsia="Calibri"/>
              </w:rPr>
            </w:pPr>
            <w:r w:rsidRPr="001C4B30">
              <w:rPr>
                <w:rFonts w:eastAsia="Calibri"/>
              </w:rPr>
              <w:t>0,23</w:t>
            </w:r>
          </w:p>
        </w:tc>
        <w:tc>
          <w:tcPr>
            <w:tcW w:w="1280" w:type="dxa"/>
            <w:tcBorders>
              <w:top w:val="nil"/>
              <w:bottom w:val="nil"/>
            </w:tcBorders>
          </w:tcPr>
          <w:p w14:paraId="3AFA2FC1" w14:textId="77777777" w:rsidR="000A1EE4" w:rsidRPr="001C4B30" w:rsidRDefault="000A1EE4" w:rsidP="00563392">
            <w:pPr>
              <w:pStyle w:val="tabelNummers"/>
              <w:rPr>
                <w:rFonts w:eastAsia="Calibri"/>
              </w:rPr>
            </w:pPr>
            <w:r w:rsidRPr="001C4B30">
              <w:rPr>
                <w:rFonts w:eastAsia="Calibri"/>
              </w:rPr>
              <w:t>1,37</w:t>
            </w:r>
          </w:p>
        </w:tc>
      </w:tr>
      <w:tr w:rsidR="000A1EE4" w:rsidRPr="001C4B30" w14:paraId="7EFED185" w14:textId="77777777" w:rsidTr="0030721E">
        <w:tc>
          <w:tcPr>
            <w:tcW w:w="1555" w:type="dxa"/>
            <w:tcBorders>
              <w:top w:val="nil"/>
              <w:bottom w:val="nil"/>
            </w:tcBorders>
          </w:tcPr>
          <w:p w14:paraId="4189F121" w14:textId="77777777" w:rsidR="000A1EE4" w:rsidRPr="001C4B30" w:rsidRDefault="000A1EE4" w:rsidP="00DE08B1">
            <w:pPr>
              <w:jc w:val="left"/>
              <w:rPr>
                <w:rFonts w:eastAsia="Calibri" w:cs="Times New Roman"/>
                <w:color w:val="auto"/>
                <w:sz w:val="20"/>
                <w:szCs w:val="20"/>
              </w:rPr>
            </w:pPr>
            <w:r w:rsidRPr="001C4B30">
              <w:rPr>
                <w:rFonts w:eastAsia="Calibri" w:cs="Times New Roman"/>
                <w:color w:val="auto"/>
                <w:sz w:val="20"/>
                <w:szCs w:val="20"/>
              </w:rPr>
              <w:lastRenderedPageBreak/>
              <w:t>Opduwer</w:t>
            </w:r>
          </w:p>
        </w:tc>
        <w:tc>
          <w:tcPr>
            <w:tcW w:w="1275" w:type="dxa"/>
            <w:tcBorders>
              <w:top w:val="nil"/>
              <w:bottom w:val="nil"/>
            </w:tcBorders>
          </w:tcPr>
          <w:p w14:paraId="63F466B0" w14:textId="487D6CE8" w:rsidR="000A1EE4" w:rsidRPr="001C4B30" w:rsidRDefault="000A1EE4" w:rsidP="00563392">
            <w:pPr>
              <w:pStyle w:val="tabelNummers"/>
              <w:rPr>
                <w:rFonts w:eastAsia="Calibri"/>
              </w:rPr>
            </w:pPr>
            <w:r w:rsidRPr="001C4B30">
              <w:rPr>
                <w:rFonts w:eastAsia="Calibri"/>
              </w:rPr>
              <w:t>1</w:t>
            </w:r>
            <w:r w:rsidR="0026245B">
              <w:rPr>
                <w:rFonts w:eastAsia="Calibri"/>
              </w:rPr>
              <w:t>.</w:t>
            </w:r>
            <w:r w:rsidRPr="001C4B30">
              <w:rPr>
                <w:rFonts w:eastAsia="Calibri"/>
              </w:rPr>
              <w:t>868</w:t>
            </w:r>
          </w:p>
        </w:tc>
        <w:tc>
          <w:tcPr>
            <w:tcW w:w="1110" w:type="dxa"/>
            <w:tcBorders>
              <w:top w:val="nil"/>
              <w:bottom w:val="nil"/>
            </w:tcBorders>
          </w:tcPr>
          <w:p w14:paraId="321456C3" w14:textId="77777777" w:rsidR="000A1EE4" w:rsidRPr="001C4B30" w:rsidRDefault="000A1EE4" w:rsidP="00563392">
            <w:pPr>
              <w:pStyle w:val="tabelNummers"/>
              <w:rPr>
                <w:rFonts w:eastAsia="Calibri"/>
              </w:rPr>
            </w:pPr>
            <w:r w:rsidRPr="001C4B30">
              <w:rPr>
                <w:rFonts w:eastAsia="Calibri"/>
              </w:rPr>
              <w:t>38**</w:t>
            </w:r>
          </w:p>
        </w:tc>
        <w:tc>
          <w:tcPr>
            <w:tcW w:w="1280" w:type="dxa"/>
            <w:tcBorders>
              <w:top w:val="nil"/>
              <w:bottom w:val="nil"/>
            </w:tcBorders>
          </w:tcPr>
          <w:p w14:paraId="51515519" w14:textId="77777777" w:rsidR="000A1EE4" w:rsidRPr="001C4B30" w:rsidRDefault="000A1EE4" w:rsidP="00563392">
            <w:pPr>
              <w:pStyle w:val="tabelNummers"/>
              <w:rPr>
                <w:rFonts w:eastAsia="Calibri"/>
              </w:rPr>
            </w:pPr>
            <w:r w:rsidRPr="001C4B30">
              <w:rPr>
                <w:rFonts w:eastAsia="Calibri"/>
              </w:rPr>
              <w:t>-</w:t>
            </w:r>
          </w:p>
        </w:tc>
        <w:tc>
          <w:tcPr>
            <w:tcW w:w="1280" w:type="dxa"/>
            <w:tcBorders>
              <w:top w:val="nil"/>
              <w:bottom w:val="nil"/>
            </w:tcBorders>
          </w:tcPr>
          <w:p w14:paraId="383A8D41" w14:textId="77777777" w:rsidR="000A1EE4" w:rsidRPr="001C4B30" w:rsidRDefault="000A1EE4" w:rsidP="00563392">
            <w:pPr>
              <w:pStyle w:val="tabelNummers"/>
              <w:rPr>
                <w:rFonts w:eastAsia="Calibri"/>
              </w:rPr>
            </w:pPr>
            <w:r w:rsidRPr="001C4B30">
              <w:rPr>
                <w:rFonts w:eastAsia="Calibri"/>
              </w:rPr>
              <w:t>0,18</w:t>
            </w:r>
          </w:p>
        </w:tc>
        <w:tc>
          <w:tcPr>
            <w:tcW w:w="1282" w:type="dxa"/>
            <w:tcBorders>
              <w:top w:val="nil"/>
              <w:bottom w:val="nil"/>
            </w:tcBorders>
          </w:tcPr>
          <w:p w14:paraId="3949C30A" w14:textId="77777777" w:rsidR="000A1EE4" w:rsidRPr="001C4B30" w:rsidRDefault="000A1EE4" w:rsidP="00563392">
            <w:pPr>
              <w:pStyle w:val="tabelNummers"/>
              <w:rPr>
                <w:rFonts w:eastAsia="Calibri"/>
              </w:rPr>
            </w:pPr>
            <w:r w:rsidRPr="001C4B30">
              <w:rPr>
                <w:rFonts w:eastAsia="Calibri"/>
              </w:rPr>
              <w:t>0,01**</w:t>
            </w:r>
          </w:p>
        </w:tc>
        <w:tc>
          <w:tcPr>
            <w:tcW w:w="1280" w:type="dxa"/>
            <w:tcBorders>
              <w:top w:val="nil"/>
              <w:bottom w:val="nil"/>
            </w:tcBorders>
          </w:tcPr>
          <w:p w14:paraId="5DCC3AF6" w14:textId="77777777" w:rsidR="000A1EE4" w:rsidRPr="001C4B30" w:rsidRDefault="000A1EE4" w:rsidP="00563392">
            <w:pPr>
              <w:pStyle w:val="tabelNummers"/>
              <w:rPr>
                <w:rFonts w:eastAsia="Calibri"/>
              </w:rPr>
            </w:pPr>
            <w:r w:rsidRPr="001C4B30">
              <w:rPr>
                <w:rFonts w:eastAsia="Calibri"/>
              </w:rPr>
              <w:t>-</w:t>
            </w:r>
          </w:p>
        </w:tc>
      </w:tr>
      <w:tr w:rsidR="000A1EE4" w:rsidRPr="001C4B30" w14:paraId="2FD56A79" w14:textId="77777777" w:rsidTr="0030721E">
        <w:tc>
          <w:tcPr>
            <w:tcW w:w="1555" w:type="dxa"/>
            <w:tcBorders>
              <w:top w:val="nil"/>
              <w:bottom w:val="nil"/>
            </w:tcBorders>
          </w:tcPr>
          <w:p w14:paraId="10B8D993" w14:textId="77777777" w:rsidR="000A1EE4" w:rsidRPr="001C4B30" w:rsidRDefault="000A1EE4" w:rsidP="00DE08B1">
            <w:pPr>
              <w:jc w:val="left"/>
              <w:rPr>
                <w:rFonts w:eastAsia="Calibri" w:cs="Times New Roman"/>
                <w:color w:val="auto"/>
                <w:sz w:val="20"/>
                <w:szCs w:val="20"/>
              </w:rPr>
            </w:pPr>
            <w:r w:rsidRPr="001C4B30">
              <w:rPr>
                <w:rFonts w:eastAsia="Calibri" w:cs="Times New Roman"/>
                <w:color w:val="auto"/>
                <w:sz w:val="20"/>
                <w:szCs w:val="20"/>
              </w:rPr>
              <w:t>Zijschroef</w:t>
            </w:r>
          </w:p>
        </w:tc>
        <w:tc>
          <w:tcPr>
            <w:tcW w:w="1275" w:type="dxa"/>
            <w:tcBorders>
              <w:top w:val="nil"/>
              <w:bottom w:val="nil"/>
            </w:tcBorders>
          </w:tcPr>
          <w:p w14:paraId="1E7F926E" w14:textId="77777777" w:rsidR="000A1EE4" w:rsidRPr="001C4B30" w:rsidRDefault="000A1EE4" w:rsidP="00563392">
            <w:pPr>
              <w:pStyle w:val="tabelNummers"/>
              <w:rPr>
                <w:rFonts w:eastAsia="Calibri"/>
              </w:rPr>
            </w:pPr>
            <w:r w:rsidRPr="001C4B30">
              <w:rPr>
                <w:rFonts w:eastAsia="Calibri"/>
              </w:rPr>
              <w:t>963</w:t>
            </w:r>
          </w:p>
        </w:tc>
        <w:tc>
          <w:tcPr>
            <w:tcW w:w="1110" w:type="dxa"/>
            <w:tcBorders>
              <w:top w:val="nil"/>
              <w:bottom w:val="nil"/>
            </w:tcBorders>
          </w:tcPr>
          <w:p w14:paraId="1F213804" w14:textId="77777777" w:rsidR="000A1EE4" w:rsidRPr="001C4B30" w:rsidRDefault="000A1EE4" w:rsidP="00563392">
            <w:pPr>
              <w:pStyle w:val="tabelNummers"/>
              <w:rPr>
                <w:rFonts w:eastAsia="Calibri"/>
              </w:rPr>
            </w:pPr>
            <w:r w:rsidRPr="001C4B30">
              <w:rPr>
                <w:rFonts w:eastAsia="Calibri"/>
              </w:rPr>
              <w:t>37</w:t>
            </w:r>
          </w:p>
        </w:tc>
        <w:tc>
          <w:tcPr>
            <w:tcW w:w="1280" w:type="dxa"/>
            <w:tcBorders>
              <w:top w:val="nil"/>
              <w:bottom w:val="nil"/>
            </w:tcBorders>
          </w:tcPr>
          <w:p w14:paraId="586EB1D1" w14:textId="77777777" w:rsidR="000A1EE4" w:rsidRPr="001C4B30" w:rsidRDefault="000A1EE4" w:rsidP="00563392">
            <w:pPr>
              <w:pStyle w:val="tabelNummers"/>
              <w:rPr>
                <w:rFonts w:eastAsia="Calibri"/>
              </w:rPr>
            </w:pPr>
            <w:r w:rsidRPr="001C4B30">
              <w:rPr>
                <w:rFonts w:eastAsia="Calibri"/>
              </w:rPr>
              <w:t>-</w:t>
            </w:r>
          </w:p>
        </w:tc>
        <w:tc>
          <w:tcPr>
            <w:tcW w:w="1280" w:type="dxa"/>
            <w:tcBorders>
              <w:top w:val="nil"/>
              <w:bottom w:val="nil"/>
            </w:tcBorders>
          </w:tcPr>
          <w:p w14:paraId="29A879E4" w14:textId="77777777" w:rsidR="000A1EE4" w:rsidRPr="001C4B30" w:rsidRDefault="000A1EE4" w:rsidP="00563392">
            <w:pPr>
              <w:pStyle w:val="tabelNummers"/>
              <w:rPr>
                <w:rFonts w:eastAsia="Calibri"/>
              </w:rPr>
            </w:pPr>
            <w:r w:rsidRPr="001C4B30">
              <w:rPr>
                <w:rFonts w:eastAsia="Calibri"/>
              </w:rPr>
              <w:t>0,16</w:t>
            </w:r>
          </w:p>
        </w:tc>
        <w:tc>
          <w:tcPr>
            <w:tcW w:w="1282" w:type="dxa"/>
            <w:tcBorders>
              <w:top w:val="nil"/>
              <w:bottom w:val="nil"/>
            </w:tcBorders>
          </w:tcPr>
          <w:p w14:paraId="3F58E6EF" w14:textId="77777777" w:rsidR="000A1EE4" w:rsidRPr="001C4B30" w:rsidRDefault="000A1EE4" w:rsidP="00563392">
            <w:pPr>
              <w:pStyle w:val="tabelNummers"/>
              <w:rPr>
                <w:rFonts w:eastAsia="Calibri"/>
              </w:rPr>
            </w:pPr>
            <w:r w:rsidRPr="001C4B30">
              <w:rPr>
                <w:rFonts w:eastAsia="Calibri"/>
              </w:rPr>
              <w:t>0,01</w:t>
            </w:r>
          </w:p>
        </w:tc>
        <w:tc>
          <w:tcPr>
            <w:tcW w:w="1280" w:type="dxa"/>
            <w:tcBorders>
              <w:top w:val="nil"/>
              <w:bottom w:val="nil"/>
            </w:tcBorders>
          </w:tcPr>
          <w:p w14:paraId="50A04720" w14:textId="77777777" w:rsidR="000A1EE4" w:rsidRPr="001C4B30" w:rsidRDefault="000A1EE4" w:rsidP="00563392">
            <w:pPr>
              <w:pStyle w:val="tabelNummers"/>
              <w:rPr>
                <w:rFonts w:eastAsia="Calibri"/>
              </w:rPr>
            </w:pPr>
            <w:r w:rsidRPr="001C4B30">
              <w:rPr>
                <w:rFonts w:eastAsia="Calibri"/>
              </w:rPr>
              <w:t>-</w:t>
            </w:r>
          </w:p>
        </w:tc>
      </w:tr>
      <w:tr w:rsidR="000A1EE4" w:rsidRPr="001C4B30" w14:paraId="5C11CB17" w14:textId="77777777" w:rsidTr="0030721E">
        <w:tc>
          <w:tcPr>
            <w:tcW w:w="1555" w:type="dxa"/>
            <w:tcBorders>
              <w:top w:val="nil"/>
              <w:bottom w:val="nil"/>
            </w:tcBorders>
          </w:tcPr>
          <w:p w14:paraId="29626140" w14:textId="77777777" w:rsidR="000A1EE4" w:rsidRPr="001C4B30" w:rsidRDefault="000A1EE4" w:rsidP="00DE08B1">
            <w:pPr>
              <w:jc w:val="left"/>
              <w:rPr>
                <w:rFonts w:eastAsia="Calibri" w:cs="Times New Roman"/>
                <w:color w:val="auto"/>
                <w:sz w:val="20"/>
                <w:szCs w:val="20"/>
              </w:rPr>
            </w:pPr>
            <w:r w:rsidRPr="001C4B30">
              <w:rPr>
                <w:rFonts w:eastAsia="Calibri" w:cs="Times New Roman"/>
                <w:color w:val="auto"/>
                <w:sz w:val="20"/>
                <w:szCs w:val="20"/>
              </w:rPr>
              <w:t>Zeil</w:t>
            </w:r>
          </w:p>
        </w:tc>
        <w:tc>
          <w:tcPr>
            <w:tcW w:w="1275" w:type="dxa"/>
            <w:tcBorders>
              <w:top w:val="nil"/>
              <w:bottom w:val="nil"/>
            </w:tcBorders>
          </w:tcPr>
          <w:p w14:paraId="3E399E0E" w14:textId="6D22444B" w:rsidR="000A1EE4" w:rsidRPr="001C4B30" w:rsidRDefault="000A1EE4" w:rsidP="00563392">
            <w:pPr>
              <w:pStyle w:val="tabelNummers"/>
              <w:rPr>
                <w:rFonts w:eastAsia="Calibri"/>
              </w:rPr>
            </w:pPr>
            <w:r w:rsidRPr="001C4B30">
              <w:rPr>
                <w:rFonts w:eastAsia="Calibri"/>
              </w:rPr>
              <w:t>1</w:t>
            </w:r>
            <w:r w:rsidR="0026245B">
              <w:rPr>
                <w:rFonts w:eastAsia="Calibri"/>
              </w:rPr>
              <w:t>.</w:t>
            </w:r>
            <w:r w:rsidRPr="001C4B30">
              <w:rPr>
                <w:rFonts w:eastAsia="Calibri"/>
              </w:rPr>
              <w:t>297</w:t>
            </w:r>
          </w:p>
        </w:tc>
        <w:tc>
          <w:tcPr>
            <w:tcW w:w="1110" w:type="dxa"/>
            <w:tcBorders>
              <w:top w:val="nil"/>
              <w:bottom w:val="nil"/>
            </w:tcBorders>
          </w:tcPr>
          <w:p w14:paraId="437155B4" w14:textId="77777777" w:rsidR="000A1EE4" w:rsidRPr="001C4B30" w:rsidRDefault="000A1EE4" w:rsidP="00563392">
            <w:pPr>
              <w:pStyle w:val="tabelNummers"/>
              <w:rPr>
                <w:rFonts w:eastAsia="Calibri"/>
              </w:rPr>
            </w:pPr>
            <w:r w:rsidRPr="001C4B30">
              <w:rPr>
                <w:rFonts w:eastAsia="Calibri"/>
              </w:rPr>
              <w:t>-</w:t>
            </w:r>
          </w:p>
        </w:tc>
        <w:tc>
          <w:tcPr>
            <w:tcW w:w="1280" w:type="dxa"/>
            <w:tcBorders>
              <w:top w:val="nil"/>
              <w:bottom w:val="nil"/>
            </w:tcBorders>
          </w:tcPr>
          <w:p w14:paraId="6DF1B354" w14:textId="77777777" w:rsidR="000A1EE4" w:rsidRPr="001C4B30" w:rsidRDefault="000A1EE4" w:rsidP="00563392">
            <w:pPr>
              <w:pStyle w:val="tabelNummers"/>
              <w:rPr>
                <w:rFonts w:eastAsia="Calibri"/>
              </w:rPr>
            </w:pPr>
            <w:r w:rsidRPr="001C4B30">
              <w:rPr>
                <w:rFonts w:eastAsia="Calibri"/>
              </w:rPr>
              <w:t>-</w:t>
            </w:r>
          </w:p>
        </w:tc>
        <w:tc>
          <w:tcPr>
            <w:tcW w:w="1280" w:type="dxa"/>
            <w:tcBorders>
              <w:top w:val="nil"/>
              <w:bottom w:val="nil"/>
            </w:tcBorders>
          </w:tcPr>
          <w:p w14:paraId="6C798EA8" w14:textId="77777777" w:rsidR="000A1EE4" w:rsidRPr="001C4B30" w:rsidRDefault="000A1EE4" w:rsidP="00563392">
            <w:pPr>
              <w:pStyle w:val="tabelNummers"/>
              <w:rPr>
                <w:rFonts w:eastAsia="Calibri"/>
              </w:rPr>
            </w:pPr>
            <w:r w:rsidRPr="001C4B30">
              <w:rPr>
                <w:rFonts w:eastAsia="Calibri"/>
              </w:rPr>
              <w:t>0,09</w:t>
            </w:r>
          </w:p>
        </w:tc>
        <w:tc>
          <w:tcPr>
            <w:tcW w:w="1282" w:type="dxa"/>
            <w:tcBorders>
              <w:top w:val="nil"/>
              <w:bottom w:val="nil"/>
            </w:tcBorders>
          </w:tcPr>
          <w:p w14:paraId="0E62A7AA" w14:textId="77777777" w:rsidR="000A1EE4" w:rsidRPr="001C4B30" w:rsidRDefault="000A1EE4" w:rsidP="00563392">
            <w:pPr>
              <w:pStyle w:val="tabelNummers"/>
              <w:rPr>
                <w:rFonts w:eastAsia="Calibri"/>
              </w:rPr>
            </w:pPr>
            <w:r w:rsidRPr="001C4B30">
              <w:rPr>
                <w:rFonts w:eastAsia="Calibri"/>
              </w:rPr>
              <w:t>-</w:t>
            </w:r>
          </w:p>
        </w:tc>
        <w:tc>
          <w:tcPr>
            <w:tcW w:w="1280" w:type="dxa"/>
            <w:tcBorders>
              <w:top w:val="nil"/>
              <w:bottom w:val="nil"/>
            </w:tcBorders>
          </w:tcPr>
          <w:p w14:paraId="79C6D622" w14:textId="77777777" w:rsidR="000A1EE4" w:rsidRPr="001C4B30" w:rsidRDefault="000A1EE4" w:rsidP="00563392">
            <w:pPr>
              <w:pStyle w:val="tabelNummers"/>
              <w:rPr>
                <w:rFonts w:eastAsia="Calibri"/>
              </w:rPr>
            </w:pPr>
            <w:r w:rsidRPr="001C4B30">
              <w:rPr>
                <w:rFonts w:eastAsia="Calibri"/>
              </w:rPr>
              <w:t>-</w:t>
            </w:r>
          </w:p>
        </w:tc>
      </w:tr>
      <w:tr w:rsidR="000A1EE4" w:rsidRPr="001C4B30" w14:paraId="2088F066" w14:textId="77777777" w:rsidTr="0030721E">
        <w:tc>
          <w:tcPr>
            <w:tcW w:w="1555" w:type="dxa"/>
            <w:tcBorders>
              <w:top w:val="nil"/>
              <w:bottom w:val="nil"/>
            </w:tcBorders>
          </w:tcPr>
          <w:p w14:paraId="31A90B32" w14:textId="77777777" w:rsidR="000A1EE4" w:rsidRPr="001C4B30" w:rsidRDefault="000A1EE4" w:rsidP="00DE08B1">
            <w:pPr>
              <w:jc w:val="left"/>
              <w:rPr>
                <w:rFonts w:eastAsia="Calibri" w:cs="Times New Roman"/>
                <w:color w:val="auto"/>
                <w:sz w:val="20"/>
                <w:szCs w:val="20"/>
              </w:rPr>
            </w:pPr>
            <w:r w:rsidRPr="001C4B30">
              <w:rPr>
                <w:rFonts w:eastAsia="Calibri" w:cs="Times New Roman"/>
                <w:color w:val="auto"/>
                <w:sz w:val="20"/>
                <w:szCs w:val="20"/>
              </w:rPr>
              <w:t>Zeil en motor</w:t>
            </w:r>
          </w:p>
        </w:tc>
        <w:tc>
          <w:tcPr>
            <w:tcW w:w="1275" w:type="dxa"/>
            <w:tcBorders>
              <w:top w:val="nil"/>
              <w:bottom w:val="nil"/>
            </w:tcBorders>
          </w:tcPr>
          <w:p w14:paraId="3D1F4ED6" w14:textId="77777777" w:rsidR="000A1EE4" w:rsidRPr="001C4B30" w:rsidRDefault="000A1EE4" w:rsidP="00563392">
            <w:pPr>
              <w:pStyle w:val="tabelNummers"/>
              <w:rPr>
                <w:rFonts w:eastAsia="Calibri"/>
              </w:rPr>
            </w:pPr>
            <w:r w:rsidRPr="001C4B30">
              <w:rPr>
                <w:rFonts w:eastAsia="Calibri"/>
              </w:rPr>
              <w:t>72</w:t>
            </w:r>
          </w:p>
        </w:tc>
        <w:tc>
          <w:tcPr>
            <w:tcW w:w="1110" w:type="dxa"/>
            <w:tcBorders>
              <w:top w:val="nil"/>
              <w:bottom w:val="nil"/>
            </w:tcBorders>
          </w:tcPr>
          <w:p w14:paraId="75204121" w14:textId="77777777" w:rsidR="000A1EE4" w:rsidRPr="001C4B30" w:rsidRDefault="000A1EE4" w:rsidP="00563392">
            <w:pPr>
              <w:pStyle w:val="tabelNummers"/>
              <w:rPr>
                <w:rFonts w:eastAsia="Calibri"/>
              </w:rPr>
            </w:pPr>
            <w:r w:rsidRPr="001C4B30">
              <w:rPr>
                <w:rFonts w:eastAsia="Calibri"/>
              </w:rPr>
              <w:t>-</w:t>
            </w:r>
          </w:p>
        </w:tc>
        <w:tc>
          <w:tcPr>
            <w:tcW w:w="1280" w:type="dxa"/>
            <w:tcBorders>
              <w:top w:val="nil"/>
              <w:bottom w:val="nil"/>
            </w:tcBorders>
          </w:tcPr>
          <w:p w14:paraId="716F8393" w14:textId="77777777" w:rsidR="000A1EE4" w:rsidRPr="001C4B30" w:rsidRDefault="000A1EE4" w:rsidP="00563392">
            <w:pPr>
              <w:pStyle w:val="tabelNummers"/>
              <w:rPr>
                <w:rFonts w:eastAsia="Calibri"/>
              </w:rPr>
            </w:pPr>
            <w:r w:rsidRPr="001C4B30">
              <w:rPr>
                <w:rFonts w:eastAsia="Calibri"/>
              </w:rPr>
              <w:t>-</w:t>
            </w:r>
          </w:p>
        </w:tc>
        <w:tc>
          <w:tcPr>
            <w:tcW w:w="1280" w:type="dxa"/>
            <w:tcBorders>
              <w:top w:val="nil"/>
              <w:bottom w:val="nil"/>
            </w:tcBorders>
          </w:tcPr>
          <w:p w14:paraId="5E179084" w14:textId="77777777" w:rsidR="000A1EE4" w:rsidRPr="001C4B30" w:rsidRDefault="000A1EE4" w:rsidP="00563392">
            <w:pPr>
              <w:pStyle w:val="tabelNummers"/>
              <w:rPr>
                <w:rFonts w:eastAsia="Calibri"/>
              </w:rPr>
            </w:pPr>
            <w:r w:rsidRPr="001C4B30">
              <w:rPr>
                <w:rFonts w:eastAsia="Calibri"/>
              </w:rPr>
              <w:t>0,01</w:t>
            </w:r>
          </w:p>
        </w:tc>
        <w:tc>
          <w:tcPr>
            <w:tcW w:w="1282" w:type="dxa"/>
            <w:tcBorders>
              <w:top w:val="nil"/>
              <w:bottom w:val="nil"/>
            </w:tcBorders>
          </w:tcPr>
          <w:p w14:paraId="49100A5E" w14:textId="77777777" w:rsidR="000A1EE4" w:rsidRPr="001C4B30" w:rsidRDefault="000A1EE4" w:rsidP="00563392">
            <w:pPr>
              <w:pStyle w:val="tabelNummers"/>
              <w:rPr>
                <w:rFonts w:eastAsia="Calibri"/>
              </w:rPr>
            </w:pPr>
            <w:r w:rsidRPr="001C4B30">
              <w:rPr>
                <w:rFonts w:eastAsia="Calibri"/>
              </w:rPr>
              <w:t>-</w:t>
            </w:r>
          </w:p>
        </w:tc>
        <w:tc>
          <w:tcPr>
            <w:tcW w:w="1280" w:type="dxa"/>
            <w:tcBorders>
              <w:top w:val="nil"/>
              <w:bottom w:val="nil"/>
            </w:tcBorders>
          </w:tcPr>
          <w:p w14:paraId="076AA001" w14:textId="77777777" w:rsidR="000A1EE4" w:rsidRPr="001C4B30" w:rsidRDefault="000A1EE4" w:rsidP="00563392">
            <w:pPr>
              <w:pStyle w:val="tabelNummers"/>
              <w:rPr>
                <w:rFonts w:eastAsia="Calibri"/>
              </w:rPr>
            </w:pPr>
            <w:r w:rsidRPr="001C4B30">
              <w:rPr>
                <w:rFonts w:eastAsia="Calibri"/>
              </w:rPr>
              <w:t>-</w:t>
            </w:r>
          </w:p>
        </w:tc>
      </w:tr>
      <w:tr w:rsidR="000A1EE4" w:rsidRPr="001C4B30" w14:paraId="5E03321C" w14:textId="77777777" w:rsidTr="0030721E">
        <w:tc>
          <w:tcPr>
            <w:tcW w:w="1555" w:type="dxa"/>
            <w:tcBorders>
              <w:top w:val="nil"/>
            </w:tcBorders>
          </w:tcPr>
          <w:p w14:paraId="407B4F13" w14:textId="77777777" w:rsidR="000A1EE4" w:rsidRPr="001C4B30" w:rsidRDefault="000A1EE4" w:rsidP="00DE08B1">
            <w:pPr>
              <w:jc w:val="left"/>
              <w:rPr>
                <w:rFonts w:eastAsia="Calibri" w:cs="Times New Roman"/>
                <w:color w:val="auto"/>
                <w:sz w:val="20"/>
                <w:szCs w:val="20"/>
              </w:rPr>
            </w:pPr>
            <w:r w:rsidRPr="001C4B30">
              <w:rPr>
                <w:rFonts w:eastAsia="Calibri" w:cs="Times New Roman"/>
                <w:color w:val="auto"/>
                <w:sz w:val="20"/>
                <w:szCs w:val="20"/>
              </w:rPr>
              <w:t>Stoom</w:t>
            </w:r>
          </w:p>
        </w:tc>
        <w:tc>
          <w:tcPr>
            <w:tcW w:w="1275" w:type="dxa"/>
            <w:tcBorders>
              <w:top w:val="nil"/>
            </w:tcBorders>
          </w:tcPr>
          <w:p w14:paraId="55955375" w14:textId="77777777" w:rsidR="000A1EE4" w:rsidRPr="001C4B30" w:rsidRDefault="000A1EE4" w:rsidP="00563392">
            <w:pPr>
              <w:pStyle w:val="tabelNummers"/>
              <w:rPr>
                <w:rFonts w:eastAsia="Calibri"/>
              </w:rPr>
            </w:pPr>
            <w:r w:rsidRPr="001C4B30">
              <w:rPr>
                <w:rFonts w:eastAsia="Calibri"/>
              </w:rPr>
              <w:t>168</w:t>
            </w:r>
          </w:p>
        </w:tc>
        <w:tc>
          <w:tcPr>
            <w:tcW w:w="1110" w:type="dxa"/>
            <w:tcBorders>
              <w:top w:val="nil"/>
            </w:tcBorders>
          </w:tcPr>
          <w:p w14:paraId="5CAF9B40" w14:textId="77777777" w:rsidR="000A1EE4" w:rsidRPr="001C4B30" w:rsidRDefault="000A1EE4" w:rsidP="00563392">
            <w:pPr>
              <w:pStyle w:val="tabelNummers"/>
              <w:rPr>
                <w:rFonts w:eastAsia="Calibri"/>
              </w:rPr>
            </w:pPr>
            <w:r w:rsidRPr="001C4B30">
              <w:rPr>
                <w:rFonts w:eastAsia="Calibri"/>
              </w:rPr>
              <w:t>-</w:t>
            </w:r>
          </w:p>
        </w:tc>
        <w:tc>
          <w:tcPr>
            <w:tcW w:w="1280" w:type="dxa"/>
            <w:tcBorders>
              <w:top w:val="nil"/>
            </w:tcBorders>
          </w:tcPr>
          <w:p w14:paraId="57E3C7BB" w14:textId="77777777" w:rsidR="000A1EE4" w:rsidRPr="001C4B30" w:rsidRDefault="000A1EE4" w:rsidP="00563392">
            <w:pPr>
              <w:pStyle w:val="tabelNummers"/>
              <w:rPr>
                <w:rFonts w:eastAsia="Calibri"/>
              </w:rPr>
            </w:pPr>
            <w:r w:rsidRPr="001C4B30">
              <w:rPr>
                <w:rFonts w:eastAsia="Calibri"/>
              </w:rPr>
              <w:t>-</w:t>
            </w:r>
          </w:p>
        </w:tc>
        <w:tc>
          <w:tcPr>
            <w:tcW w:w="1280" w:type="dxa"/>
            <w:tcBorders>
              <w:top w:val="nil"/>
            </w:tcBorders>
          </w:tcPr>
          <w:p w14:paraId="587236D6" w14:textId="77777777" w:rsidR="000A1EE4" w:rsidRPr="001C4B30" w:rsidRDefault="000A1EE4" w:rsidP="00563392">
            <w:pPr>
              <w:pStyle w:val="tabelNummers"/>
              <w:rPr>
                <w:rFonts w:eastAsia="Calibri"/>
              </w:rPr>
            </w:pPr>
            <w:r w:rsidRPr="001C4B30">
              <w:rPr>
                <w:rFonts w:eastAsia="Calibri"/>
              </w:rPr>
              <w:t>0,04</w:t>
            </w:r>
          </w:p>
        </w:tc>
        <w:tc>
          <w:tcPr>
            <w:tcW w:w="1282" w:type="dxa"/>
            <w:tcBorders>
              <w:top w:val="nil"/>
            </w:tcBorders>
          </w:tcPr>
          <w:p w14:paraId="30AE8AC8" w14:textId="77777777" w:rsidR="000A1EE4" w:rsidRPr="001C4B30" w:rsidRDefault="000A1EE4" w:rsidP="00563392">
            <w:pPr>
              <w:pStyle w:val="tabelNummers"/>
              <w:rPr>
                <w:rFonts w:eastAsia="Calibri"/>
              </w:rPr>
            </w:pPr>
            <w:r w:rsidRPr="001C4B30">
              <w:rPr>
                <w:rFonts w:eastAsia="Calibri"/>
              </w:rPr>
              <w:t>-</w:t>
            </w:r>
          </w:p>
        </w:tc>
        <w:tc>
          <w:tcPr>
            <w:tcW w:w="1280" w:type="dxa"/>
            <w:tcBorders>
              <w:top w:val="nil"/>
            </w:tcBorders>
          </w:tcPr>
          <w:p w14:paraId="330EE8BC" w14:textId="77777777" w:rsidR="000A1EE4" w:rsidRPr="001C4B30" w:rsidRDefault="000A1EE4" w:rsidP="00563392">
            <w:pPr>
              <w:pStyle w:val="tabelNummers"/>
              <w:rPr>
                <w:rFonts w:eastAsia="Calibri"/>
              </w:rPr>
            </w:pPr>
            <w:r w:rsidRPr="001C4B30">
              <w:rPr>
                <w:rFonts w:eastAsia="Calibri"/>
              </w:rPr>
              <w:t>-</w:t>
            </w:r>
          </w:p>
        </w:tc>
      </w:tr>
      <w:tr w:rsidR="000A1EE4" w:rsidRPr="001C4B30" w14:paraId="380DB6FD" w14:textId="77777777" w:rsidTr="0030721E">
        <w:tc>
          <w:tcPr>
            <w:tcW w:w="1555" w:type="dxa"/>
          </w:tcPr>
          <w:p w14:paraId="3BA656C1" w14:textId="77777777" w:rsidR="000A1EE4" w:rsidRPr="001C4B30" w:rsidRDefault="000A1EE4" w:rsidP="00DE08B1">
            <w:pPr>
              <w:jc w:val="left"/>
              <w:rPr>
                <w:rFonts w:eastAsia="Calibri" w:cs="Times New Roman"/>
                <w:color w:val="auto"/>
                <w:sz w:val="20"/>
                <w:szCs w:val="20"/>
              </w:rPr>
            </w:pPr>
            <w:r w:rsidRPr="001C4B30">
              <w:rPr>
                <w:rFonts w:eastAsia="Calibri" w:cs="Times New Roman"/>
                <w:color w:val="auto"/>
                <w:sz w:val="20"/>
                <w:szCs w:val="20"/>
              </w:rPr>
              <w:t>Totaal</w:t>
            </w:r>
          </w:p>
        </w:tc>
        <w:tc>
          <w:tcPr>
            <w:tcW w:w="1275" w:type="dxa"/>
          </w:tcPr>
          <w:p w14:paraId="775B0A3E" w14:textId="72AE0713" w:rsidR="000A1EE4" w:rsidRPr="001C4B30" w:rsidRDefault="000A1EE4" w:rsidP="00563392">
            <w:pPr>
              <w:pStyle w:val="tabelNummers"/>
              <w:rPr>
                <w:rFonts w:eastAsia="Calibri"/>
              </w:rPr>
            </w:pPr>
            <w:r w:rsidRPr="001C4B30">
              <w:rPr>
                <w:rFonts w:eastAsia="Calibri"/>
              </w:rPr>
              <w:t>17</w:t>
            </w:r>
            <w:r w:rsidR="00E65EDC">
              <w:rPr>
                <w:rFonts w:eastAsia="Calibri"/>
              </w:rPr>
              <w:t>.055</w:t>
            </w:r>
          </w:p>
        </w:tc>
        <w:tc>
          <w:tcPr>
            <w:tcW w:w="1110" w:type="dxa"/>
          </w:tcPr>
          <w:p w14:paraId="7AA4EE72" w14:textId="0A736B4A" w:rsidR="000A1EE4" w:rsidRPr="001C4B30" w:rsidRDefault="000A1EE4" w:rsidP="00563392">
            <w:pPr>
              <w:pStyle w:val="tabelNummers"/>
              <w:rPr>
                <w:rFonts w:eastAsia="Calibri"/>
              </w:rPr>
            </w:pPr>
            <w:r w:rsidRPr="001C4B30">
              <w:rPr>
                <w:rFonts w:eastAsia="Calibri"/>
              </w:rPr>
              <w:t>9</w:t>
            </w:r>
            <w:r w:rsidR="00933A0A">
              <w:rPr>
                <w:rFonts w:eastAsia="Calibri"/>
              </w:rPr>
              <w:t>.</w:t>
            </w:r>
            <w:r w:rsidRPr="001C4B30">
              <w:rPr>
                <w:rFonts w:eastAsia="Calibri"/>
              </w:rPr>
              <w:t>884</w:t>
            </w:r>
          </w:p>
        </w:tc>
        <w:tc>
          <w:tcPr>
            <w:tcW w:w="1280" w:type="dxa"/>
          </w:tcPr>
          <w:p w14:paraId="245C8A6B" w14:textId="6401F646" w:rsidR="000A1EE4" w:rsidRPr="001C4B30" w:rsidRDefault="000A1EE4" w:rsidP="00563392">
            <w:pPr>
              <w:pStyle w:val="tabelNummers"/>
              <w:rPr>
                <w:rFonts w:eastAsia="Calibri"/>
              </w:rPr>
            </w:pPr>
            <w:r w:rsidRPr="001C4B30">
              <w:rPr>
                <w:rFonts w:eastAsia="Calibri"/>
              </w:rPr>
              <w:t>4</w:t>
            </w:r>
            <w:r w:rsidR="00933A0A">
              <w:rPr>
                <w:rFonts w:eastAsia="Calibri"/>
              </w:rPr>
              <w:t>.</w:t>
            </w:r>
            <w:r w:rsidRPr="001C4B30">
              <w:rPr>
                <w:rFonts w:eastAsia="Calibri"/>
              </w:rPr>
              <w:t>772</w:t>
            </w:r>
          </w:p>
        </w:tc>
        <w:tc>
          <w:tcPr>
            <w:tcW w:w="1280" w:type="dxa"/>
          </w:tcPr>
          <w:p w14:paraId="0D370038" w14:textId="082AB952" w:rsidR="000A1EE4" w:rsidRPr="001C4B30" w:rsidRDefault="000A1EE4" w:rsidP="00563392">
            <w:pPr>
              <w:pStyle w:val="tabelNummers"/>
              <w:rPr>
                <w:rFonts w:eastAsia="Calibri"/>
              </w:rPr>
            </w:pPr>
            <w:r w:rsidRPr="001C4B30">
              <w:rPr>
                <w:rFonts w:eastAsia="Calibri"/>
              </w:rPr>
              <w:t>4,1</w:t>
            </w:r>
            <w:r w:rsidR="00E65EDC">
              <w:rPr>
                <w:rFonts w:eastAsia="Calibri"/>
              </w:rPr>
              <w:t>7</w:t>
            </w:r>
          </w:p>
        </w:tc>
        <w:tc>
          <w:tcPr>
            <w:tcW w:w="1282" w:type="dxa"/>
          </w:tcPr>
          <w:p w14:paraId="1210138D" w14:textId="77777777" w:rsidR="000A1EE4" w:rsidRPr="001C4B30" w:rsidRDefault="000A1EE4" w:rsidP="00563392">
            <w:pPr>
              <w:pStyle w:val="tabelNummers"/>
              <w:rPr>
                <w:rFonts w:eastAsia="Calibri"/>
              </w:rPr>
            </w:pPr>
            <w:r w:rsidRPr="001C4B30">
              <w:rPr>
                <w:rFonts w:eastAsia="Calibri"/>
              </w:rPr>
              <w:t>4,96</w:t>
            </w:r>
          </w:p>
        </w:tc>
        <w:tc>
          <w:tcPr>
            <w:tcW w:w="1280" w:type="dxa"/>
          </w:tcPr>
          <w:p w14:paraId="0DCACC56" w14:textId="77777777" w:rsidR="000A1EE4" w:rsidRPr="001C4B30" w:rsidRDefault="000A1EE4" w:rsidP="00563392">
            <w:pPr>
              <w:pStyle w:val="tabelNummers"/>
              <w:rPr>
                <w:rFonts w:eastAsia="Calibri"/>
              </w:rPr>
            </w:pPr>
            <w:r w:rsidRPr="001C4B30">
              <w:rPr>
                <w:rFonts w:eastAsia="Calibri"/>
              </w:rPr>
              <w:t>5,57</w:t>
            </w:r>
          </w:p>
        </w:tc>
      </w:tr>
    </w:tbl>
    <w:p w14:paraId="0131E726" w14:textId="1765B59C" w:rsidR="000A1EE4" w:rsidRDefault="000A1EE4" w:rsidP="00DE08B1">
      <w:pPr>
        <w:jc w:val="left"/>
        <w:rPr>
          <w:rFonts w:eastAsia="Calibri" w:cs="Times New Roman"/>
          <w:color w:val="auto"/>
          <w:szCs w:val="24"/>
        </w:rPr>
      </w:pPr>
    </w:p>
    <w:p w14:paraId="27E23F01" w14:textId="021A7C93" w:rsidR="00E65EDC" w:rsidRPr="008E31D6" w:rsidRDefault="000A1EE4" w:rsidP="008E31D6">
      <w:pPr>
        <w:jc w:val="left"/>
        <w:rPr>
          <w:rFonts w:eastAsia="Calibri" w:cs="Times New Roman"/>
          <w:iCs/>
          <w:color w:val="auto"/>
          <w:szCs w:val="24"/>
        </w:rPr>
      </w:pPr>
      <w:r>
        <w:rPr>
          <w:rFonts w:eastAsia="Calibri" w:cs="Times New Roman"/>
          <w:i/>
          <w:iCs/>
          <w:color w:val="auto"/>
          <w:szCs w:val="24"/>
        </w:rPr>
        <w:t>Tabel 1</w:t>
      </w:r>
      <w:r w:rsidR="0026245B">
        <w:rPr>
          <w:rFonts w:eastAsia="Calibri" w:cs="Times New Roman"/>
          <w:i/>
          <w:iCs/>
          <w:color w:val="auto"/>
          <w:szCs w:val="24"/>
        </w:rPr>
        <w:t>8</w:t>
      </w:r>
      <w:r w:rsidR="00663406">
        <w:rPr>
          <w:rFonts w:eastAsia="Calibri" w:cs="Times New Roman"/>
          <w:i/>
          <w:iCs/>
          <w:color w:val="auto"/>
          <w:szCs w:val="24"/>
        </w:rPr>
        <w:t>:</w:t>
      </w:r>
      <w:r w:rsidRPr="001C4B30">
        <w:rPr>
          <w:rFonts w:eastAsia="Calibri" w:cs="Times New Roman"/>
          <w:color w:val="auto"/>
          <w:szCs w:val="24"/>
        </w:rPr>
        <w:t xml:space="preserve"> </w:t>
      </w:r>
      <w:r w:rsidRPr="001C4B30">
        <w:rPr>
          <w:rFonts w:eastAsia="Calibri" w:cs="Times New Roman"/>
          <w:i/>
          <w:color w:val="auto"/>
          <w:szCs w:val="24"/>
        </w:rPr>
        <w:t>Ontwikkeling Nederlandse binnen</w:t>
      </w:r>
      <w:r>
        <w:rPr>
          <w:rFonts w:eastAsia="Calibri" w:cs="Times New Roman"/>
          <w:i/>
          <w:color w:val="auto"/>
          <w:szCs w:val="24"/>
        </w:rPr>
        <w:t>vaart</w:t>
      </w:r>
      <w:r w:rsidRPr="001C4B30">
        <w:rPr>
          <w:rFonts w:eastAsia="Calibri" w:cs="Times New Roman"/>
          <w:i/>
          <w:color w:val="auto"/>
          <w:szCs w:val="24"/>
        </w:rPr>
        <w:t>vloot. Wijze van voortbeweging. Aantal vaartuigen (1950-2003).</w:t>
      </w:r>
      <w:r w:rsidR="00B71E86" w:rsidRPr="00B71E86">
        <w:rPr>
          <w:rStyle w:val="EndnoteReference"/>
          <w:rFonts w:eastAsia="Calibri" w:cs="Times New Roman"/>
          <w:iCs/>
          <w:color w:val="auto"/>
          <w:szCs w:val="24"/>
        </w:rPr>
        <w:endnoteReference w:id="74"/>
      </w:r>
      <w:r w:rsidR="00955053">
        <w:rPr>
          <w:rFonts w:eastAsia="Calibri" w:cs="Times New Roman"/>
          <w:iCs/>
          <w:color w:val="auto"/>
          <w:szCs w:val="24"/>
        </w:rPr>
        <w:t xml:space="preserve"> </w:t>
      </w:r>
      <w:r w:rsidR="004A6647">
        <w:rPr>
          <w:rFonts w:eastAsia="Calibri" w:cs="Times New Roman"/>
          <w:iCs/>
          <w:color w:val="auto"/>
          <w:szCs w:val="24"/>
        </w:rPr>
        <w:br/>
      </w:r>
      <w:r w:rsidR="00E65EDC" w:rsidRPr="001C4B30">
        <w:rPr>
          <w:rFonts w:eastAsia="Calibri" w:cs="Times New Roman"/>
          <w:color w:val="auto"/>
          <w:sz w:val="20"/>
          <w:szCs w:val="20"/>
        </w:rPr>
        <w:t>* In 1950: geregistreerde vloot. In 1970 en 2003: actieve vloot</w:t>
      </w:r>
      <w:r w:rsidR="00563392">
        <w:rPr>
          <w:rFonts w:eastAsia="Calibri" w:cs="Times New Roman"/>
          <w:color w:val="auto"/>
          <w:sz w:val="20"/>
          <w:szCs w:val="20"/>
        </w:rPr>
        <w:t>.</w:t>
      </w:r>
      <w:r w:rsidR="008E31D6">
        <w:rPr>
          <w:rFonts w:eastAsia="Calibri" w:cs="Times New Roman"/>
          <w:iCs/>
          <w:color w:val="auto"/>
          <w:szCs w:val="24"/>
        </w:rPr>
        <w:t xml:space="preserve"> </w:t>
      </w:r>
      <w:r w:rsidR="001902F1">
        <w:rPr>
          <w:rFonts w:eastAsia="Calibri" w:cs="Times New Roman"/>
          <w:iCs/>
          <w:color w:val="auto"/>
          <w:szCs w:val="24"/>
        </w:rPr>
        <w:br/>
      </w:r>
      <w:r w:rsidR="00E65EDC" w:rsidRPr="001C4B30">
        <w:rPr>
          <w:rFonts w:eastAsia="Calibri" w:cs="Times New Roman"/>
          <w:color w:val="auto"/>
          <w:sz w:val="20"/>
          <w:szCs w:val="20"/>
        </w:rPr>
        <w:t>** In 1971.</w:t>
      </w:r>
    </w:p>
    <w:p w14:paraId="20764F89" w14:textId="77777777" w:rsidR="000C69EB" w:rsidRDefault="000C69EB" w:rsidP="00DE08B1">
      <w:pPr>
        <w:jc w:val="left"/>
        <w:rPr>
          <w:rFonts w:ascii="Calibri" w:eastAsia="Times New Roman" w:hAnsi="Calibri" w:cs="Calibri"/>
          <w:color w:val="FF0000"/>
          <w:szCs w:val="24"/>
          <w:shd w:val="clear" w:color="auto" w:fill="FFFFFF"/>
          <w:lang w:eastAsia="nl-NL"/>
        </w:rPr>
      </w:pPr>
    </w:p>
    <w:p w14:paraId="5C058C7F" w14:textId="1B91ECFA" w:rsidR="00F650A0" w:rsidRPr="00E571BC" w:rsidRDefault="001E39E8" w:rsidP="00E571BC">
      <w:pPr>
        <w:jc w:val="left"/>
      </w:pPr>
      <w:r w:rsidRPr="00E66293">
        <w:rPr>
          <w:rFonts w:ascii="Calibri" w:eastAsia="Times New Roman" w:hAnsi="Calibri" w:cs="Calibri"/>
          <w:color w:val="FF0000"/>
          <w:szCs w:val="24"/>
          <w:shd w:val="clear" w:color="auto" w:fill="FFFFFF"/>
          <w:lang w:eastAsia="nl-NL"/>
        </w:rPr>
        <w:t>@i@</w:t>
      </w:r>
      <w:r w:rsidRPr="00E66293">
        <w:rPr>
          <w:color w:val="FF0000"/>
        </w:rPr>
        <w:t>[[[</w:t>
      </w:r>
      <w:r w:rsidRPr="001E39E8">
        <w:rPr>
          <w:color w:val="FF0000"/>
        </w:rPr>
        <w:t>37-27a_Saturnus.jpg</w:t>
      </w:r>
      <w:r w:rsidRPr="00E66293">
        <w:rPr>
          <w:color w:val="FF0000"/>
        </w:rPr>
        <w:t>]]]</w:t>
      </w:r>
      <w:r>
        <w:rPr>
          <w:rFonts w:ascii="Calibri" w:eastAsia="Times New Roman" w:hAnsi="Calibri" w:cs="Calibri"/>
          <w:color w:val="FF0000"/>
          <w:szCs w:val="24"/>
          <w:shd w:val="clear" w:color="auto" w:fill="FFFFFF"/>
          <w:lang w:eastAsia="nl-NL"/>
        </w:rPr>
        <w:t>@/i@​</w:t>
      </w:r>
    </w:p>
    <w:p w14:paraId="3B014A87" w14:textId="5C21156D" w:rsidR="00F650A0" w:rsidRPr="000C69EB" w:rsidRDefault="000C69EB" w:rsidP="005F0C12">
      <w:pPr>
        <w:spacing w:line="240" w:lineRule="auto"/>
        <w:jc w:val="left"/>
        <w:rPr>
          <w:rFonts w:eastAsia="Times New Roman" w:cs="Times New Roman"/>
          <w:b/>
          <w:bCs/>
          <w:color w:val="auto"/>
          <w:lang w:eastAsia="nl-NL"/>
        </w:rPr>
      </w:pPr>
      <w:r w:rsidRPr="00E66293">
        <w:rPr>
          <w:rFonts w:ascii="Calibri" w:eastAsia="Times New Roman" w:hAnsi="Calibri" w:cs="Calibri"/>
          <w:color w:val="FF0000"/>
          <w:szCs w:val="24"/>
          <w:shd w:val="clear" w:color="auto" w:fill="FFFFFF"/>
          <w:lang w:eastAsia="nl-NL"/>
        </w:rPr>
        <w:t>@i@</w:t>
      </w:r>
      <w:r w:rsidRPr="00E66293">
        <w:rPr>
          <w:color w:val="FF0000"/>
        </w:rPr>
        <w:t>[[[</w:t>
      </w:r>
      <w:r w:rsidRPr="00AF61D7">
        <w:rPr>
          <w:color w:val="FF0000"/>
        </w:rPr>
        <w:t>38-44_Schippersvrouwwas.jpg</w:t>
      </w:r>
      <w:r w:rsidRPr="00E66293">
        <w:rPr>
          <w:color w:val="FF0000"/>
        </w:rPr>
        <w:t>]]]</w:t>
      </w:r>
      <w:r>
        <w:rPr>
          <w:rFonts w:ascii="Calibri" w:eastAsia="Times New Roman" w:hAnsi="Calibri" w:cs="Calibri"/>
          <w:color w:val="FF0000"/>
          <w:szCs w:val="24"/>
          <w:shd w:val="clear" w:color="auto" w:fill="FFFFFF"/>
          <w:lang w:eastAsia="nl-NL"/>
        </w:rPr>
        <w:t>@/i@​</w:t>
      </w:r>
    </w:p>
    <w:p w14:paraId="40C87627" w14:textId="3B94FFE0" w:rsidR="001F221C" w:rsidRDefault="001F221C" w:rsidP="00DE08B1">
      <w:pPr>
        <w:jc w:val="left"/>
      </w:pPr>
    </w:p>
    <w:p w14:paraId="692071B4" w14:textId="77777777" w:rsidR="005A0876" w:rsidRDefault="005A0876" w:rsidP="00DE08B1">
      <w:pPr>
        <w:jc w:val="left"/>
      </w:pPr>
    </w:p>
    <w:p w14:paraId="5BCF4DF9" w14:textId="77777777" w:rsidR="0013663E" w:rsidRDefault="0013663E" w:rsidP="007217BA">
      <w:pPr>
        <w:pStyle w:val="Heading2"/>
      </w:pPr>
      <w:r>
        <w:t>De opkomst van de duwvaart (1960-1980)</w:t>
      </w:r>
    </w:p>
    <w:p w14:paraId="49985128" w14:textId="7F257B96" w:rsidR="00C73FC1" w:rsidRPr="001B4D90" w:rsidRDefault="007217BA" w:rsidP="00215494">
      <w:pPr>
        <w:jc w:val="left"/>
      </w:pPr>
      <w:r>
        <w:br/>
      </w:r>
      <w:r w:rsidR="0013663E">
        <w:t>Tot 1960 ging het massagoederenvervoer over de Rijn grotendeels met sleepeenheden. Zo’n sleepformatie bestond meestal uit één sleepboot, die vier tot zes sleepschepen met een gezamenlijk laadvermogen van ongeveer 5</w:t>
      </w:r>
      <w:r w:rsidR="002E3037">
        <w:t>.</w:t>
      </w:r>
      <w:r w:rsidR="0013663E">
        <w:t xml:space="preserve">200 ton op sleeptouw had. De totale bemanning van zo’n eenheid bedroeg 17 à 23 personen. Daartegenover </w:t>
      </w:r>
      <w:r w:rsidR="00C96FC0">
        <w:t xml:space="preserve">pasten </w:t>
      </w:r>
      <w:r w:rsidR="00656311">
        <w:t xml:space="preserve">Amerikaanse rederijen </w:t>
      </w:r>
      <w:r w:rsidR="0013663E">
        <w:t>al in de negentiende eeuw duwvaart toe. In de jaren vijftig brachten delegaties van</w:t>
      </w:r>
      <w:r w:rsidR="00656311">
        <w:t xml:space="preserve"> verschillende </w:t>
      </w:r>
      <w:r w:rsidR="0013663E">
        <w:t xml:space="preserve">grote Europese rederijen werkbezoeken aan de Verenigde Staten om de Amerikaanse duwvaart te bestuderen. Ze kwamen tot de conclusie dat deze vervoerwijze een belangrijke besparing </w:t>
      </w:r>
      <w:r w:rsidR="00656311">
        <w:t xml:space="preserve">op de </w:t>
      </w:r>
      <w:r w:rsidR="0013663E">
        <w:t xml:space="preserve">transportkosten kon opleveren. Een duwstel kon op de Rijn evenveel lading meenemen als een sleepeenheid, maar vroeg slechts een bemanning van negen personen. </w:t>
      </w:r>
    </w:p>
    <w:p w14:paraId="51BCDA7D" w14:textId="632B3A8C" w:rsidR="005F110D" w:rsidRPr="00402CA5" w:rsidRDefault="0013663E" w:rsidP="00402CA5">
      <w:pPr>
        <w:ind w:firstLine="708"/>
        <w:jc w:val="left"/>
      </w:pPr>
      <w:r>
        <w:t>Bovendien kon een duwboot bijna continu varen</w:t>
      </w:r>
      <w:r w:rsidRPr="00DD5169">
        <w:t>, terwijl bij de sleepvaart veel arbeidstijd verloren ging omdat ’s nachts niet werd gevaren</w:t>
      </w:r>
      <w:r w:rsidR="00C22442" w:rsidRPr="00DD5169">
        <w:t xml:space="preserve"> en</w:t>
      </w:r>
      <w:r w:rsidR="00C22442">
        <w:t xml:space="preserve"> omdat de </w:t>
      </w:r>
      <w:r>
        <w:t xml:space="preserve">bemanning </w:t>
      </w:r>
      <w:r w:rsidR="00C96FC0">
        <w:t xml:space="preserve">van de sleepschepen </w:t>
      </w:r>
      <w:r>
        <w:t>bij het laden en lossen meestal bij het vaartuig bleef. Verder leverde de duwvaart een besparing op de brandstofkosten en de bouw- en onderhoudskosten.</w:t>
      </w:r>
      <w:r>
        <w:rPr>
          <w:rStyle w:val="EndnoteReference"/>
        </w:rPr>
        <w:endnoteReference w:id="75"/>
      </w:r>
    </w:p>
    <w:p w14:paraId="293CEDDE" w14:textId="32F6328E" w:rsidR="007E4485" w:rsidRDefault="007E4485" w:rsidP="00402CA5">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ED3EF7">
        <w:rPr>
          <w:rFonts w:eastAsia="Times New Roman" w:cs="Times New Roman"/>
          <w:color w:val="FF0000"/>
          <w:lang w:eastAsia="nl-NL"/>
        </w:rPr>
        <w:t>39</w:t>
      </w:r>
      <w:r>
        <w:rPr>
          <w:rFonts w:eastAsia="Times New Roman" w:cs="Times New Roman"/>
          <w:color w:val="FF0000"/>
          <w:lang w:eastAsia="nl-NL"/>
        </w:rPr>
        <w:t>-52_</w:t>
      </w:r>
      <w:r>
        <w:rPr>
          <w:rFonts w:cstheme="minorHAnsi"/>
          <w:color w:val="FF0000"/>
        </w:rPr>
        <w:t>Wasserbüffel_Eerste.jpg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0582A586" w14:textId="6C02D070" w:rsidR="001B4D90" w:rsidRPr="004E7049" w:rsidRDefault="0013663E" w:rsidP="004E7049">
      <w:pPr>
        <w:ind w:firstLine="708"/>
        <w:jc w:val="left"/>
      </w:pPr>
      <w:r>
        <w:t xml:space="preserve">In 1957 begon de duwvaart op de Rijn, twee jaar later verscheen de eerste Nederlandse duwboot. Eerst </w:t>
      </w:r>
      <w:r w:rsidR="00656311">
        <w:t xml:space="preserve">moesten de rederijen met uitvoerige proefvaarten aantonen </w:t>
      </w:r>
      <w:r>
        <w:t xml:space="preserve">dat de nieuwe vervoerwijze voldoende veilig was. Vanaf 1960 nam de Rijnduwvaart snel toe. Spoedig ontstonden standaardeenheden: eerst </w:t>
      </w:r>
      <w:proofErr w:type="spellStart"/>
      <w:r>
        <w:t>vierbaksduwstellen</w:t>
      </w:r>
      <w:proofErr w:type="spellEnd"/>
      <w:r>
        <w:t xml:space="preserve"> met een laadvermogen van 10.800 ton, later na veel onderzoek en uitvoerige politieke discussies </w:t>
      </w:r>
      <w:proofErr w:type="spellStart"/>
      <w:r>
        <w:t>zesbaksduwstellen</w:t>
      </w:r>
      <w:proofErr w:type="spellEnd"/>
      <w:r>
        <w:t xml:space="preserve"> die tegenwoordig maximaal 18.000 ton ku</w:t>
      </w:r>
      <w:r w:rsidR="00DE7474">
        <w:t>nnen vervoeren. De grootste duw</w:t>
      </w:r>
      <w:r>
        <w:t>e</w:t>
      </w:r>
      <w:r w:rsidR="00191E41">
        <w:t>e</w:t>
      </w:r>
      <w:r>
        <w:t xml:space="preserve">nheden </w:t>
      </w:r>
      <w:r w:rsidR="001A0CAD">
        <w:t xml:space="preserve">vervoeren </w:t>
      </w:r>
      <w:r>
        <w:t xml:space="preserve">omvangrijke hoeveelheden massagoederen, zoals ijzererts en steenkolen, over de Rijn naar de Duitse staalindustrie. Daarnaast worden tweebaksduwstellen en koppelverbanden </w:t>
      </w:r>
      <w:r w:rsidR="00ED6E53">
        <w:t>(</w:t>
      </w:r>
      <w:r>
        <w:t>motorschepen die een duwbak meenemen</w:t>
      </w:r>
      <w:r w:rsidR="00ED6E53">
        <w:t>)</w:t>
      </w:r>
      <w:r>
        <w:t xml:space="preserve"> gebruikt voor vervoer naar </w:t>
      </w:r>
      <w:r w:rsidR="00C96FC0">
        <w:t xml:space="preserve">middelgrote </w:t>
      </w:r>
      <w:r>
        <w:t xml:space="preserve">bedrijven of bestemmingen </w:t>
      </w:r>
      <w:r w:rsidR="00656311">
        <w:t xml:space="preserve">aan middelgrote </w:t>
      </w:r>
      <w:r>
        <w:t>vaarwegen. Voor nog kleinere goederenstromen worden meestal motorschepen ingezet.</w:t>
      </w:r>
      <w:r w:rsidR="00D87595">
        <w:t xml:space="preserve"> </w:t>
      </w:r>
      <w:r w:rsidR="00B71E86">
        <w:t>In de tankvaart bleek duwvaart, d</w:t>
      </w:r>
      <w:r w:rsidR="00D87595">
        <w:t>ankzij de aard van de vaartuigen en de transporten</w:t>
      </w:r>
      <w:r w:rsidR="00B71E86">
        <w:t xml:space="preserve">, </w:t>
      </w:r>
      <w:r w:rsidR="00D87595">
        <w:t xml:space="preserve">niet rendabel. Deze bedrijfstak </w:t>
      </w:r>
      <w:r w:rsidR="00352534">
        <w:t xml:space="preserve">bleef </w:t>
      </w:r>
      <w:r w:rsidR="00D87595">
        <w:t xml:space="preserve">daarom uitsluitend van </w:t>
      </w:r>
      <w:r w:rsidR="00352534">
        <w:lastRenderedPageBreak/>
        <w:t>motorschepen gebruikmaken</w:t>
      </w:r>
      <w:r w:rsidR="00D87595">
        <w:t>.</w:t>
      </w:r>
      <w:r>
        <w:rPr>
          <w:rStyle w:val="EndnoteReference"/>
        </w:rPr>
        <w:endnoteReference w:id="76"/>
      </w:r>
      <w:r w:rsidR="001B4D90">
        <w:br/>
        <w:t xml:space="preserve"> </w:t>
      </w:r>
      <w:r w:rsidR="001B4D90" w:rsidRPr="005211BE">
        <w:rPr>
          <w:rFonts w:ascii="Calibri" w:eastAsia="Times New Roman" w:hAnsi="Calibri" w:cs="Calibri"/>
          <w:color w:val="FF0000"/>
          <w:szCs w:val="24"/>
          <w:shd w:val="clear" w:color="auto" w:fill="FFFFFF"/>
          <w:lang w:eastAsia="nl-NL"/>
        </w:rPr>
        <w:t>@i@</w:t>
      </w:r>
      <w:r w:rsidR="001B4D90" w:rsidRPr="005211BE">
        <w:rPr>
          <w:rFonts w:eastAsia="Times New Roman" w:cs="Times New Roman"/>
          <w:color w:val="FF0000"/>
          <w:szCs w:val="24"/>
          <w:lang w:eastAsia="nl-NL"/>
        </w:rPr>
        <w:t>[[[</w:t>
      </w:r>
      <w:bookmarkStart w:id="30" w:name="_Hlk168771989"/>
      <w:r w:rsidR="004E7049">
        <w:rPr>
          <w:rFonts w:eastAsia="Times New Roman" w:cs="Times New Roman"/>
          <w:color w:val="FF0000"/>
          <w:szCs w:val="24"/>
          <w:lang w:eastAsia="nl-NL"/>
        </w:rPr>
        <w:t>40</w:t>
      </w:r>
      <w:r w:rsidR="001B4D90">
        <w:rPr>
          <w:rFonts w:eastAsia="Times New Roman" w:cs="Times New Roman"/>
          <w:color w:val="FF0000"/>
          <w:szCs w:val="24"/>
          <w:lang w:eastAsia="nl-NL"/>
        </w:rPr>
        <w:t>-29_</w:t>
      </w:r>
      <w:r w:rsidR="001B4D90" w:rsidRPr="00101DB1">
        <w:rPr>
          <w:color w:val="FF0000"/>
        </w:rPr>
        <w:t>Ontmoetingzesbaksduwste</w:t>
      </w:r>
      <w:r w:rsidR="001B4D90">
        <w:rPr>
          <w:color w:val="FF0000"/>
        </w:rPr>
        <w:t>l</w:t>
      </w:r>
      <w:r w:rsidR="001B4D90">
        <w:rPr>
          <w:rFonts w:cstheme="minorHAnsi"/>
          <w:color w:val="FF0000"/>
        </w:rPr>
        <w:t>.jpg</w:t>
      </w:r>
      <w:bookmarkEnd w:id="30"/>
      <w:r w:rsidR="001B4D90" w:rsidRPr="005211BE">
        <w:rPr>
          <w:rFonts w:cstheme="minorHAnsi"/>
          <w:color w:val="FF0000"/>
        </w:rPr>
        <w:t>]]]</w:t>
      </w:r>
      <w:r w:rsidR="001B4D90" w:rsidRPr="005211BE">
        <w:rPr>
          <w:rFonts w:ascii="Calibri" w:eastAsia="Times New Roman" w:hAnsi="Calibri" w:cs="Calibri"/>
          <w:color w:val="FF0000"/>
          <w:szCs w:val="24"/>
          <w:shd w:val="clear" w:color="auto" w:fill="FFFFFF"/>
          <w:lang w:eastAsia="nl-NL"/>
        </w:rPr>
        <w:t>@/i@​</w:t>
      </w:r>
      <w:r w:rsidR="001B4D90">
        <w:rPr>
          <w:rFonts w:ascii="Calibri" w:eastAsia="Times New Roman" w:hAnsi="Calibri" w:cs="Calibri"/>
          <w:color w:val="FF0000"/>
          <w:szCs w:val="24"/>
          <w:shd w:val="clear" w:color="auto" w:fill="FFFFFF"/>
          <w:lang w:eastAsia="nl-NL"/>
        </w:rPr>
        <w:t xml:space="preserve">  </w:t>
      </w:r>
    </w:p>
    <w:p w14:paraId="581CC890" w14:textId="77777777" w:rsidR="00BF1437" w:rsidRDefault="00BF1437" w:rsidP="001B4D90">
      <w:pPr>
        <w:jc w:val="left"/>
      </w:pPr>
    </w:p>
    <w:p w14:paraId="17EA7581" w14:textId="77777777" w:rsidR="0053658C" w:rsidRDefault="0053658C" w:rsidP="00DE08B1">
      <w:pPr>
        <w:jc w:val="left"/>
      </w:pPr>
    </w:p>
    <w:p w14:paraId="19548FC6" w14:textId="257A4DF6" w:rsidR="00ED6E53" w:rsidRDefault="00ED6E53" w:rsidP="00E146FD">
      <w:pPr>
        <w:pStyle w:val="Heading2"/>
      </w:pPr>
      <w:r>
        <w:t>Innovatie en containervervoer</w:t>
      </w:r>
    </w:p>
    <w:p w14:paraId="36F91147" w14:textId="718C0B48" w:rsidR="009B79A8" w:rsidRPr="00CA197C" w:rsidRDefault="00E146FD" w:rsidP="009B79A8">
      <w:pPr>
        <w:jc w:val="left"/>
      </w:pPr>
      <w:r>
        <w:br/>
      </w:r>
      <w:r w:rsidR="00ED6E53">
        <w:t xml:space="preserve">Innovatie was in de binnenvaart jarenlang een zwak punt. </w:t>
      </w:r>
      <w:r w:rsidR="00D826BE">
        <w:t xml:space="preserve">Verladers, </w:t>
      </w:r>
      <w:r w:rsidR="00ED6E53">
        <w:t xml:space="preserve">reders, banken </w:t>
      </w:r>
      <w:r w:rsidR="00D826BE">
        <w:t xml:space="preserve">en schippers </w:t>
      </w:r>
      <w:r w:rsidR="00ED6E53">
        <w:t xml:space="preserve">waren nauwelijks in nieuwe </w:t>
      </w:r>
      <w:r w:rsidR="007726FA">
        <w:t xml:space="preserve">logistieke </w:t>
      </w:r>
      <w:r w:rsidR="00ED6E53">
        <w:t>concepten geïnteresseerd. Schippers investe</w:t>
      </w:r>
      <w:r w:rsidR="00D826BE">
        <w:t>e</w:t>
      </w:r>
      <w:r w:rsidR="00ED6E53">
        <w:t>r</w:t>
      </w:r>
      <w:r w:rsidR="00D826BE">
        <w:t>d</w:t>
      </w:r>
      <w:r w:rsidR="00ED6E53">
        <w:t>en hun bedrijfswinst bij voorkeur in grotere schepen, omdat deze een hogere opbrengst, meer levensruimte</w:t>
      </w:r>
      <w:r w:rsidR="00C95B86">
        <w:t xml:space="preserve"> </w:t>
      </w:r>
      <w:r w:rsidR="006331E3">
        <w:t xml:space="preserve">of meer status </w:t>
      </w:r>
      <w:r w:rsidR="00ED6E53">
        <w:t>b</w:t>
      </w:r>
      <w:r w:rsidR="00D826BE">
        <w:t>ode</w:t>
      </w:r>
      <w:r w:rsidR="00ED6E53">
        <w:t>n</w:t>
      </w:r>
      <w:r w:rsidR="006415C1">
        <w:t xml:space="preserve">, of </w:t>
      </w:r>
      <w:r w:rsidR="00DC3849">
        <w:t xml:space="preserve">in voorzieningen aan hun schepen, </w:t>
      </w:r>
      <w:r w:rsidR="007726FA">
        <w:t>die het vervoer goedkoper of gem</w:t>
      </w:r>
      <w:r w:rsidR="00DC3849">
        <w:t>a</w:t>
      </w:r>
      <w:r w:rsidR="007726FA">
        <w:t>kkelijker maakten</w:t>
      </w:r>
      <w:r w:rsidR="00ED6E53">
        <w:t xml:space="preserve">. </w:t>
      </w:r>
      <w:r w:rsidR="006331E3">
        <w:t>Vaak l</w:t>
      </w:r>
      <w:r w:rsidR="00ED6E53">
        <w:t>ieten ze hun vaartuig met een extra middenstuk verlengen, waardoor ze meer lading konden meenemen.</w:t>
      </w:r>
      <w:r w:rsidR="00670133">
        <w:t xml:space="preserve"> </w:t>
      </w:r>
      <w:r w:rsidR="00DC3849">
        <w:t xml:space="preserve">Verder werd het </w:t>
      </w:r>
      <w:r w:rsidR="006B4299">
        <w:t xml:space="preserve">rendement van de scheepsmotoren </w:t>
      </w:r>
      <w:r w:rsidR="003A230F">
        <w:t xml:space="preserve">voortdurend </w:t>
      </w:r>
      <w:r w:rsidR="006B4299">
        <w:t xml:space="preserve">verbeterd door voorzieningen aan de motoren zelf, de vormgeving van de schroeven en de toepassing van een straalbuis rondom de schroeven. </w:t>
      </w:r>
      <w:r w:rsidR="003A230F">
        <w:t xml:space="preserve">Daarnaast verschenen een aantal hulpmiddelen, die continuvaart bij nacht en dichte mist mogelijk maakten, de manoeuvreerbaarheid vergrootten, en </w:t>
      </w:r>
      <w:r w:rsidR="00EE28C2">
        <w:t xml:space="preserve">daarmee een belangrijke bijdrage aan de verkeersveiligheid leverden. </w:t>
      </w:r>
      <w:r w:rsidR="00EE28C2" w:rsidRPr="00EE28C2">
        <w:rPr>
          <w:rFonts w:eastAsia="Calibri" w:cs="Times New Roman"/>
          <w:color w:val="auto"/>
          <w:szCs w:val="24"/>
        </w:rPr>
        <w:t>Tussen 1965 en 1985 werden duwstellen en grote motorschepen uitgerust met radar en marifoon</w:t>
      </w:r>
      <w:r w:rsidR="00EE28C2">
        <w:rPr>
          <w:rStyle w:val="EndnoteReference"/>
          <w:rFonts w:eastAsia="Calibri" w:cs="Times New Roman"/>
          <w:color w:val="auto"/>
          <w:szCs w:val="24"/>
        </w:rPr>
        <w:endnoteReference w:id="77"/>
      </w:r>
      <w:r w:rsidR="00EE28C2" w:rsidRPr="00EE28C2">
        <w:rPr>
          <w:rFonts w:eastAsia="Calibri" w:cs="Times New Roman"/>
          <w:color w:val="auto"/>
          <w:szCs w:val="24"/>
        </w:rPr>
        <w:t xml:space="preserve">, later volgden </w:t>
      </w:r>
      <w:r w:rsidR="00EE28C2">
        <w:rPr>
          <w:rFonts w:eastAsia="Calibri" w:cs="Times New Roman"/>
          <w:color w:val="auto"/>
          <w:szCs w:val="24"/>
        </w:rPr>
        <w:t xml:space="preserve">kleinere schepen </w:t>
      </w:r>
      <w:r w:rsidR="00EE28C2" w:rsidRPr="00EE28C2">
        <w:rPr>
          <w:rFonts w:eastAsia="Calibri" w:cs="Times New Roman"/>
          <w:color w:val="auto"/>
          <w:szCs w:val="24"/>
        </w:rPr>
        <w:t>en een deel van de recreatievaart.</w:t>
      </w:r>
      <w:r w:rsidR="003A230F">
        <w:t xml:space="preserve"> </w:t>
      </w:r>
      <w:r w:rsidR="00EE28C2">
        <w:t>Omstreeks 1965 verschenen de eerste boegschroeven</w:t>
      </w:r>
      <w:r w:rsidR="00CB5F1F">
        <w:t xml:space="preserve">, die het binnenlopen van rivierhavens en het manoeuvreren </w:t>
      </w:r>
      <w:r w:rsidR="005154D2">
        <w:t>bij sluizen, bruggen en in havens vergemakkelijkten.</w:t>
      </w:r>
      <w:r w:rsidR="005154D2" w:rsidRPr="005154D2">
        <w:t xml:space="preserve"> </w:t>
      </w:r>
      <w:r w:rsidR="005154D2" w:rsidRPr="005154D2">
        <w:rPr>
          <w:rFonts w:eastAsia="Calibri" w:cs="Times New Roman"/>
          <w:color w:val="auto"/>
          <w:szCs w:val="24"/>
        </w:rPr>
        <w:t>De eerste stuurautomaten en bochtaanwijzers kwamen omstreeks 1975 in gebruik. Deze vereenvoudigden het varen door bochten en op lange rechte stukken en bespaarden brandstof. Het meest recente hulpmiddel is het Automatisch Identificatiesysteem (AIS), waardoor de schipper in zijn stuurhut op een elektronische kaart voortdurend automatisch de positie van zijn schip, de positie en naam van schepen in zijn omgeving en bijzonderheden van de vaarweg, zoals het verloop van de vaargeul en dieptelijnen, geprojecteerd ziet. Vanaf 2016 moet ieder binnenschip met een dergelijk systeem zijn uitgerust.</w:t>
      </w:r>
      <w:r w:rsidR="005154D2">
        <w:rPr>
          <w:rFonts w:eastAsia="Calibri" w:cs="Times New Roman"/>
          <w:color w:val="auto"/>
          <w:szCs w:val="24"/>
        </w:rPr>
        <w:t xml:space="preserve"> </w:t>
      </w:r>
      <w:r w:rsidR="00B16737">
        <w:rPr>
          <w:rFonts w:eastAsia="Calibri" w:cs="Times New Roman"/>
          <w:color w:val="auto"/>
          <w:szCs w:val="24"/>
        </w:rPr>
        <w:t>Elders in dit hoofdstuk is beschreven, hoe de zware boordwerkzaamheden geleidelijk verdwenen en hoe de communicatiemogelijkheden met de wal werden verbeterd.</w:t>
      </w:r>
      <w:r w:rsidR="0065503D">
        <w:rPr>
          <w:rStyle w:val="EndnoteReference"/>
        </w:rPr>
        <w:endnoteReference w:id="78"/>
      </w:r>
      <w:r w:rsidR="006466BD">
        <w:t xml:space="preserve"> </w:t>
      </w:r>
    </w:p>
    <w:p w14:paraId="0C189368" w14:textId="383287E2" w:rsidR="009B79A8" w:rsidRDefault="009B79A8" w:rsidP="009B79A8">
      <w:pPr>
        <w:jc w:val="left"/>
        <w:rPr>
          <w:rFonts w:ascii="Calibri" w:eastAsia="Times New Roman" w:hAnsi="Calibri" w:cs="Calibri"/>
          <w:color w:val="C45911" w:themeColor="accent2" w:themeShade="BF"/>
          <w:szCs w:val="24"/>
          <w:shd w:val="clear" w:color="auto" w:fill="FFFFFF"/>
          <w:lang w:eastAsia="nl-NL"/>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CA197C">
        <w:rPr>
          <w:rFonts w:eastAsia="Times New Roman" w:cs="Times New Roman"/>
          <w:color w:val="FF0000"/>
          <w:szCs w:val="24"/>
          <w:lang w:eastAsia="nl-NL"/>
        </w:rPr>
        <w:t>41</w:t>
      </w:r>
      <w:r>
        <w:rPr>
          <w:color w:val="FF0000"/>
        </w:rPr>
        <w:t>-</w:t>
      </w:r>
      <w:r w:rsidRPr="008E1EAC">
        <w:rPr>
          <w:color w:val="FF0000"/>
        </w:rPr>
        <w:t>60_BeweegbaarStuurhuis.JPG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458F5195" w14:textId="7774551B" w:rsidR="00ED6E53" w:rsidRPr="00F450A0" w:rsidRDefault="0065503D" w:rsidP="000932AF">
      <w:pPr>
        <w:ind w:firstLine="708"/>
        <w:jc w:val="left"/>
      </w:pPr>
      <w:r>
        <w:t xml:space="preserve">Daartegenover </w:t>
      </w:r>
      <w:r w:rsidR="005B30F5">
        <w:t xml:space="preserve">verschenen </w:t>
      </w:r>
      <w:r>
        <w:t xml:space="preserve">gedurende de laatste </w:t>
      </w:r>
      <w:r w:rsidR="00ED6E53">
        <w:t xml:space="preserve">decennia </w:t>
      </w:r>
      <w:r w:rsidR="005B30F5">
        <w:t xml:space="preserve">nieuwe </w:t>
      </w:r>
      <w:r w:rsidR="00ED6E53">
        <w:t>vaartuigen, waarbij op innovatieve wijze werd ingespeeld op de wens naar lagere vervoerskosten, een betere logistieke dienstverlening of een schoner milieu.</w:t>
      </w:r>
      <w:r>
        <w:t xml:space="preserve"> </w:t>
      </w:r>
      <w:r w:rsidR="00ED6E53">
        <w:t xml:space="preserve">Het eerste voorbeeld is natuurlijk de duwvaart. Een tweede voorbeeld zijn de autoschepen op de Rijn. Als eerste kwam in 1983 het motorschip </w:t>
      </w:r>
      <w:r w:rsidR="00ED6E53">
        <w:rPr>
          <w:i/>
          <w:iCs/>
        </w:rPr>
        <w:t xml:space="preserve">Terra </w:t>
      </w:r>
      <w:r w:rsidR="00ED6E53">
        <w:t xml:space="preserve">(110 x 11,40 x </w:t>
      </w:r>
      <w:r w:rsidR="008A5F03">
        <w:t>3</w:t>
      </w:r>
      <w:r w:rsidR="00ED6E53">
        <w:t>,8</w:t>
      </w:r>
      <w:r w:rsidR="008A5F03">
        <w:t>8</w:t>
      </w:r>
      <w:r w:rsidR="00ED6E53">
        <w:t xml:space="preserve"> meter) in de vaart, dat auto’s van de Fordfabrieken in Keulen naar de zeehavens vervoerde, waarop zeshonderd auto’s konden worden meegenomen. In 2006 waren ongeveer twintig van dergelijke vaartuigen en duwbakken in bedrijf, die een ruimer vaargebied bestreken en voor een aantal Europese en Japanse autofabrikanten werkten. Een andere trendsetter was het motorcontainerschip </w:t>
      </w:r>
      <w:proofErr w:type="spellStart"/>
      <w:r w:rsidR="00ED6E53">
        <w:rPr>
          <w:i/>
          <w:iCs/>
        </w:rPr>
        <w:t>Jowi</w:t>
      </w:r>
      <w:proofErr w:type="spellEnd"/>
      <w:r w:rsidR="00ED6E53">
        <w:rPr>
          <w:i/>
          <w:iCs/>
        </w:rPr>
        <w:t xml:space="preserve"> </w:t>
      </w:r>
      <w:r w:rsidR="00ED6E53">
        <w:t>(135 x 16,9 x 3,20 meter), dat in 1998 op de rivieren verscheen. Dit vaartuig dat 470 TEU</w:t>
      </w:r>
      <w:r w:rsidR="00ED6E53">
        <w:rPr>
          <w:rStyle w:val="EndnoteReference"/>
        </w:rPr>
        <w:endnoteReference w:id="79"/>
      </w:r>
      <w:r w:rsidR="00ED6E53">
        <w:t xml:space="preserve"> kon vervoeren, vormde een doorbraak in het containervervoer. Lange tijd golden voor Rijnvaart-motorschepen maximale afmetingen van 110 x 11,45 meter. Vanaf 1995 werd voor </w:t>
      </w:r>
      <w:r w:rsidR="00ED6E53">
        <w:lastRenderedPageBreak/>
        <w:t xml:space="preserve">motorschepen 135 x 22 meter toegestaan. De </w:t>
      </w:r>
      <w:proofErr w:type="spellStart"/>
      <w:r w:rsidR="00ED6E53">
        <w:rPr>
          <w:i/>
          <w:iCs/>
        </w:rPr>
        <w:t>Jowi</w:t>
      </w:r>
      <w:proofErr w:type="spellEnd"/>
      <w:r w:rsidR="00ED6E53">
        <w:rPr>
          <w:i/>
          <w:iCs/>
        </w:rPr>
        <w:t xml:space="preserve"> </w:t>
      </w:r>
      <w:r w:rsidR="00ED6E53">
        <w:t xml:space="preserve">maakte als eerste van deze nieuwe mogelijkheid gebruik. Sindsdien zijn veel andere Rijnvaart-containerschepen en tankschepen met soortgelijke afmetingen gebouwd. Een vierde voorbeeld is de tanker </w:t>
      </w:r>
      <w:proofErr w:type="spellStart"/>
      <w:r w:rsidR="00ED6E53">
        <w:rPr>
          <w:i/>
          <w:iCs/>
        </w:rPr>
        <w:t>Argonon</w:t>
      </w:r>
      <w:proofErr w:type="spellEnd"/>
      <w:r w:rsidR="00ED6E53">
        <w:rPr>
          <w:i/>
          <w:iCs/>
        </w:rPr>
        <w:t xml:space="preserve"> </w:t>
      </w:r>
      <w:r w:rsidR="00ED6E53">
        <w:t>(110 x 16,2 x 4,95 meter, laadvermogen 6</w:t>
      </w:r>
      <w:r w:rsidR="009A7956">
        <w:t>.</w:t>
      </w:r>
      <w:r w:rsidR="00ED6E53">
        <w:t>100 ton, in 2011. Dit vaartuig maakt voor zijn voortstuwing grotendeels gebruik van vloeibaar aardgas (LNG) en stoot daardoor minder CO</w:t>
      </w:r>
      <w:r w:rsidR="00ED6E53">
        <w:rPr>
          <w:vertAlign w:val="subscript"/>
        </w:rPr>
        <w:t xml:space="preserve">2 </w:t>
      </w:r>
      <w:r w:rsidR="00ED6E53">
        <w:t xml:space="preserve">en fijn stof uit. Het grootste motorschip dat thans in bedrijf is, is de tanker </w:t>
      </w:r>
      <w:r w:rsidR="00ED6E53">
        <w:rPr>
          <w:i/>
          <w:iCs/>
        </w:rPr>
        <w:t xml:space="preserve">Vorstenbosch </w:t>
      </w:r>
      <w:r w:rsidR="00ED6E53">
        <w:t>(147 x 22,80 x 6,56 meter, laadvermogen 13.300 ton), die alleen tussen Rotterdam, Amsterdam en Antwerpen mag varen.</w:t>
      </w:r>
      <w:r w:rsidR="00ED6E53">
        <w:rPr>
          <w:rStyle w:val="EndnoteReference"/>
        </w:rPr>
        <w:endnoteReference w:id="80"/>
      </w:r>
      <w:r w:rsidR="00ED6E53">
        <w:t xml:space="preserve">  </w:t>
      </w:r>
    </w:p>
    <w:p w14:paraId="479D091D" w14:textId="3D1673A9" w:rsidR="00A65D50" w:rsidRDefault="00012A1B" w:rsidP="00012A1B">
      <w:pPr>
        <w:jc w:val="left"/>
        <w:rPr>
          <w:rFonts w:ascii="Calibri" w:eastAsia="Times New Roman" w:hAnsi="Calibri" w:cs="Calibri"/>
          <w:color w:val="FF0000"/>
          <w:szCs w:val="24"/>
          <w:shd w:val="clear" w:color="auto" w:fill="FFFFFF"/>
          <w:lang w:eastAsia="nl-NL"/>
        </w:rPr>
      </w:pPr>
      <w:bookmarkStart w:id="31" w:name="_Hlk161520962"/>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48639C">
        <w:rPr>
          <w:rFonts w:eastAsia="Times New Roman" w:cs="Times New Roman"/>
          <w:color w:val="FF0000"/>
          <w:szCs w:val="24"/>
          <w:lang w:eastAsia="nl-NL"/>
        </w:rPr>
        <w:t>42-</w:t>
      </w:r>
      <w:r>
        <w:rPr>
          <w:rFonts w:eastAsia="Times New Roman" w:cs="Times New Roman"/>
          <w:color w:val="FF0000"/>
          <w:szCs w:val="24"/>
          <w:lang w:eastAsia="nl-NL"/>
        </w:rPr>
        <w:t>31_Vorstenbosch</w:t>
      </w:r>
      <w:r>
        <w:rPr>
          <w:rFonts w:cstheme="minorHAnsi"/>
          <w:color w:val="FF0000"/>
        </w:rPr>
        <w:t>.jpg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26399EA4" w14:textId="5A2C6EF4" w:rsidR="00ED6E53" w:rsidRPr="00F32CBB" w:rsidRDefault="009B79A8" w:rsidP="00012A1B">
      <w:pPr>
        <w:jc w:val="left"/>
        <w:rPr>
          <w:rFonts w:ascii="Calibri" w:eastAsia="Times New Roman" w:hAnsi="Calibri" w:cs="Calibri"/>
          <w:color w:val="FF0000"/>
          <w:szCs w:val="24"/>
          <w:shd w:val="clear" w:color="auto" w:fill="FFFFFF"/>
          <w:lang w:eastAsia="nl-NL"/>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AF2F29">
        <w:rPr>
          <w:rFonts w:eastAsia="Times New Roman" w:cs="Times New Roman"/>
          <w:color w:val="FF0000"/>
          <w:szCs w:val="24"/>
          <w:lang w:eastAsia="nl-NL"/>
        </w:rPr>
        <w:t>42a-</w:t>
      </w:r>
      <w:r>
        <w:rPr>
          <w:color w:val="FF0000"/>
        </w:rPr>
        <w:t>14</w:t>
      </w:r>
      <w:r w:rsidRPr="00213C80">
        <w:rPr>
          <w:color w:val="FF0000"/>
        </w:rPr>
        <w:t>_</w:t>
      </w:r>
      <w:r>
        <w:rPr>
          <w:color w:val="FF0000"/>
        </w:rPr>
        <w:t>Dieze</w:t>
      </w:r>
      <w:r w:rsidRPr="00213C80">
        <w:rPr>
          <w:color w:val="FF0000"/>
        </w:rPr>
        <w:t>.jpg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r>
        <w:rPr>
          <w:rFonts w:ascii="Calibri" w:eastAsia="Times New Roman" w:hAnsi="Calibri" w:cs="Calibri"/>
          <w:color w:val="FF0000"/>
          <w:szCs w:val="24"/>
          <w:shd w:val="clear" w:color="auto" w:fill="FFFFFF"/>
          <w:lang w:eastAsia="nl-NL"/>
        </w:rPr>
        <w:t xml:space="preserve"> </w:t>
      </w:r>
      <w:bookmarkEnd w:id="31"/>
      <w:r w:rsidR="00012A1B">
        <w:br/>
        <w:t xml:space="preserve"> </w:t>
      </w:r>
      <w:r w:rsidR="00012A1B">
        <w:tab/>
      </w:r>
      <w:r w:rsidR="00ED6E53">
        <w:t>Gecompliceerde vaartuigen zijn de grote chemicaliëntankers, die chemische producten zoals zwavelzuur en zoutzuur vervoeren. Vaak beschikken ze over een groot aantal tanks van roestvrij staal, die alle</w:t>
      </w:r>
      <w:r w:rsidR="00D826BE">
        <w:t>maal</w:t>
      </w:r>
      <w:r w:rsidR="00ED6E53">
        <w:t xml:space="preserve"> een afzonderlijke lading kunnen vervoeren. Al deze chemicaliën </w:t>
      </w:r>
      <w:r w:rsidR="00D826BE">
        <w:t xml:space="preserve">vragen </w:t>
      </w:r>
      <w:r w:rsidR="00ED6E53">
        <w:t>een afzonderlijke behandeling, bijvoorbeeld voor de temperatuur. Niet alleen moet de bemanning van deze vaartuigen over veel kennis en ervaring beschikken, maar bovendien is de hele ladingbehandeling inclusief het schoonspoelen van de tanks geautomatiseerd.</w:t>
      </w:r>
      <w:r w:rsidR="00ED6E53">
        <w:rPr>
          <w:rStyle w:val="EndnoteReference"/>
        </w:rPr>
        <w:endnoteReference w:id="81"/>
      </w:r>
      <w:r w:rsidR="00ED6E53">
        <w:t xml:space="preserve"> </w:t>
      </w:r>
    </w:p>
    <w:p w14:paraId="0B87C76F" w14:textId="64E3416F" w:rsidR="00ED6E53" w:rsidRDefault="00ED6E53" w:rsidP="00B2190B">
      <w:pPr>
        <w:ind w:firstLine="708"/>
        <w:jc w:val="left"/>
      </w:pPr>
      <w:r>
        <w:t xml:space="preserve">Een geslaagd voorbeeld van een logistieke innovatie was de komst van de kleine motor-containerschepen, de zogenaamde </w:t>
      </w:r>
      <w:proofErr w:type="spellStart"/>
      <w:r>
        <w:t>neo</w:t>
      </w:r>
      <w:proofErr w:type="spellEnd"/>
      <w:r>
        <w:t xml:space="preserve">-kempenaars (63 x 7 x 2,9 meter), die maximaal 48 TEU kunnen vervoeren en containervervoer op kleine vaarwegen mogelijk maken. </w:t>
      </w:r>
      <w:r w:rsidR="00D826BE">
        <w:t>Logistieke innovatie vormt ook</w:t>
      </w:r>
      <w:r w:rsidR="00695A3A">
        <w:t xml:space="preserve"> bij een onderneming als </w:t>
      </w:r>
      <w:proofErr w:type="spellStart"/>
      <w:r w:rsidR="00695A3A">
        <w:t>Agrifirm</w:t>
      </w:r>
      <w:proofErr w:type="spellEnd"/>
      <w:r w:rsidR="00695A3A">
        <w:t xml:space="preserve">, </w:t>
      </w:r>
      <w:bookmarkStart w:id="32" w:name="_Hlk71882447"/>
      <w:r w:rsidR="00695A3A">
        <w:t>een groot meng-veevoerbedrijf met vestigingen verspreid over heel Nederland, alle gelegen aan grote vaarwegen met uiteenlopende afmetingen</w:t>
      </w:r>
      <w:r w:rsidR="00D826BE">
        <w:t xml:space="preserve">, </w:t>
      </w:r>
      <w:r w:rsidR="00695A3A">
        <w:t xml:space="preserve">de basis voor de </w:t>
      </w:r>
      <w:r w:rsidR="004C145A">
        <w:t xml:space="preserve">bedrijfsvoering. </w:t>
      </w:r>
      <w:bookmarkEnd w:id="32"/>
      <w:r w:rsidR="00695A3A">
        <w:t xml:space="preserve">Het </w:t>
      </w:r>
      <w:r>
        <w:t xml:space="preserve">vervoer bestaat uit grote en kleine partijen van verschillende soorten graan, vanuit Rotterdam, Amsterdam en Antwerpen naar de verschillende bedrijfsvestigingen. Sedert 2009 </w:t>
      </w:r>
      <w:r w:rsidR="00874213">
        <w:t xml:space="preserve">verzorgt </w:t>
      </w:r>
      <w:proofErr w:type="spellStart"/>
      <w:r>
        <w:t>Agrifirm</w:t>
      </w:r>
      <w:proofErr w:type="spellEnd"/>
      <w:r>
        <w:t xml:space="preserve"> zijn eigen vervoer </w:t>
      </w:r>
      <w:r w:rsidR="004C145A">
        <w:t xml:space="preserve">met ingehuurde duwboten en </w:t>
      </w:r>
      <w:r>
        <w:t>met vijftig eigen duwbakken van 900 tot 3</w:t>
      </w:r>
      <w:r w:rsidR="005D0264">
        <w:t>.</w:t>
      </w:r>
      <w:r>
        <w:t>500 ton, specifiek afgestemd op de vaarw</w:t>
      </w:r>
      <w:r w:rsidR="00D826BE">
        <w:t>egen</w:t>
      </w:r>
      <w:r>
        <w:t xml:space="preserve"> en de ladingbehoefte van de verschillende fabrieken</w:t>
      </w:r>
      <w:r w:rsidR="004C145A">
        <w:t xml:space="preserve">. </w:t>
      </w:r>
      <w:r>
        <w:t>Het hele vaarbedrijf met duwboten, duwbakken, koppelplaatsen onderweg, vaartrajecten, afhandeling in de havens, laden, lossen en eventueel tijdelijk gebruik van de duwbakken als opslagruimte wordt telkens opnieuw geoptimaliseerd en afgestemd op het verdere productieproces.</w:t>
      </w:r>
      <w:r>
        <w:rPr>
          <w:rStyle w:val="EndnoteReference"/>
        </w:rPr>
        <w:endnoteReference w:id="82"/>
      </w:r>
      <w:r>
        <w:t xml:space="preserve">  </w:t>
      </w:r>
    </w:p>
    <w:p w14:paraId="72FA963B" w14:textId="09AE1A46" w:rsidR="00ED6E53" w:rsidRDefault="00F642C8" w:rsidP="00035FD0">
      <w:pPr>
        <w:jc w:val="left"/>
      </w:pPr>
      <w:r>
        <w:tab/>
      </w:r>
      <w:r w:rsidR="00ED6E53">
        <w:t xml:space="preserve">In 1998 werd het Expertise en Innovatiecentrum Binnenvaart (EICB) opgericht, waarin overheid en bedrijfsleven samenwerken om de innovatie in de binnenvaart te bevorderen. Sedertdien coördineerde deze organisatie een groot aantal vernieuwingsactiviteiten. De grote uitdaging is thans om tot </w:t>
      </w:r>
      <w:proofErr w:type="spellStart"/>
      <w:r w:rsidR="00ED6E53">
        <w:t>emissieloos</w:t>
      </w:r>
      <w:proofErr w:type="spellEnd"/>
      <w:r w:rsidR="00ED6E53">
        <w:t xml:space="preserve"> varen te komen. Daartoe worden twee wegen bewandeld. </w:t>
      </w:r>
      <w:r w:rsidR="00B36282">
        <w:t xml:space="preserve">Enerzijds zijn verwisselbare batterij-containers ontwikkeld, geladen met duurzaam opgewekte elektrische stroom, die schepen onderweg zonder veel tijdverlies kunnen </w:t>
      </w:r>
      <w:r w:rsidR="009E27AD">
        <w:t>om</w:t>
      </w:r>
      <w:r w:rsidR="00B36282">
        <w:t xml:space="preserve">wisselen. Het eerste vaartuig met een dergelijke krachtbron </w:t>
      </w:r>
      <w:r w:rsidR="00E85D48">
        <w:t xml:space="preserve">komt in 2024 </w:t>
      </w:r>
      <w:r w:rsidR="00B36282">
        <w:t xml:space="preserve">in bedrijf. </w:t>
      </w:r>
      <w:r w:rsidR="00ED6E53">
        <w:t xml:space="preserve">Anderzijds </w:t>
      </w:r>
      <w:r w:rsidR="00DD6B7E">
        <w:t>is het eerste door waterstof (H</w:t>
      </w:r>
      <w:r w:rsidR="00DD6B7E">
        <w:rPr>
          <w:vertAlign w:val="subscript"/>
        </w:rPr>
        <w:t>2</w:t>
      </w:r>
      <w:r w:rsidR="00DD6B7E">
        <w:t xml:space="preserve">) aangedreven vaartuig eind 2023 in de vaart gekomen. Verder zijn op dit moment </w:t>
      </w:r>
      <w:r w:rsidR="00FB71DE">
        <w:t xml:space="preserve">in verschillende landen </w:t>
      </w:r>
      <w:r w:rsidR="00DD6B7E">
        <w:t>proeven gaande</w:t>
      </w:r>
      <w:r w:rsidR="00FB71DE">
        <w:t>, die automatische besturing of besturing op afstand mogelijk moeten maken.</w:t>
      </w:r>
      <w:r w:rsidR="00ED6E53">
        <w:rPr>
          <w:rStyle w:val="EndnoteReference"/>
        </w:rPr>
        <w:endnoteReference w:id="83"/>
      </w:r>
      <w:r w:rsidR="00ED6E53">
        <w:t xml:space="preserve">   </w:t>
      </w:r>
    </w:p>
    <w:p w14:paraId="66E957AF" w14:textId="3CF52518" w:rsidR="0041500B" w:rsidRDefault="00EA7F0B" w:rsidP="00035FD0">
      <w:pPr>
        <w:jc w:val="left"/>
      </w:pPr>
      <w:bookmarkStart w:id="33" w:name="_Hlk87088423"/>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425C1E">
        <w:rPr>
          <w:rFonts w:eastAsia="Times New Roman" w:cs="Times New Roman"/>
          <w:color w:val="FF0000"/>
          <w:szCs w:val="24"/>
          <w:lang w:eastAsia="nl-NL"/>
        </w:rPr>
        <w:t>4</w:t>
      </w:r>
      <w:r w:rsidR="006A5D11">
        <w:rPr>
          <w:rFonts w:eastAsia="Times New Roman" w:cs="Times New Roman"/>
          <w:color w:val="FF0000"/>
          <w:szCs w:val="24"/>
          <w:lang w:eastAsia="nl-NL"/>
        </w:rPr>
        <w:t>3</w:t>
      </w:r>
      <w:r w:rsidR="00425C1E">
        <w:rPr>
          <w:rFonts w:eastAsia="Times New Roman" w:cs="Times New Roman"/>
          <w:color w:val="FF0000"/>
          <w:szCs w:val="24"/>
          <w:lang w:eastAsia="nl-NL"/>
        </w:rPr>
        <w:t>-</w:t>
      </w:r>
      <w:r w:rsidR="00D54B08" w:rsidRPr="00DC4040">
        <w:rPr>
          <w:bCs/>
          <w:color w:val="FF0000"/>
        </w:rPr>
        <w:t>33_Bierboot_Utrecht</w:t>
      </w:r>
      <w:r w:rsidR="00D54B08">
        <w:rPr>
          <w:bCs/>
          <w:color w:val="FF0000"/>
        </w:rPr>
        <w:t>.jpg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36335550" w14:textId="45CF8227" w:rsidR="00B84F80" w:rsidRDefault="00B84F80" w:rsidP="00035FD0">
      <w:pPr>
        <w:jc w:val="left"/>
        <w:rPr>
          <w:rFonts w:eastAsia="Calibri" w:cs="Times New Roman"/>
          <w:color w:val="auto"/>
          <w:szCs w:val="24"/>
        </w:rPr>
      </w:pPr>
      <w:bookmarkStart w:id="34" w:name="_Hlk161521007"/>
      <w:bookmarkStart w:id="35" w:name="_Hlk85365692"/>
      <w:bookmarkEnd w:id="33"/>
    </w:p>
    <w:p w14:paraId="5F51E1D0" w14:textId="77777777" w:rsidR="00F86285" w:rsidRDefault="00F86285" w:rsidP="00035FD0">
      <w:pPr>
        <w:jc w:val="left"/>
        <w:rPr>
          <w:rFonts w:eastAsia="Calibri" w:cs="Times New Roman"/>
          <w:color w:val="auto"/>
          <w:szCs w:val="24"/>
        </w:rPr>
      </w:pPr>
    </w:p>
    <w:bookmarkEnd w:id="34"/>
    <w:p w14:paraId="48583093" w14:textId="086514E5" w:rsidR="006663F9" w:rsidRPr="00035FD0" w:rsidRDefault="006E3717" w:rsidP="00035FD0">
      <w:pPr>
        <w:pStyle w:val="Heading2"/>
        <w:jc w:val="left"/>
        <w:rPr>
          <w:rFonts w:eastAsia="Calibri"/>
        </w:rPr>
      </w:pPr>
      <w:r>
        <w:rPr>
          <w:rFonts w:eastAsia="Calibri"/>
        </w:rPr>
        <w:lastRenderedPageBreak/>
        <w:t xml:space="preserve">8 De </w:t>
      </w:r>
      <w:r w:rsidR="007255C9">
        <w:rPr>
          <w:rFonts w:eastAsia="Calibri"/>
        </w:rPr>
        <w:t>mensen:</w:t>
      </w:r>
      <w:r>
        <w:rPr>
          <w:rFonts w:eastAsia="Calibri"/>
        </w:rPr>
        <w:t xml:space="preserve"> een geïsoleerde groep in de </w:t>
      </w:r>
      <w:r w:rsidRPr="0023218A">
        <w:rPr>
          <w:rFonts w:eastAsia="Calibri"/>
        </w:rPr>
        <w:t>samenleving (1890-1940)</w:t>
      </w:r>
      <w:bookmarkEnd w:id="35"/>
      <w:r w:rsidR="00035FD0">
        <w:rPr>
          <w:rFonts w:eastAsia="Calibri"/>
        </w:rPr>
        <w:br/>
      </w:r>
    </w:p>
    <w:p w14:paraId="1E1845D8" w14:textId="7ECD99D5" w:rsidR="00B43EE0" w:rsidRDefault="001E66EA" w:rsidP="00EC2E75">
      <w:pPr>
        <w:jc w:val="left"/>
      </w:pPr>
      <w:r>
        <w:t xml:space="preserve">De meeste </w:t>
      </w:r>
      <w:r w:rsidR="00ED4F8E">
        <w:t xml:space="preserve">schippers vonden tot ver in de twintigste eeuw emplooi op de binnenlandse markt. Vandaar dat </w:t>
      </w:r>
      <w:r w:rsidR="00AB3FEC">
        <w:t>in</w:t>
      </w:r>
      <w:r w:rsidR="00846C84">
        <w:t xml:space="preserve"> deze paragraaf</w:t>
      </w:r>
      <w:r w:rsidR="00AB3FEC">
        <w:t xml:space="preserve"> </w:t>
      </w:r>
      <w:r w:rsidR="00F14E39">
        <w:t xml:space="preserve">dit hoofdstuk </w:t>
      </w:r>
      <w:r w:rsidR="00ED4F8E">
        <w:t xml:space="preserve">aan deze groep de meeste aandacht wordt besteed. </w:t>
      </w:r>
      <w:r w:rsidR="00AB3FEC">
        <w:t>S</w:t>
      </w:r>
      <w:r w:rsidR="00ED4F8E">
        <w:t xml:space="preserve">chippers hadden een reizend beroep, maar de meeste schippersgezinnen woonden tot ver in de negentiende eeuw in een huis aan de wal. Omstreeks de eeuwwisseling verdienden ongeveer 50.000 mensen in de binnenvaart hun brood als schipper, schippersvrouw, schippersknecht, meewerkend familielid of op een rederijschip. Meer dan </w:t>
      </w:r>
      <w:r w:rsidR="003D781C">
        <w:t xml:space="preserve">tachtig </w:t>
      </w:r>
      <w:r w:rsidR="00ED4F8E">
        <w:t>procent van de vaartuigen was eigendom van particuliere schippers.</w:t>
      </w:r>
      <w:r w:rsidR="003D781C" w:rsidRPr="003D781C">
        <w:rPr>
          <w:rStyle w:val="EndnoteReference"/>
          <w:bCs/>
          <w:iCs/>
        </w:rPr>
        <w:endnoteReference w:id="84"/>
      </w:r>
      <w:r w:rsidR="00ED4F8E">
        <w:t xml:space="preserve"> </w:t>
      </w:r>
      <w:r w:rsidR="00EC2E75">
        <w:t xml:space="preserve"> </w:t>
      </w:r>
      <w:r w:rsidR="00EC2E75">
        <w:tab/>
      </w:r>
    </w:p>
    <w:p w14:paraId="548198D7" w14:textId="49758D04" w:rsidR="00DA5A36" w:rsidRDefault="00ED4F8E" w:rsidP="00D358EA">
      <w:pPr>
        <w:ind w:firstLine="708"/>
        <w:jc w:val="left"/>
        <w:rPr>
          <w:rFonts w:ascii="Calibri" w:eastAsia="Times New Roman" w:hAnsi="Calibri" w:cs="Calibri"/>
          <w:color w:val="FF0000"/>
          <w:szCs w:val="24"/>
          <w:shd w:val="clear" w:color="auto" w:fill="FFFFFF"/>
          <w:lang w:eastAsia="nl-NL"/>
        </w:rPr>
      </w:pPr>
      <w:r>
        <w:t xml:space="preserve">Voor de meeste schippers </w:t>
      </w:r>
      <w:r w:rsidR="005E3D5C">
        <w:t xml:space="preserve">vormde </w:t>
      </w:r>
      <w:r>
        <w:t>het eind van de negentiende eeuw een moeilijke tijd. Toenemende concurrentie van rederijen en de spoorwegen in combinatie met schaalvergroting leidde tot een sterke daling van de vrachtprijzen. De schippers moesten hun kosten beperken. Onder deze omstandigheden besloten velen hun traditionele levenswijze los te laten. Ze gingen mee in het proces van s</w:t>
      </w:r>
      <w:r w:rsidRPr="00F06CA6">
        <w:t>chaalvergroting</w:t>
      </w:r>
      <w:r>
        <w:t xml:space="preserve">, </w:t>
      </w:r>
      <w:r w:rsidRPr="00F06CA6">
        <w:t>schaften zich grotere ijzeren zeil- of sleepschepen aan</w:t>
      </w:r>
      <w:r>
        <w:t xml:space="preserve"> en staken zich daarvoor diep in de schulden. </w:t>
      </w:r>
      <w:r w:rsidRPr="00F06CA6">
        <w:t xml:space="preserve">Tegelijk </w:t>
      </w:r>
      <w:r>
        <w:t xml:space="preserve">verlieten veel </w:t>
      </w:r>
      <w:r w:rsidRPr="00F06CA6">
        <w:t xml:space="preserve">schippersgezinnen </w:t>
      </w:r>
      <w:r>
        <w:t>h</w:t>
      </w:r>
      <w:r w:rsidRPr="00F06CA6">
        <w:t xml:space="preserve">un walwoning en </w:t>
      </w:r>
      <w:r>
        <w:t>gingen permanent aan boord van hun schip wonen. Het wonen aan boord leverde hun drie voordelen. De schippersvrouw nam de taak van een knecht over waardoor diens loon werd uitgespaard, het gezin bespaarde op huisvestings- en verwarmingskosten, en ze konden hun activiteiten naar een groter gebied verleggen zonder dat het gezinsleven daaronder leed.</w:t>
      </w:r>
      <w:bookmarkStart w:id="36" w:name="_Hlk161521036"/>
      <w:r w:rsidR="00A316C3">
        <w:rPr>
          <w:rFonts w:eastAsia="Times New Roman" w:cs="Times New Roman"/>
          <w:color w:val="auto"/>
          <w:szCs w:val="24"/>
          <w:lang w:eastAsia="nl-NL"/>
        </w:rPr>
        <w:br/>
      </w:r>
      <w:r w:rsidR="00D262D0" w:rsidRPr="005211BE">
        <w:rPr>
          <w:rFonts w:ascii="Calibri" w:eastAsia="Times New Roman" w:hAnsi="Calibri" w:cs="Calibri"/>
          <w:color w:val="FF0000"/>
          <w:szCs w:val="24"/>
          <w:shd w:val="clear" w:color="auto" w:fill="FFFFFF"/>
          <w:lang w:eastAsia="nl-NL"/>
        </w:rPr>
        <w:t>@i@</w:t>
      </w:r>
      <w:r w:rsidR="00D262D0" w:rsidRPr="005211BE">
        <w:rPr>
          <w:rFonts w:eastAsia="Times New Roman" w:cs="Times New Roman"/>
          <w:color w:val="FF0000"/>
          <w:szCs w:val="24"/>
          <w:lang w:eastAsia="nl-NL"/>
        </w:rPr>
        <w:t>[[[</w:t>
      </w:r>
      <w:r w:rsidR="00D262D0">
        <w:rPr>
          <w:rFonts w:eastAsia="Times New Roman" w:cs="Times New Roman"/>
          <w:color w:val="FF0000"/>
          <w:szCs w:val="24"/>
          <w:lang w:eastAsia="nl-NL"/>
        </w:rPr>
        <w:t>4</w:t>
      </w:r>
      <w:r w:rsidR="006A5D11">
        <w:rPr>
          <w:rFonts w:eastAsia="Times New Roman" w:cs="Times New Roman"/>
          <w:color w:val="FF0000"/>
          <w:szCs w:val="24"/>
          <w:lang w:eastAsia="nl-NL"/>
        </w:rPr>
        <w:t>4-20</w:t>
      </w:r>
      <w:r w:rsidR="00D262D0">
        <w:rPr>
          <w:rFonts w:eastAsia="Times New Roman" w:cs="Times New Roman"/>
          <w:color w:val="FF0000"/>
          <w:szCs w:val="24"/>
          <w:lang w:eastAsia="nl-NL"/>
        </w:rPr>
        <w:t>_broerenzus</w:t>
      </w:r>
      <w:r w:rsidR="00D262D0">
        <w:rPr>
          <w:bCs/>
          <w:color w:val="FF0000"/>
        </w:rPr>
        <w:t>.jpg</w:t>
      </w:r>
      <w:r w:rsidR="00D262D0" w:rsidRPr="005211BE">
        <w:rPr>
          <w:rFonts w:cstheme="minorHAnsi"/>
          <w:color w:val="FF0000"/>
        </w:rPr>
        <w:t>]]]</w:t>
      </w:r>
      <w:r w:rsidR="00D262D0" w:rsidRPr="005211BE">
        <w:rPr>
          <w:rFonts w:ascii="Calibri" w:eastAsia="Times New Roman" w:hAnsi="Calibri" w:cs="Calibri"/>
          <w:color w:val="FF0000"/>
          <w:szCs w:val="24"/>
          <w:shd w:val="clear" w:color="auto" w:fill="FFFFFF"/>
          <w:lang w:eastAsia="nl-NL"/>
        </w:rPr>
        <w:t>@/i@​</w:t>
      </w:r>
      <w:bookmarkStart w:id="37" w:name="_Hlk85365888"/>
      <w:bookmarkEnd w:id="36"/>
    </w:p>
    <w:p w14:paraId="14F367A2" w14:textId="77777777" w:rsidR="00D358EA" w:rsidRDefault="00D358EA" w:rsidP="00D358EA">
      <w:pPr>
        <w:ind w:firstLine="708"/>
        <w:jc w:val="left"/>
        <w:rPr>
          <w:rFonts w:ascii="Calibri" w:eastAsia="Times New Roman" w:hAnsi="Calibri" w:cs="Calibri"/>
          <w:color w:val="FF0000"/>
          <w:szCs w:val="24"/>
          <w:shd w:val="clear" w:color="auto" w:fill="FFFFFF"/>
          <w:lang w:eastAsia="nl-NL"/>
        </w:rPr>
      </w:pPr>
    </w:p>
    <w:p w14:paraId="72D9A40C" w14:textId="77777777" w:rsidR="00D358EA" w:rsidRDefault="00D358EA" w:rsidP="00D358EA">
      <w:pPr>
        <w:ind w:firstLine="708"/>
        <w:jc w:val="left"/>
      </w:pPr>
    </w:p>
    <w:p w14:paraId="0E3211BC" w14:textId="61174366" w:rsidR="00ED4F8E" w:rsidRDefault="00ED4F8E" w:rsidP="000D784F">
      <w:pPr>
        <w:pStyle w:val="Heading2"/>
      </w:pPr>
      <w:r>
        <w:t>De nadelen van het leven aan boord</w:t>
      </w:r>
    </w:p>
    <w:p w14:paraId="4429620D" w14:textId="6248DB86" w:rsidR="00604704" w:rsidRDefault="000D784F" w:rsidP="00DE08B1">
      <w:pPr>
        <w:jc w:val="left"/>
      </w:pPr>
      <w:bookmarkStart w:id="38" w:name="_Hlk88834755"/>
      <w:bookmarkEnd w:id="37"/>
      <w:r>
        <w:br/>
      </w:r>
      <w:r w:rsidR="00ED4F8E">
        <w:t xml:space="preserve">Het opgeven van de walwoning had ook nadelen, vooral op langere termijn. Allereerst raakten de schippers hun sociale contacten met walbewoners grotendeels kwijt. Voortaan leefden ze </w:t>
      </w:r>
      <w:r w:rsidR="00ED4F8E" w:rsidRPr="004660E5">
        <w:t xml:space="preserve">geïsoleerd in een aparte gemeenschap met een eigen </w:t>
      </w:r>
      <w:r w:rsidR="001E66EA">
        <w:t xml:space="preserve">levenswijze en </w:t>
      </w:r>
      <w:r w:rsidR="00ED4F8E" w:rsidRPr="004660E5">
        <w:t>mentaliteit, die afweek van de walsamenleving.</w:t>
      </w:r>
      <w:bookmarkEnd w:id="38"/>
      <w:r w:rsidR="00ED4F8E">
        <w:t xml:space="preserve"> Dit isolement werd nog versterkt, doordat schipperszonen meestal met schippersdochters huwden. </w:t>
      </w:r>
    </w:p>
    <w:p w14:paraId="14D55427" w14:textId="19536A3E" w:rsidR="00FD1335" w:rsidRPr="00FD1335" w:rsidRDefault="009369DE" w:rsidP="009369DE">
      <w:pPr>
        <w:jc w:val="left"/>
        <w:rPr>
          <w:rFonts w:ascii="Calibri" w:eastAsia="Times New Roman" w:hAnsi="Calibri" w:cs="Calibri"/>
          <w:color w:val="FF0000"/>
          <w:szCs w:val="24"/>
          <w:shd w:val="clear" w:color="auto" w:fill="FFFFFF"/>
          <w:lang w:eastAsia="nl-NL"/>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Pr>
          <w:rFonts w:ascii="Calibri" w:eastAsia="Times New Roman" w:hAnsi="Calibri" w:cs="Calibri"/>
          <w:color w:val="FF0000"/>
          <w:shd w:val="clear" w:color="auto" w:fill="FFFFFF"/>
          <w:lang w:eastAsia="nl-NL"/>
        </w:rPr>
        <w:t>45_</w:t>
      </w:r>
      <w:r w:rsidR="000C161D">
        <w:rPr>
          <w:rFonts w:ascii="Calibri" w:eastAsia="Times New Roman" w:hAnsi="Calibri" w:cs="Calibri"/>
          <w:color w:val="FF0000"/>
          <w:shd w:val="clear" w:color="auto" w:fill="FFFFFF"/>
          <w:lang w:eastAsia="nl-NL"/>
        </w:rPr>
        <w:t>S</w:t>
      </w:r>
      <w:r>
        <w:rPr>
          <w:rFonts w:ascii="Calibri" w:eastAsia="Times New Roman" w:hAnsi="Calibri" w:cs="Calibri"/>
          <w:color w:val="FF0000"/>
          <w:shd w:val="clear" w:color="auto" w:fill="FFFFFF"/>
          <w:lang w:eastAsia="nl-NL"/>
        </w:rPr>
        <w:t>chippersbruiloft.</w:t>
      </w:r>
      <w:r w:rsidR="00830023">
        <w:rPr>
          <w:rFonts w:ascii="Calibri" w:eastAsia="Times New Roman" w:hAnsi="Calibri" w:cs="Calibri"/>
          <w:color w:val="FF0000"/>
          <w:shd w:val="clear" w:color="auto" w:fill="FFFFFF"/>
          <w:lang w:eastAsia="nl-NL"/>
        </w:rPr>
        <w:t>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25A64C3C" w14:textId="65CFAA2A" w:rsidR="00B40A75" w:rsidRPr="00111832" w:rsidRDefault="00ED4F8E" w:rsidP="00AF2A7D">
      <w:pPr>
        <w:ind w:firstLine="709"/>
        <w:jc w:val="left"/>
      </w:pPr>
      <w:r>
        <w:t xml:space="preserve">Het grootste nadeel was dat de meeste schipperskinderen niet naar (een vaste) school konden. Tot 1900 bestond geen leerplicht en de meeste schippers beschikten niet over de financiële middelen om hun kinderen bij een pleeggezin </w:t>
      </w:r>
      <w:r w:rsidR="005E3D5C">
        <w:t xml:space="preserve">op </w:t>
      </w:r>
      <w:r>
        <w:t>de wal onder te brengen. Bovendien zagen veel schippers de noodzaak van onderwijs niet in. De Leerplichtwet van 1900 bracht hierin geen verbetering. Integendeel, terwijl walkinderen voortaan verplicht onderwijs volgden, waren schippers</w:t>
      </w:r>
      <w:r w:rsidR="005C403D">
        <w:t>- en kermis</w:t>
      </w:r>
      <w:r>
        <w:t xml:space="preserve">kinderen hiervan vrijgesteld omdat onderwijs voor hen moeilijk kon worden georganiseerd. </w:t>
      </w:r>
      <w:r w:rsidR="00AB3FEC">
        <w:t xml:space="preserve">Deze lacune </w:t>
      </w:r>
      <w:r>
        <w:t xml:space="preserve">had ingrijpende sociale gevolgen. Terwijl </w:t>
      </w:r>
      <w:r w:rsidR="005E3D5C">
        <w:t xml:space="preserve">het analfabetisme </w:t>
      </w:r>
      <w:r>
        <w:t xml:space="preserve">onder de walbevolking </w:t>
      </w:r>
      <w:r w:rsidR="005E3D5C">
        <w:t>grotendeels verdween</w:t>
      </w:r>
      <w:r>
        <w:t xml:space="preserve">, bleven veel schipperskinderen </w:t>
      </w:r>
      <w:r w:rsidR="00400073">
        <w:t>ongeletterd</w:t>
      </w:r>
      <w:r>
        <w:t xml:space="preserve">. </w:t>
      </w:r>
      <w:r w:rsidRPr="009C237D">
        <w:t xml:space="preserve">Zakelijke contacten met scheepsbevrachters en andere walbewoners werden hierdoor bemoeilijkt. </w:t>
      </w:r>
      <w:r w:rsidRPr="00123963">
        <w:t xml:space="preserve">Mede door de gebrekkige opleiding bestond bij de schippersbonden een tekort aan </w:t>
      </w:r>
      <w:r>
        <w:t xml:space="preserve">bestuurders </w:t>
      </w:r>
      <w:r w:rsidRPr="00123963">
        <w:t xml:space="preserve">met voldoende leidinggevend vermogen en </w:t>
      </w:r>
      <w:r>
        <w:t xml:space="preserve">strategisch </w:t>
      </w:r>
      <w:r w:rsidRPr="00123963">
        <w:t xml:space="preserve">inzicht om hun eigenzinnige en heetgebakerde achterban door moeilijke tijden te </w:t>
      </w:r>
      <w:r w:rsidRPr="00123963">
        <w:lastRenderedPageBreak/>
        <w:t>loodsen. Wanneer de schipperskinderen eenmaal volwassen waren geworden</w:t>
      </w:r>
      <w:r>
        <w:t xml:space="preserve">, </w:t>
      </w:r>
      <w:r w:rsidRPr="00123963">
        <w:t xml:space="preserve">maakte </w:t>
      </w:r>
      <w:r>
        <w:t xml:space="preserve">hun </w:t>
      </w:r>
      <w:r w:rsidR="001C01EE">
        <w:t xml:space="preserve">gebrek aan </w:t>
      </w:r>
      <w:r w:rsidRPr="00123963">
        <w:t>opleiding het moeilijk om een ander vak dan schipper te kiezen.</w:t>
      </w:r>
    </w:p>
    <w:p w14:paraId="4881E7F8" w14:textId="523D07BD" w:rsidR="00FD1335" w:rsidRPr="00151825" w:rsidRDefault="00FD1335" w:rsidP="00CA3BD0">
      <w:pPr>
        <w:jc w:val="left"/>
        <w:rPr>
          <w:bCs/>
          <w:color w:val="FF0000"/>
        </w:rPr>
      </w:pPr>
      <w:bookmarkStart w:id="39" w:name="_Hlk161521060"/>
      <w:r w:rsidRPr="00CB2696">
        <w:rPr>
          <w:rFonts w:ascii="Calibri" w:eastAsia="Times New Roman" w:hAnsi="Calibri" w:cs="Calibri"/>
          <w:color w:val="FF0000"/>
          <w:szCs w:val="24"/>
          <w:shd w:val="clear" w:color="auto" w:fill="FFFFFF"/>
          <w:lang w:eastAsia="nl-NL"/>
        </w:rPr>
        <w:t>@i@</w:t>
      </w:r>
      <w:r w:rsidRPr="00CB2696">
        <w:rPr>
          <w:rFonts w:eastAsia="Times New Roman" w:cs="Times New Roman"/>
          <w:color w:val="FF0000"/>
          <w:szCs w:val="24"/>
          <w:lang w:eastAsia="nl-NL"/>
        </w:rPr>
        <w:t>[[[</w:t>
      </w:r>
      <w:bookmarkStart w:id="40" w:name="_Hlk168166180"/>
      <w:r>
        <w:rPr>
          <w:rFonts w:ascii="Calibri" w:eastAsia="Times New Roman" w:hAnsi="Calibri" w:cs="Calibri"/>
          <w:color w:val="FF0000"/>
          <w:shd w:val="clear" w:color="auto" w:fill="FFFFFF"/>
          <w:lang w:eastAsia="nl-NL"/>
        </w:rPr>
        <w:t>45</w:t>
      </w:r>
      <w:r w:rsidR="00FC6A60">
        <w:rPr>
          <w:rFonts w:ascii="Calibri" w:eastAsia="Times New Roman" w:hAnsi="Calibri" w:cs="Calibri"/>
          <w:color w:val="FF0000"/>
          <w:shd w:val="clear" w:color="auto" w:fill="FFFFFF"/>
          <w:lang w:eastAsia="nl-NL"/>
        </w:rPr>
        <w:t>a</w:t>
      </w:r>
      <w:r>
        <w:rPr>
          <w:rFonts w:ascii="Calibri" w:eastAsia="Times New Roman" w:hAnsi="Calibri" w:cs="Calibri"/>
          <w:color w:val="FF0000"/>
          <w:shd w:val="clear" w:color="auto" w:fill="FFFFFF"/>
          <w:lang w:eastAsia="nl-NL"/>
        </w:rPr>
        <w:t>_Westlanderonderbrug</w:t>
      </w:r>
      <w:r w:rsidRPr="009A389E">
        <w:rPr>
          <w:rFonts w:ascii="Calibri" w:eastAsia="Times New Roman" w:hAnsi="Calibri" w:cs="Calibri"/>
          <w:color w:val="FF0000"/>
          <w:shd w:val="clear" w:color="auto" w:fill="FFFFFF"/>
          <w:lang w:eastAsia="nl-NL"/>
        </w:rPr>
        <w:t>.</w:t>
      </w:r>
      <w:bookmarkEnd w:id="40"/>
      <w:r w:rsidR="00E714A4">
        <w:rPr>
          <w:rFonts w:ascii="Calibri" w:eastAsia="Times New Roman" w:hAnsi="Calibri" w:cs="Calibri"/>
          <w:color w:val="FF0000"/>
          <w:shd w:val="clear" w:color="auto" w:fill="FFFFFF"/>
          <w:lang w:eastAsia="nl-NL"/>
        </w:rPr>
        <w:t>png</w:t>
      </w:r>
      <w:r w:rsidRPr="00CB2696">
        <w:rPr>
          <w:rFonts w:cstheme="minorHAnsi"/>
          <w:color w:val="FF0000"/>
        </w:rPr>
        <w:t>]]]</w:t>
      </w:r>
      <w:r w:rsidRPr="00CB2696">
        <w:rPr>
          <w:rFonts w:ascii="Calibri" w:eastAsia="Times New Roman" w:hAnsi="Calibri" w:cs="Calibri"/>
          <w:color w:val="FF0000"/>
          <w:szCs w:val="24"/>
          <w:shd w:val="clear" w:color="auto" w:fill="FFFFFF"/>
          <w:lang w:eastAsia="nl-NL"/>
        </w:rPr>
        <w:t>@/i</w:t>
      </w:r>
      <w:r w:rsidRPr="005211BE">
        <w:rPr>
          <w:rFonts w:ascii="Calibri" w:eastAsia="Times New Roman" w:hAnsi="Calibri" w:cs="Calibri"/>
          <w:color w:val="FF0000"/>
          <w:szCs w:val="24"/>
          <w:shd w:val="clear" w:color="auto" w:fill="FFFFFF"/>
          <w:lang w:eastAsia="nl-NL"/>
        </w:rPr>
        <w:t>@</w:t>
      </w:r>
      <w:r>
        <w:rPr>
          <w:rFonts w:ascii="Calibri" w:eastAsia="Times New Roman" w:hAnsi="Calibri" w:cs="Calibri"/>
          <w:color w:val="FF0000"/>
          <w:szCs w:val="24"/>
          <w:shd w:val="clear" w:color="auto" w:fill="FFFFFF"/>
          <w:lang w:eastAsia="nl-NL"/>
        </w:rPr>
        <w:t xml:space="preserve">  </w:t>
      </w:r>
    </w:p>
    <w:p w14:paraId="200F917D" w14:textId="71EAAD6D" w:rsidR="00ED4F8E" w:rsidRPr="00151825" w:rsidRDefault="00CA3BD0" w:rsidP="00AF2A7D">
      <w:pPr>
        <w:jc w:val="left"/>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Pr>
          <w:rFonts w:ascii="Calibri" w:eastAsia="Times New Roman" w:hAnsi="Calibri" w:cs="Calibri"/>
          <w:color w:val="FF0000"/>
          <w:shd w:val="clear" w:color="auto" w:fill="FFFFFF"/>
          <w:lang w:eastAsia="nl-NL"/>
        </w:rPr>
        <w:t>46-35_hoopopwelvaart.jpe</w:t>
      </w:r>
      <w:r>
        <w:rPr>
          <w:bCs/>
          <w:color w:val="FF0000"/>
        </w:rPr>
        <w:t>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r w:rsidR="00995FBD">
        <w:rPr>
          <w:rFonts w:ascii="Calibri" w:eastAsia="Times New Roman" w:hAnsi="Calibri" w:cs="Calibri"/>
          <w:color w:val="FF0000"/>
          <w:szCs w:val="24"/>
          <w:shd w:val="clear" w:color="auto" w:fill="FFFFFF"/>
          <w:lang w:eastAsia="nl-NL"/>
        </w:rPr>
        <w:t xml:space="preserve"> </w:t>
      </w:r>
      <w:r w:rsidR="00F04264">
        <w:br/>
      </w:r>
      <w:bookmarkEnd w:id="39"/>
      <w:r w:rsidR="00F04264">
        <w:t xml:space="preserve"> </w:t>
      </w:r>
      <w:r w:rsidR="00F04264">
        <w:tab/>
      </w:r>
      <w:r w:rsidR="00F76BDA" w:rsidRPr="00111832">
        <w:t xml:space="preserve">Daarnaast verloren de schippers door hun grotere vaargebied hun traditionele contacten met vertrouwde handelaren en verladers en raakten ze voor het verkrijgen van lading steeds meer aangewezen op (onbekende) tussenpersonen, de scheepsbevrachters, die er soms malafide praktijken op nahielden. </w:t>
      </w:r>
      <w:r w:rsidR="002540F1" w:rsidRPr="00111832">
        <w:t>Deze vormden vooral in tijden met een beperkt vrachtaanbod voor de schippers een ware</w:t>
      </w:r>
      <w:r w:rsidR="002540F1">
        <w:t xml:space="preserve"> plaag. </w:t>
      </w:r>
      <w:r w:rsidR="00F76BDA">
        <w:t>Gebruikelijk was, dat de schippers voor hun bemiddeling 5 procent van de vrachtprijs gaven</w:t>
      </w:r>
      <w:r w:rsidR="002540F1">
        <w:t xml:space="preserve">, maar volgens de schippers betaalden ze in slechte tijden soms wel 10 tot 25 procent. In afgelegen gebieden </w:t>
      </w:r>
      <w:r w:rsidR="00400073">
        <w:t xml:space="preserve">exploiteerden </w:t>
      </w:r>
      <w:r w:rsidR="002540F1">
        <w:t>ze</w:t>
      </w:r>
      <w:r w:rsidR="008904D7">
        <w:t>,</w:t>
      </w:r>
      <w:r w:rsidR="002540F1">
        <w:t xml:space="preserve"> </w:t>
      </w:r>
      <w:r w:rsidR="00ED4F8E">
        <w:t>naast hun beroep als bevrachter</w:t>
      </w:r>
      <w:r w:rsidR="008904D7">
        <w:t xml:space="preserve">, </w:t>
      </w:r>
      <w:r w:rsidR="00ED4F8E">
        <w:t>langs een vaarweg een café of een winkel. Schippers moesten voor</w:t>
      </w:r>
      <w:r w:rsidR="00B719CE">
        <w:t>dat</w:t>
      </w:r>
      <w:r w:rsidR="00ED4F8E">
        <w:t xml:space="preserve"> ze lading kregen eerst hun zaak bezoeken. Soms kregen ze pas na dagenlang cafébezoek een reis, terwijl de (ongeletterde) schippers soms ook ongunstige vervoers</w:t>
      </w:r>
      <w:r w:rsidR="00ED4F8E">
        <w:softHyphen/>
        <w:t xml:space="preserve">voorwaarden moesten accepteren. Een voorzitter van een schippersbond </w:t>
      </w:r>
      <w:r w:rsidR="009228A2">
        <w:t>vergeleek hen met parasi</w:t>
      </w:r>
      <w:r w:rsidR="00940299">
        <w:t>e</w:t>
      </w:r>
      <w:r w:rsidR="009228A2">
        <w:t xml:space="preserve">ten en </w:t>
      </w:r>
      <w:r w:rsidR="009228A2" w:rsidRPr="007D16B7">
        <w:t>bloedzuigers</w:t>
      </w:r>
      <w:r w:rsidR="007D16B7">
        <w:t>.</w:t>
      </w:r>
    </w:p>
    <w:p w14:paraId="104D36CA" w14:textId="5F8FB8F2" w:rsidR="00ED4F8E" w:rsidRDefault="005F6D38" w:rsidP="00AF2A7D">
      <w:pPr>
        <w:spacing w:line="240" w:lineRule="auto"/>
        <w:jc w:val="left"/>
      </w:pPr>
      <w:r>
        <w:br/>
      </w:r>
    </w:p>
    <w:p w14:paraId="7D3B96B5" w14:textId="77777777" w:rsidR="00ED4F8E" w:rsidRDefault="00ED4F8E" w:rsidP="005F6D38">
      <w:pPr>
        <w:pStyle w:val="Heading2"/>
      </w:pPr>
      <w:bookmarkStart w:id="41" w:name="_Hlk85366542"/>
      <w:r>
        <w:t>De leefomstandigheden tussen de beide wereldoorlogen</w:t>
      </w:r>
    </w:p>
    <w:bookmarkEnd w:id="41"/>
    <w:p w14:paraId="721187DA" w14:textId="0C6242B1" w:rsidR="00ED4F8E" w:rsidRDefault="005F6D38" w:rsidP="00DE08B1">
      <w:pPr>
        <w:jc w:val="left"/>
      </w:pPr>
      <w:r>
        <w:br/>
      </w:r>
      <w:r w:rsidR="00ED4F8E">
        <w:t xml:space="preserve">De schippers vormden geen homogene groep, </w:t>
      </w:r>
      <w:r w:rsidR="009228A2">
        <w:t xml:space="preserve">want </w:t>
      </w:r>
      <w:r w:rsidR="00ED4F8E">
        <w:t>in de schipperswereld bestonden grote sociale verschillen, afhankelijk van het vaargebied, de vervoerde lading, de scheepsgrootte en de inkomsten.</w:t>
      </w:r>
      <w:r w:rsidR="004368A7">
        <w:t xml:space="preserve"> Bovenaan in de hiërarchie stonden de</w:t>
      </w:r>
      <w:r w:rsidR="00ED4F8E">
        <w:t xml:space="preserve"> Rijnschippers</w:t>
      </w:r>
      <w:r w:rsidR="004368A7">
        <w:t>, die met hun grote schepen vaa</w:t>
      </w:r>
      <w:r w:rsidR="00ED4F8E">
        <w:t>k over voldoende kapitaal en een ruim inkomen</w:t>
      </w:r>
      <w:r w:rsidR="004368A7">
        <w:t xml:space="preserve"> beschikten</w:t>
      </w:r>
      <w:r w:rsidR="00ED4F8E">
        <w:t xml:space="preserve">. </w:t>
      </w:r>
      <w:r w:rsidR="004368A7">
        <w:t xml:space="preserve">Rijnschippers </w:t>
      </w:r>
      <w:r w:rsidR="00ED4F8E">
        <w:t>voelden zich ver verheven boven schippers van de binnenlandse vaart, die op hun beurt ook weer in verschillende groepen waren verdeeld. Al deze groepen vormden aparte ‘clans’, die weinig contact met elkaar onderhielden. Zo was het vanwege de grote standsverschillen zeer ongebruikelijk dat kinderen van kleine en grote schippers met elkaar huwden. Het geïsoleerde bestaan maakte de meeste schippers tot individualistisch ingestelde perso</w:t>
      </w:r>
      <w:r w:rsidR="00B719CE">
        <w:t>onlijkheden</w:t>
      </w:r>
      <w:r w:rsidR="00ED4F8E">
        <w:t>, die in concurrentie met andere schippers hun brood moesten verdienen. Collectieve acties kwamen daardoor moeilijk van de grond. Mede hierdoor kampten de schippersbonden steeds opnieuw met een groot verloop van leden.</w:t>
      </w:r>
    </w:p>
    <w:p w14:paraId="259597D4" w14:textId="58F0D390" w:rsidR="00ED4F8E" w:rsidRDefault="00ED4F8E" w:rsidP="00BB457D">
      <w:pPr>
        <w:ind w:firstLine="708"/>
        <w:jc w:val="left"/>
      </w:pPr>
      <w:r>
        <w:t xml:space="preserve">De leefomstandigheden aan boord verschilden sterk, afhankelijk van de grootte en de ouderdom van de vaartuigen. Veel Rijnschippers beschikten over een ruime, geriefelijke woning, die niet onderdeed voor een toenmalig modern herenhuis. Veel kleine schippers woonden met een uitgebreid gezin in een klein, armoedig hokje van 2 x 3 m </w:t>
      </w:r>
      <w:r w:rsidR="002C07E9">
        <w:t>(6 m</w:t>
      </w:r>
      <w:r w:rsidR="002C07E9">
        <w:rPr>
          <w:vertAlign w:val="superscript"/>
        </w:rPr>
        <w:t>2</w:t>
      </w:r>
      <w:r w:rsidR="002C07E9" w:rsidRPr="002C07E9">
        <w:t xml:space="preserve">) </w:t>
      </w:r>
      <w:r>
        <w:t>– zonder privacy en sanitaire voorzieningen – dat aan de wal voor bewoning zou worden afgekeurd. Hier moest het gezin bij kou</w:t>
      </w:r>
      <w:r w:rsidR="00B91078">
        <w:t xml:space="preserve"> en </w:t>
      </w:r>
      <w:r>
        <w:t xml:space="preserve">regen </w:t>
      </w:r>
      <w:r w:rsidR="00B91078">
        <w:t>dag en nacht</w:t>
      </w:r>
      <w:r>
        <w:t xml:space="preserve"> verblijven. Nieuwe, grotere zeilschepen beschikten daarnaast over een kleine slaapruimte (het achteronder), een piepklein keukentje met zoetwatertank en een privaat (toilet) met waterspoeling. De verlichting geschiedde op bijna alle schepen met olielampen.</w:t>
      </w:r>
    </w:p>
    <w:p w14:paraId="7ACB34C1" w14:textId="634CE127" w:rsidR="00CA2D4A" w:rsidRDefault="0021356F" w:rsidP="00BB457D">
      <w:pPr>
        <w:jc w:val="left"/>
        <w:rPr>
          <w:bCs/>
          <w:color w:val="FF0000"/>
        </w:rPr>
      </w:pPr>
      <w:bookmarkStart w:id="42" w:name="_Hlk161521097"/>
      <w:r w:rsidRPr="00DD71B1">
        <w:rPr>
          <w:rFonts w:ascii="Calibri" w:eastAsia="Times New Roman" w:hAnsi="Calibri" w:cs="Calibri"/>
          <w:color w:val="FF0000"/>
          <w:szCs w:val="24"/>
          <w:shd w:val="clear" w:color="auto" w:fill="FFFFFF"/>
          <w:lang w:eastAsia="nl-NL"/>
        </w:rPr>
        <w:t>@i@</w:t>
      </w:r>
      <w:r w:rsidR="000C29C4" w:rsidRPr="00DD71B1">
        <w:rPr>
          <w:rFonts w:cstheme="minorHAnsi"/>
          <w:color w:val="FF0000"/>
        </w:rPr>
        <w:t>[[[</w:t>
      </w:r>
      <w:bookmarkStart w:id="43" w:name="_Hlk168918001"/>
      <w:r w:rsidR="00637C2D" w:rsidRPr="00DD71B1">
        <w:rPr>
          <w:bCs/>
          <w:color w:val="FF0000"/>
        </w:rPr>
        <w:t>47a</w:t>
      </w:r>
      <w:r w:rsidR="00022B73">
        <w:rPr>
          <w:bCs/>
          <w:color w:val="FF0000"/>
        </w:rPr>
        <w:t>1</w:t>
      </w:r>
      <w:r w:rsidR="00637C2D" w:rsidRPr="00DD71B1">
        <w:rPr>
          <w:bCs/>
          <w:color w:val="FF0000"/>
        </w:rPr>
        <w:t>_AnnigjeFS1115_01</w:t>
      </w:r>
      <w:bookmarkEnd w:id="43"/>
      <w:r w:rsidR="00830023">
        <w:rPr>
          <w:bCs/>
          <w:color w:val="FF0000"/>
        </w:rPr>
        <w:t>.jpg</w:t>
      </w:r>
      <w:r w:rsidR="000C29C4" w:rsidRPr="00DD71B1">
        <w:rPr>
          <w:bCs/>
          <w:color w:val="FF0000"/>
        </w:rPr>
        <w:t>]]]</w:t>
      </w:r>
      <w:bookmarkEnd w:id="42"/>
      <w:r w:rsidR="00CA2D4A" w:rsidRPr="00084587">
        <w:rPr>
          <w:rFonts w:ascii="Calibri" w:eastAsia="Times New Roman" w:hAnsi="Calibri" w:cs="Calibri"/>
          <w:color w:val="FF0000"/>
          <w:szCs w:val="24"/>
          <w:shd w:val="clear" w:color="auto" w:fill="FFFFFF"/>
          <w:lang w:eastAsia="nl-NL"/>
        </w:rPr>
        <w:t xml:space="preserve">@/i@​  </w:t>
      </w:r>
    </w:p>
    <w:p w14:paraId="4AC508CA" w14:textId="75988A05" w:rsidR="00BE4EF8" w:rsidRPr="004945F2" w:rsidRDefault="00CA2D4A" w:rsidP="00BB457D">
      <w:pPr>
        <w:jc w:val="left"/>
        <w:rPr>
          <w:color w:val="FF0000"/>
        </w:rPr>
      </w:pPr>
      <w:r w:rsidRPr="00DD71B1">
        <w:rPr>
          <w:rFonts w:ascii="Calibri" w:eastAsia="Times New Roman" w:hAnsi="Calibri" w:cs="Calibri"/>
          <w:color w:val="FF0000"/>
          <w:szCs w:val="24"/>
          <w:shd w:val="clear" w:color="auto" w:fill="FFFFFF"/>
          <w:lang w:eastAsia="nl-NL"/>
        </w:rPr>
        <w:t>@i@</w:t>
      </w:r>
      <w:r w:rsidR="00C972A5" w:rsidRPr="00DD71B1">
        <w:rPr>
          <w:rFonts w:ascii="Calibri" w:eastAsia="Times New Roman" w:hAnsi="Calibri" w:cs="Calibri"/>
          <w:color w:val="FF0000"/>
          <w:szCs w:val="24"/>
          <w:shd w:val="clear" w:color="auto" w:fill="FFFFFF"/>
          <w:lang w:eastAsia="nl-NL"/>
        </w:rPr>
        <w:t>[[[</w:t>
      </w:r>
      <w:bookmarkStart w:id="44" w:name="_Hlk168918026"/>
      <w:r w:rsidR="004945F2" w:rsidRPr="00AE0B35">
        <w:rPr>
          <w:color w:val="FF0000"/>
        </w:rPr>
        <w:t>47a</w:t>
      </w:r>
      <w:r>
        <w:rPr>
          <w:color w:val="FF0000"/>
        </w:rPr>
        <w:t>3</w:t>
      </w:r>
      <w:r w:rsidR="004945F2" w:rsidRPr="00AE0B35">
        <w:rPr>
          <w:color w:val="FF0000"/>
        </w:rPr>
        <w:t>_pispot</w:t>
      </w:r>
      <w:r w:rsidR="004945F2">
        <w:rPr>
          <w:color w:val="FF0000"/>
        </w:rPr>
        <w:t>.</w:t>
      </w:r>
      <w:r w:rsidR="00C972A5">
        <w:rPr>
          <w:bCs/>
          <w:color w:val="FF0000"/>
        </w:rPr>
        <w:t>j</w:t>
      </w:r>
      <w:r w:rsidR="00BE4EF8" w:rsidRPr="00C972A5">
        <w:rPr>
          <w:bCs/>
          <w:color w:val="FF0000"/>
        </w:rPr>
        <w:t>pg</w:t>
      </w:r>
      <w:bookmarkEnd w:id="44"/>
      <w:r w:rsidR="00B1075B" w:rsidRPr="00084587">
        <w:rPr>
          <w:rFonts w:cstheme="minorHAnsi"/>
          <w:color w:val="FF0000"/>
        </w:rPr>
        <w:t>]]]</w:t>
      </w:r>
      <w:r w:rsidR="00830023">
        <w:rPr>
          <w:rFonts w:cstheme="minorHAnsi"/>
          <w:color w:val="FF0000"/>
        </w:rPr>
        <w:t xml:space="preserve"> </w:t>
      </w:r>
      <w:r w:rsidR="00830023">
        <w:rPr>
          <w:rFonts w:ascii="Calibri" w:eastAsia="Times New Roman" w:hAnsi="Calibri" w:cs="Calibri"/>
          <w:color w:val="FF0000"/>
          <w:szCs w:val="24"/>
          <w:shd w:val="clear" w:color="auto" w:fill="FFFFFF"/>
          <w:lang w:eastAsia="nl-NL"/>
        </w:rPr>
        <w:t>[[[</w:t>
      </w:r>
      <w:r w:rsidR="00B46BC2" w:rsidRPr="00B46BC2">
        <w:rPr>
          <w:rFonts w:ascii="Calibri" w:eastAsia="Times New Roman" w:hAnsi="Calibri" w:cs="Calibri"/>
          <w:color w:val="FF0000"/>
          <w:szCs w:val="24"/>
          <w:shd w:val="clear" w:color="auto" w:fill="FFFFFF"/>
          <w:lang w:eastAsia="nl-NL"/>
        </w:rPr>
        <w:t>47a2_leefruimteAnnigje.jpg</w:t>
      </w:r>
      <w:r w:rsidR="00830023">
        <w:rPr>
          <w:rFonts w:ascii="Calibri" w:eastAsia="Times New Roman" w:hAnsi="Calibri" w:cs="Calibri"/>
          <w:color w:val="FF0000"/>
          <w:szCs w:val="24"/>
          <w:shd w:val="clear" w:color="auto" w:fill="FFFFFF"/>
          <w:lang w:eastAsia="nl-NL"/>
        </w:rPr>
        <w:t>]]]</w:t>
      </w:r>
      <w:r w:rsidR="00B1075B" w:rsidRPr="00084587">
        <w:rPr>
          <w:rFonts w:ascii="Calibri" w:eastAsia="Times New Roman" w:hAnsi="Calibri" w:cs="Calibri"/>
          <w:color w:val="FF0000"/>
          <w:szCs w:val="24"/>
          <w:shd w:val="clear" w:color="auto" w:fill="FFFFFF"/>
          <w:lang w:eastAsia="nl-NL"/>
        </w:rPr>
        <w:t xml:space="preserve">@/i@​  </w:t>
      </w:r>
    </w:p>
    <w:p w14:paraId="76EE6D90" w14:textId="254E3107" w:rsidR="00ED4F8E" w:rsidRDefault="00ED4F8E" w:rsidP="00B73136">
      <w:pPr>
        <w:ind w:firstLine="708"/>
        <w:jc w:val="left"/>
      </w:pPr>
      <w:r>
        <w:lastRenderedPageBreak/>
        <w:t xml:space="preserve">Vooral de schippersvrouwen hadden het zwaar. Veel gezinnen waren groot, acht kinderen waren geen uitzondering. </w:t>
      </w:r>
      <w:r w:rsidR="004272FC">
        <w:t xml:space="preserve">Schippersvrouwen waren in veel opzichten </w:t>
      </w:r>
      <w:r>
        <w:t>geëmancipeerder dan hun zusters aan de wal. Ze waren verantwoordelijk voor alle huishoudelijke werk</w:t>
      </w:r>
      <w:r>
        <w:softHyphen/>
        <w:t>zaam</w:t>
      </w:r>
      <w:r>
        <w:softHyphen/>
        <w:t xml:space="preserve">heden, verzorgden de kinderen en moesten er voortdurend op letten dat die niet overboord vielen. Verder hielpen ze de schipper bij het varen, vooral bij het manoeuvreren bij sluizen en bruggen. Daarnaast hadden ze een inbreng bij allerlei zakelijke beslissingen. Vaak zorgde de schippersvrouw voor de financiën. Wanneer de man iets overkwam, moest de vrouw het bedrijf overnemen.  </w:t>
      </w:r>
    </w:p>
    <w:p w14:paraId="654CC766" w14:textId="1E985BE3" w:rsidR="00C003E9" w:rsidRPr="00432A4A" w:rsidRDefault="00432A4A" w:rsidP="00C003E9">
      <w:pPr>
        <w:jc w:val="left"/>
        <w:rPr>
          <w:rFonts w:ascii="Calibri" w:eastAsia="Times New Roman" w:hAnsi="Calibri" w:cs="Calibri"/>
          <w:color w:val="FF0000"/>
          <w:shd w:val="clear" w:color="auto" w:fill="FFFFFF"/>
          <w:lang w:eastAsia="nl-NL"/>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742C23" w:rsidRPr="00742C23">
        <w:rPr>
          <w:rFonts w:eastAsia="Times New Roman" w:cs="Times New Roman"/>
          <w:color w:val="FF0000"/>
          <w:szCs w:val="24"/>
          <w:lang w:eastAsia="nl-NL"/>
        </w:rPr>
        <w:t>47b-40b_parlevinkerAlphen.png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r>
        <w:rPr>
          <w:rFonts w:ascii="Calibri" w:eastAsia="Times New Roman" w:hAnsi="Calibri" w:cs="Calibri"/>
          <w:color w:val="FF0000"/>
          <w:szCs w:val="24"/>
          <w:shd w:val="clear" w:color="auto" w:fill="FFFFFF"/>
          <w:lang w:eastAsia="nl-NL"/>
        </w:rPr>
        <w:br/>
      </w:r>
      <w:r w:rsidR="00C003E9" w:rsidRPr="00084587">
        <w:rPr>
          <w:rFonts w:ascii="Calibri" w:eastAsia="Times New Roman" w:hAnsi="Calibri" w:cs="Calibri"/>
          <w:color w:val="FF0000"/>
          <w:szCs w:val="24"/>
          <w:shd w:val="clear" w:color="auto" w:fill="FFFFFF"/>
          <w:lang w:eastAsia="nl-NL"/>
        </w:rPr>
        <w:t>@i@</w:t>
      </w:r>
      <w:r w:rsidR="00C003E9" w:rsidRPr="00084587">
        <w:rPr>
          <w:rFonts w:eastAsia="Times New Roman" w:cs="Times New Roman"/>
          <w:color w:val="FF0000"/>
          <w:szCs w:val="24"/>
          <w:lang w:eastAsia="nl-NL"/>
        </w:rPr>
        <w:t>[[[</w:t>
      </w:r>
      <w:r w:rsidR="003E0E09">
        <w:rPr>
          <w:rFonts w:eastAsia="Times New Roman" w:cs="Times New Roman"/>
          <w:color w:val="FF0000"/>
          <w:szCs w:val="24"/>
          <w:lang w:eastAsia="nl-NL"/>
        </w:rPr>
        <w:t>48</w:t>
      </w:r>
      <w:r w:rsidR="00C003E9" w:rsidRPr="00C47132">
        <w:rPr>
          <w:rFonts w:eastAsia="Times New Roman" w:cs="Times New Roman"/>
          <w:color w:val="ED0000"/>
          <w:lang w:eastAsia="nl-NL"/>
        </w:rPr>
        <w:t>-40a_opduwerteamwerk</w:t>
      </w:r>
      <w:r w:rsidR="00C003E9">
        <w:rPr>
          <w:rFonts w:eastAsia="Times New Roman" w:cs="Times New Roman"/>
          <w:color w:val="ED0000"/>
          <w:lang w:eastAsia="nl-NL"/>
        </w:rPr>
        <w:t>.jpg</w:t>
      </w:r>
      <w:r w:rsidR="00C003E9" w:rsidRPr="00084587">
        <w:rPr>
          <w:rFonts w:cstheme="minorHAnsi"/>
          <w:color w:val="FF0000"/>
        </w:rPr>
        <w:t>]]]</w:t>
      </w:r>
      <w:r w:rsidR="00C003E9" w:rsidRPr="00084587">
        <w:rPr>
          <w:rFonts w:ascii="Calibri" w:eastAsia="Times New Roman" w:hAnsi="Calibri" w:cs="Calibri"/>
          <w:color w:val="FF0000"/>
          <w:szCs w:val="24"/>
          <w:shd w:val="clear" w:color="auto" w:fill="FFFFFF"/>
          <w:lang w:eastAsia="nl-NL"/>
        </w:rPr>
        <w:t xml:space="preserve">@/i@​  </w:t>
      </w:r>
    </w:p>
    <w:p w14:paraId="4461E403" w14:textId="17413229" w:rsidR="00A90F9F" w:rsidRDefault="00ED4F8E" w:rsidP="00B73136">
      <w:pPr>
        <w:ind w:firstLine="708"/>
        <w:jc w:val="left"/>
      </w:pPr>
      <w:r>
        <w:t>De geestelijke ontwikkeling van veel schippersgezinnen was beperkt. Een sociaalgeograaf, die de toestand van de binnenschippers omstreeks 1937 onderzocht, schatte dat een kwart analfabeet was.</w:t>
      </w:r>
      <w:r w:rsidR="0023406F">
        <w:rPr>
          <w:rStyle w:val="EndnoteReference"/>
        </w:rPr>
        <w:endnoteReference w:id="85"/>
      </w:r>
      <w:r>
        <w:t xml:space="preserve"> </w:t>
      </w:r>
      <w:r w:rsidR="004272FC">
        <w:t xml:space="preserve">De meeste schippers </w:t>
      </w:r>
      <w:r>
        <w:t xml:space="preserve">maakten door geldgebrek en een </w:t>
      </w:r>
      <w:r w:rsidR="004272FC">
        <w:t xml:space="preserve">beperkte </w:t>
      </w:r>
      <w:r>
        <w:t xml:space="preserve">opleiding weinig gebruik van de beschikbare informatiemogelijkheden. Schippers lazen weinig. Dit gold ook voor schippersbladen en gewone kranten. </w:t>
      </w:r>
      <w:r w:rsidR="00502FCF">
        <w:t xml:space="preserve">Dezelfde sociaalgeograaf schatte </w:t>
      </w:r>
      <w:r>
        <w:t xml:space="preserve">dat ongeveer </w:t>
      </w:r>
      <w:r w:rsidR="009A5875">
        <w:t xml:space="preserve">negentig </w:t>
      </w:r>
      <w:r>
        <w:t xml:space="preserve">procent van de Rijnschippers een radio bezat, </w:t>
      </w:r>
      <w:r w:rsidR="00122015">
        <w:t xml:space="preserve">maar </w:t>
      </w:r>
      <w:r>
        <w:t xml:space="preserve">bij de overige schippers was dit nog geen </w:t>
      </w:r>
      <w:r w:rsidR="009A5875">
        <w:t xml:space="preserve">tien </w:t>
      </w:r>
      <w:r>
        <w:t>procent</w:t>
      </w:r>
      <w:r w:rsidR="00502FCF">
        <w:t>, veel minder dan bij de bevolking aan de wal</w:t>
      </w:r>
      <w:r>
        <w:t xml:space="preserve">. Wegens geldgebrek bezochten schippers weinig bioscopen of theaters, terwijl ze </w:t>
      </w:r>
      <w:r w:rsidR="00223409">
        <w:t xml:space="preserve">verder </w:t>
      </w:r>
      <w:r>
        <w:t xml:space="preserve">niet veel belangstelling hadden voor lezingen. Ook het cafébezoek was laag. Vergeleken met de walbewoners hadden de meeste schippers weinig </w:t>
      </w:r>
      <w:r w:rsidR="00744212">
        <w:t xml:space="preserve">interesse in </w:t>
      </w:r>
      <w:r>
        <w:t xml:space="preserve">politiek. Aanvankelijk stemden ze vooral op de protestants-christelijke en rooms-katholieke partijen. In de jaren dertig trof men onder hen ook veel communisten, socialisten en nationaalsocialisten (NSB). NSB’ers vond men vooral onder de Rijnschippers, die veel aan Duitse propaganda waren blootgesteld. Ontspanning zochten de meeste schippersgezinnen vooral ’s avonds, wanneer meerdere schepen naast elkaar lagen en men gezellig bij elkaar ging buurten om te praten of spelletjes te doen.  </w:t>
      </w:r>
    </w:p>
    <w:p w14:paraId="535212E7" w14:textId="6B9630A8" w:rsidR="00ED4F8E" w:rsidRPr="006F2292" w:rsidRDefault="00A90F9F" w:rsidP="00DE08B1">
      <w:pPr>
        <w:jc w:val="left"/>
        <w:rPr>
          <w:rFonts w:ascii="Calibri" w:eastAsia="Times New Roman" w:hAnsi="Calibri" w:cs="Calibri"/>
          <w:color w:val="FF0000"/>
          <w:szCs w:val="24"/>
          <w:shd w:val="clear" w:color="auto" w:fill="FFFFFF"/>
          <w:lang w:eastAsia="nl-NL"/>
        </w:rPr>
      </w:pPr>
      <w:bookmarkStart w:id="45" w:name="_Hlk161521118"/>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8D43E5">
        <w:rPr>
          <w:rFonts w:eastAsia="Times New Roman" w:cs="Times New Roman"/>
          <w:color w:val="FF0000"/>
          <w:szCs w:val="24"/>
          <w:lang w:eastAsia="nl-NL"/>
        </w:rPr>
        <w:t>4</w:t>
      </w:r>
      <w:r w:rsidR="003E0E09">
        <w:rPr>
          <w:rFonts w:eastAsia="Times New Roman" w:cs="Times New Roman"/>
          <w:color w:val="FF0000"/>
          <w:szCs w:val="24"/>
          <w:lang w:eastAsia="nl-NL"/>
        </w:rPr>
        <w:t>9</w:t>
      </w:r>
      <w:r w:rsidR="008D43E5">
        <w:rPr>
          <w:rFonts w:eastAsia="Times New Roman" w:cs="Times New Roman"/>
          <w:color w:val="FF0000"/>
          <w:szCs w:val="24"/>
          <w:lang w:eastAsia="nl-NL"/>
        </w:rPr>
        <w:t>-</w:t>
      </w:r>
      <w:r>
        <w:rPr>
          <w:rFonts w:eastAsia="Times New Roman" w:cs="Times New Roman"/>
          <w:color w:val="FF0000"/>
          <w:szCs w:val="24"/>
          <w:lang w:eastAsia="nl-NL"/>
        </w:rPr>
        <w:t>3</w:t>
      </w:r>
      <w:r w:rsidR="002D2D43">
        <w:rPr>
          <w:rFonts w:eastAsia="Times New Roman" w:cs="Times New Roman"/>
          <w:color w:val="FF0000"/>
          <w:szCs w:val="24"/>
          <w:lang w:eastAsia="nl-NL"/>
        </w:rPr>
        <w:t>6</w:t>
      </w:r>
      <w:r>
        <w:rPr>
          <w:rFonts w:eastAsia="Times New Roman" w:cs="Times New Roman"/>
          <w:color w:val="FF0000"/>
          <w:szCs w:val="24"/>
          <w:lang w:eastAsia="nl-NL"/>
        </w:rPr>
        <w:t>_</w:t>
      </w:r>
      <w:r w:rsidR="002D2D43">
        <w:rPr>
          <w:rFonts w:eastAsia="Times New Roman" w:cs="Times New Roman"/>
          <w:color w:val="FF0000"/>
          <w:szCs w:val="24"/>
          <w:lang w:eastAsia="nl-NL"/>
        </w:rPr>
        <w:t>NSB</w:t>
      </w:r>
      <w:r>
        <w:rPr>
          <w:rFonts w:cstheme="minorHAnsi"/>
          <w:color w:val="FF0000"/>
        </w:rPr>
        <w:t>.jpg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r>
        <w:rPr>
          <w:rFonts w:ascii="Calibri" w:eastAsia="Times New Roman" w:hAnsi="Calibri" w:cs="Calibri"/>
          <w:color w:val="FF0000"/>
          <w:szCs w:val="24"/>
          <w:shd w:val="clear" w:color="auto" w:fill="FFFFFF"/>
          <w:lang w:eastAsia="nl-NL"/>
        </w:rPr>
        <w:br/>
      </w:r>
      <w:bookmarkEnd w:id="45"/>
      <w:r>
        <w:t xml:space="preserve"> </w:t>
      </w:r>
      <w:r>
        <w:tab/>
      </w:r>
      <w:r w:rsidR="00744212" w:rsidRPr="00AD6A40">
        <w:t>Veel schippersgezinnen hadden een armoedig bestaan</w:t>
      </w:r>
      <w:r w:rsidR="00744212">
        <w:t>. D</w:t>
      </w:r>
      <w:r w:rsidR="00ED4F8E">
        <w:t xml:space="preserve">e geïsoleerde leefwijze, het gebrek aan geestelijke ontwikkeling en </w:t>
      </w:r>
      <w:r w:rsidR="00744212">
        <w:t xml:space="preserve">de voortdurende armoede </w:t>
      </w:r>
      <w:r w:rsidR="00ED4F8E">
        <w:t xml:space="preserve">drukten hun stempel op het karakter van de schippers. Twee observatoren die vanwege hun werkzaamheden vaak met schippers te maken hadden, kwamen onafhankelijk van elkaar met </w:t>
      </w:r>
      <w:r w:rsidR="00744212">
        <w:t xml:space="preserve">hetzelfde </w:t>
      </w:r>
      <w:r w:rsidR="00ED4F8E">
        <w:t>oordeel over de eigenschappen die hen bij veel schippers waren opgevallen: ‘De schipper is koning op zijn schip’. Schippers waren sobere mensen en harde werkers en ze waren tegenover walbewoners achterdochtig. Een overheersende trek was hun individualisme, gepaard aan een grote vrijheidszin. Positieve eigenschappen waren vaak: eerlijkheid, behulpzaamheid, betrouwbaarheid, openhartigheid, gastvrijheid en familiezin. Negatieve trekken waren vaak: opvliegendheid, koppigheid, gebrekkig organisatievermogen, ontevredenheid en mopperzucht.</w:t>
      </w:r>
    </w:p>
    <w:p w14:paraId="0EAC135E" w14:textId="108A620C" w:rsidR="00ED4F8E" w:rsidRDefault="00744212" w:rsidP="0036468B">
      <w:pPr>
        <w:ind w:firstLine="708"/>
        <w:jc w:val="left"/>
      </w:pPr>
      <w:r>
        <w:t>I</w:t>
      </w:r>
      <w:r w:rsidR="00ED4F8E" w:rsidRPr="00AD6A40">
        <w:t xml:space="preserve">n </w:t>
      </w:r>
      <w:r w:rsidR="004368A7">
        <w:t xml:space="preserve">het begin van </w:t>
      </w:r>
      <w:r w:rsidR="00ED4F8E" w:rsidRPr="00AD6A40">
        <w:t>de jaren dertig stond</w:t>
      </w:r>
      <w:r w:rsidR="00CF4EB7">
        <w:t xml:space="preserve">en veel schippers </w:t>
      </w:r>
      <w:r w:rsidR="00ED4F8E" w:rsidRPr="00AD6A40">
        <w:t>aan de rand van de afgrond.</w:t>
      </w:r>
      <w:r w:rsidR="00ED4F8E">
        <w:rPr>
          <w:b/>
          <w:bCs/>
        </w:rPr>
        <w:t xml:space="preserve"> </w:t>
      </w:r>
      <w:r w:rsidR="00ED4F8E">
        <w:t xml:space="preserve">Sociale wetgeving bestond voor </w:t>
      </w:r>
      <w:r w:rsidR="00CF4EB7">
        <w:t xml:space="preserve">hen </w:t>
      </w:r>
      <w:r w:rsidR="00ED4F8E">
        <w:t xml:space="preserve">nauwelijks. Sommige gemeenten verleenden in noodgevallen steun. Elders moesten ze naar de armenzorg of de werkverschaffing. In sommige gemeenten werden ze gewoon weggestuurd. Schippers die van een steunregeling gebruikmaakten, mochten zolang </w:t>
      </w:r>
      <w:r w:rsidR="00122015">
        <w:t xml:space="preserve">die </w:t>
      </w:r>
      <w:r w:rsidR="00ED4F8E">
        <w:t xml:space="preserve">duurde vaak geen vrachten aannemen. Sommige </w:t>
      </w:r>
      <w:r w:rsidR="00ED4F8E">
        <w:lastRenderedPageBreak/>
        <w:t xml:space="preserve">schippers, die hun hypotheek niet meer konden betalen, werden door de hypotheekbank van hun schip gezet. </w:t>
      </w:r>
    </w:p>
    <w:p w14:paraId="7A6FC2C1" w14:textId="29091194" w:rsidR="00ED4F8E" w:rsidRDefault="007873F4" w:rsidP="00DE08B1">
      <w:pPr>
        <w:jc w:val="left"/>
      </w:pPr>
      <w:r>
        <w:br/>
      </w:r>
    </w:p>
    <w:p w14:paraId="2C8F5C80" w14:textId="77777777" w:rsidR="00ED4F8E" w:rsidRDefault="00ED4F8E" w:rsidP="007873F4">
      <w:pPr>
        <w:pStyle w:val="Heading2"/>
      </w:pPr>
      <w:r>
        <w:t>Veranderingen</w:t>
      </w:r>
    </w:p>
    <w:p w14:paraId="12DC740B" w14:textId="3592DD85" w:rsidR="00ED4F8E" w:rsidRDefault="007873F4" w:rsidP="00DE08B1">
      <w:pPr>
        <w:jc w:val="left"/>
      </w:pPr>
      <w:r>
        <w:br/>
      </w:r>
      <w:r w:rsidR="00ED4F8E">
        <w:t xml:space="preserve">Tussen 1900 en 1935 </w:t>
      </w:r>
      <w:r w:rsidR="00CF4EB7">
        <w:t xml:space="preserve">ontstonden </w:t>
      </w:r>
      <w:r w:rsidR="00ED4F8E">
        <w:t>voor de schippersgezinnen drie grote veranderingen. De eerste was de invoering van de Evenredige Vrachtverdeling (EV)</w:t>
      </w:r>
      <w:r w:rsidR="00AD6070">
        <w:t xml:space="preserve"> in 1933</w:t>
      </w:r>
      <w:r w:rsidR="00ED4F8E">
        <w:t xml:space="preserve">. Deze regeling maakte een eind aan de macht van de verladers en de kroegbevrachting. De EV loste het probleem van een tekort aan lading natuurlijk niet op, maar zorgde wél dat </w:t>
      </w:r>
      <w:r w:rsidR="00DB65C3">
        <w:t xml:space="preserve">schippers </w:t>
      </w:r>
      <w:r w:rsidR="00ED4F8E">
        <w:t>voor iedere reis een behoorlijke vrachtprijs ontvingen. Anderzijds leidde de EV met zijn onderscheid in wilde vaart, vaste-relatievaart, eigen vervoer en beurtvaart ertoe, dat de onderlinge tegenstellingen tussen de schippers toenamen.</w:t>
      </w:r>
      <w:r w:rsidR="00EC5F6B">
        <w:t xml:space="preserve"> </w:t>
      </w:r>
    </w:p>
    <w:p w14:paraId="2E5C7FCC" w14:textId="0419FB86" w:rsidR="00ED4F8E" w:rsidRDefault="00ED4F8E" w:rsidP="0036468B">
      <w:pPr>
        <w:ind w:firstLine="708"/>
        <w:jc w:val="left"/>
      </w:pPr>
      <w:r>
        <w:t xml:space="preserve">De tweede verandering was de motorisering van de vloot: enerzijds een zegen, anderzijds een hel. Door de motorisering kon een schipper meer reizen maken, het werk aan boord verminderde en het zwoegen in de jaaglijn verdween. Aan de andere kant maakten de toenmalige motoren veel herrie, vooral op de grote motorschepen en </w:t>
      </w:r>
      <w:r w:rsidR="00122015">
        <w:t xml:space="preserve">de </w:t>
      </w:r>
      <w:r>
        <w:t xml:space="preserve">sleepboten. Een onderzoeker constateerde dat veel schippers en vooral schippersvrouwen aan zenuwziekten leden en schreef dit naast de benepen leefomstandigheden en de economische crisis toe aan het voortdurende motorlawaai.     </w:t>
      </w:r>
    </w:p>
    <w:p w14:paraId="2D9F789F" w14:textId="3F03E5D1" w:rsidR="00ED4F8E" w:rsidRDefault="00ED4F8E" w:rsidP="0036468B">
      <w:pPr>
        <w:ind w:firstLine="708"/>
        <w:jc w:val="left"/>
      </w:pPr>
      <w:r>
        <w:t xml:space="preserve">De derde verandering was de geleidelijke invoering van zwemonderwijs. Een groot deel van de schippersgezinnen kon tot ver in de twintigste eeuw niet zwemmen. Omdat ouders het zelf niet konden, zagen ze ook niet in dat het nuttig was voor hun kinderen. De situatie veranderde </w:t>
      </w:r>
      <w:r w:rsidR="00CF4EB7">
        <w:t xml:space="preserve">langzaam, </w:t>
      </w:r>
      <w:r>
        <w:t>toen in de jaren twintig in het hele land een rage op zwemonderwijs ontstond. Schipperskinderen kregen nu, voor zover ze naar school gingen, zwemles.</w:t>
      </w:r>
      <w:r w:rsidR="00EC5F6B">
        <w:t xml:space="preserve"> Daarmee werd de veiligheid voor de opvarenden aanzienlijk verbeterd. </w:t>
      </w:r>
      <w:r>
        <w:t xml:space="preserve"> </w:t>
      </w:r>
    </w:p>
    <w:p w14:paraId="59E3387D" w14:textId="786FDAA8" w:rsidR="00ED4F8E" w:rsidRDefault="00ED4F8E" w:rsidP="00DE08B1">
      <w:pPr>
        <w:jc w:val="left"/>
      </w:pPr>
    </w:p>
    <w:p w14:paraId="762467EC" w14:textId="77777777" w:rsidR="00924F0D" w:rsidRDefault="00924F0D" w:rsidP="00DE08B1">
      <w:pPr>
        <w:jc w:val="left"/>
      </w:pPr>
    </w:p>
    <w:p w14:paraId="7CFAED3F" w14:textId="72C1E0DD" w:rsidR="00ED4F8E" w:rsidRDefault="00ED4F8E" w:rsidP="00924F0D">
      <w:pPr>
        <w:pStyle w:val="Heading2"/>
      </w:pPr>
      <w:r>
        <w:t>De opleiding van schipperskinderen</w:t>
      </w:r>
    </w:p>
    <w:p w14:paraId="407AE232" w14:textId="77777777" w:rsidR="00924F0D" w:rsidRDefault="00924F0D" w:rsidP="00DE08B1">
      <w:pPr>
        <w:jc w:val="left"/>
      </w:pPr>
    </w:p>
    <w:p w14:paraId="034C2DA0" w14:textId="77777777" w:rsidR="008E0102" w:rsidRDefault="00ED4F8E" w:rsidP="00DE08B1">
      <w:pPr>
        <w:jc w:val="left"/>
      </w:pPr>
      <w:r>
        <w:t xml:space="preserve">Verschillende oorzaken blokkeerden lange tijd de invoering van een leerplicht voor schipperskinderen. </w:t>
      </w:r>
      <w:r w:rsidR="00EC5F6B">
        <w:t xml:space="preserve">Bij de totstandkoming van de leerplichtwet beschikte de regering nauwelijks over alternatieven. </w:t>
      </w:r>
      <w:r w:rsidR="005C403D">
        <w:t xml:space="preserve">Ten eerste </w:t>
      </w:r>
      <w:r w:rsidR="00DB65C3">
        <w:t xml:space="preserve">stuitte het wetsontwerp binnen grote delen van de samenleving op ideologische bezwaren. </w:t>
      </w:r>
      <w:r>
        <w:t xml:space="preserve">Omstreeks 1900 zagen velen opvoeding als een taak voor de ouders, waar de overheid zich slechts in uitzonderingsgevallen mee mocht bemoeien. </w:t>
      </w:r>
      <w:r w:rsidR="005C403D">
        <w:t xml:space="preserve">Ten tweede </w:t>
      </w:r>
      <w:r>
        <w:t xml:space="preserve">vormde de financiering een probleem. In theorie kon de overheid de schippers dwingen om hun kinderen naar een lagere school op de wal te sturen, maar dan moesten die kinderen enige jaren in een gastgezin of internaat worden ondergebracht. De vraag was wie dat moest betalen. Zowel de staat als de ouders misten het geld. Een derde obstakel was dat veel schippers het lange tijd niet nodig vonden dat hun kinderen onderwijs volgden. Immers, het </w:t>
      </w:r>
      <w:proofErr w:type="spellStart"/>
      <w:r>
        <w:t>schippersvak</w:t>
      </w:r>
      <w:proofErr w:type="spellEnd"/>
      <w:r>
        <w:t xml:space="preserve"> leerde je in de praktijk en ook als dienstmeisje of schippersvrouw had je er niets aan. Bovendien hadden veel ouders er moeite mee dat hun kinderen het gezin op jeugdige leeftijd zouden verlaten. </w:t>
      </w:r>
      <w:r w:rsidR="00F13F23">
        <w:t xml:space="preserve">Bij de invoering van de leerplichtwet beschikte de </w:t>
      </w:r>
      <w:r>
        <w:t xml:space="preserve">regering </w:t>
      </w:r>
      <w:r>
        <w:lastRenderedPageBreak/>
        <w:t xml:space="preserve">slechts over een krappe meerderheid. Wanneer </w:t>
      </w:r>
      <w:r w:rsidR="00D43F9D">
        <w:t xml:space="preserve">ze tegelijkertijd ook een leerplicht voor schippers- en kermiskinderen zou hebben ingevoerd, </w:t>
      </w:r>
      <w:r>
        <w:t xml:space="preserve">zou dit tot verwerping </w:t>
      </w:r>
      <w:r w:rsidR="00226038">
        <w:t xml:space="preserve">van het wetsvoorstel </w:t>
      </w:r>
      <w:r>
        <w:t>hebben geleid.</w:t>
      </w:r>
    </w:p>
    <w:p w14:paraId="7AC11445" w14:textId="6A3F5497" w:rsidR="00ED4F8E" w:rsidRDefault="0036468B" w:rsidP="0036468B">
      <w:pPr>
        <w:ind w:firstLine="708"/>
        <w:jc w:val="left"/>
      </w:pPr>
      <w:r w:rsidRPr="005211BE">
        <w:rPr>
          <w:rFonts w:ascii="Calibri" w:eastAsia="Times New Roman" w:hAnsi="Calibri" w:cs="Calibri"/>
          <w:color w:val="FF0000"/>
          <w:szCs w:val="24"/>
          <w:shd w:val="clear" w:color="auto" w:fill="FFFFFF"/>
          <w:lang w:eastAsia="nl-NL"/>
        </w:rPr>
        <w:t>​</w:t>
      </w:r>
      <w:r w:rsidR="00ED4F8E">
        <w:t xml:space="preserve">Daar waar de staat passief bleef, ondernamen gemeenten en particuliere organisaties pogingen om het onderwijs beter te organiseren. Rondom de eeuwwisseling ontstonden tal van schoolfondsen, die minvermogende schippers financieel </w:t>
      </w:r>
      <w:r w:rsidR="006D0466">
        <w:t xml:space="preserve">hielpen </w:t>
      </w:r>
      <w:r w:rsidR="00ED4F8E">
        <w:t xml:space="preserve">om hun kinderen voor hun lager onderwijs tijdelijk bij familie, in walgezinnen of op internaten onder te brengen. </w:t>
      </w:r>
      <w:r w:rsidR="00F13F23">
        <w:t xml:space="preserve">Voorlopig beschikten alleen </w:t>
      </w:r>
      <w:r w:rsidR="00ED4F8E">
        <w:t xml:space="preserve">de meer welvarende schippers </w:t>
      </w:r>
      <w:r w:rsidR="00F13F23">
        <w:t xml:space="preserve">over </w:t>
      </w:r>
      <w:r w:rsidR="00ED4F8E">
        <w:t>voldoende inkomen om van deze regeling</w:t>
      </w:r>
      <w:r w:rsidR="006D0466">
        <w:t>en</w:t>
      </w:r>
      <w:r w:rsidR="00ED4F8E">
        <w:t xml:space="preserve"> gebruik te maken. Aan het eind van de jaren dertig werden op deze wijze jaarlijks 2</w:t>
      </w:r>
      <w:r w:rsidR="00366223">
        <w:t>.</w:t>
      </w:r>
      <w:r w:rsidR="00ED4F8E">
        <w:t>500 à 3</w:t>
      </w:r>
      <w:r w:rsidR="00366223">
        <w:t>.</w:t>
      </w:r>
      <w:r w:rsidR="00ED4F8E">
        <w:t xml:space="preserve">000 kinderen geholpen. Als tweede onderwijsvorm ontstond rondom de eeuwwisseling het zogenaamde ‘ligplaatsenonderwijs’. Hierbij gaf een aantal gemeenten aan schippers de mogelijkheid om hun kinderen op onregelmatige tijden naar school te sturen, wanneer ze in een haven op lading wachtten of bij vorst overwinterden. </w:t>
      </w:r>
      <w:r w:rsidR="00F13F23">
        <w:t xml:space="preserve">Dit onderwijs </w:t>
      </w:r>
      <w:r w:rsidR="00ED4F8E">
        <w:t xml:space="preserve">was weinig effectief. </w:t>
      </w:r>
      <w:r w:rsidR="00ED4F8E" w:rsidRPr="00904FD3">
        <w:t>Zodra een schipper een reis begon, haalde hij zijn kinderen van school en kwam er van geregeld onderwijs niets terecht.</w:t>
      </w:r>
      <w:r w:rsidR="00ED4F8E">
        <w:t xml:space="preserve"> Bovendien waren er op veel reisbestemmingen geen onderwijsmogelijkheden</w:t>
      </w:r>
      <w:r w:rsidR="006D0466">
        <w:t xml:space="preserve"> aanwezig</w:t>
      </w:r>
      <w:r w:rsidR="00ED4F8E">
        <w:t>.</w:t>
      </w:r>
    </w:p>
    <w:p w14:paraId="1A9D0225" w14:textId="163CDA53" w:rsidR="00915310" w:rsidRPr="00915310" w:rsidRDefault="00915310" w:rsidP="00915310">
      <w:pPr>
        <w:jc w:val="left"/>
        <w:rPr>
          <w:rFonts w:ascii="Calibri" w:eastAsia="Times New Roman" w:hAnsi="Calibri" w:cs="Calibri"/>
          <w:color w:val="FF0000"/>
          <w:szCs w:val="24"/>
          <w:shd w:val="clear" w:color="auto" w:fill="FFFFFF"/>
          <w:lang w:eastAsia="nl-NL"/>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Pr>
          <w:rFonts w:eastAsia="Times New Roman" w:cs="Times New Roman"/>
          <w:color w:val="FF0000"/>
          <w:szCs w:val="24"/>
          <w:lang w:eastAsia="nl-NL"/>
        </w:rPr>
        <w:t>50-37_onderwijsschip</w:t>
      </w:r>
      <w:r>
        <w:rPr>
          <w:rFonts w:cstheme="minorHAnsi"/>
          <w:color w:val="FF0000"/>
        </w:rPr>
        <w:t>.jpg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5C339D97" w14:textId="277F9199" w:rsidR="00ED4F8E" w:rsidRDefault="00ED4F8E" w:rsidP="003075B1">
      <w:pPr>
        <w:ind w:firstLine="360"/>
        <w:jc w:val="left"/>
      </w:pPr>
      <w:r>
        <w:t xml:space="preserve">Tussen de beide wereldoorlogen verbeterde de onderwijssituatie geleidelijk. Omstreeks 1910 volgde de helft à driekwart van de schipperskinderen geen onderwijs. In 1936 waren er volgens gemeentelijke opgaven 12.202 schipperskinderen, waarvan 27,6 procent de school volledig, 31 procent tamelijk geregeld, 13,2 procent onvoldoende en 28,2 procent in het geheel niet bezocht. Veel kinderen bleven analfabeet. </w:t>
      </w:r>
      <w:r w:rsidR="00223409">
        <w:t xml:space="preserve">Veel kinderen </w:t>
      </w:r>
      <w:r>
        <w:t xml:space="preserve">die het ligplaatsonderwijs bezochten, beëindigden de school met het kennisniveau van een </w:t>
      </w:r>
      <w:r w:rsidR="006D11D5">
        <w:t xml:space="preserve">zeven </w:t>
      </w:r>
      <w:r>
        <w:t xml:space="preserve">à </w:t>
      </w:r>
      <w:r w:rsidR="006D11D5">
        <w:t>acht</w:t>
      </w:r>
      <w:r>
        <w:t xml:space="preserve">jarige walbewoner. Het enige lichtpunt was dat schippersdochters evenveel onderwijs genoten als zonen.       </w:t>
      </w:r>
    </w:p>
    <w:p w14:paraId="433193E1" w14:textId="0E691139" w:rsidR="00ED4F8E" w:rsidRDefault="00BE6DCF" w:rsidP="00DE08B1">
      <w:pPr>
        <w:jc w:val="left"/>
      </w:pPr>
      <w:r>
        <w:br/>
      </w:r>
    </w:p>
    <w:p w14:paraId="6FC13A2D" w14:textId="7AFAF797" w:rsidR="007844A8" w:rsidRDefault="00BE6DCF" w:rsidP="00BE6DCF">
      <w:pPr>
        <w:pStyle w:val="Heading2"/>
      </w:pPr>
      <w:r>
        <w:t xml:space="preserve">9 De </w:t>
      </w:r>
      <w:r w:rsidR="00223409">
        <w:t>mensen</w:t>
      </w:r>
      <w:r>
        <w:t>: sociale integratie en emancipatie (1945-202</w:t>
      </w:r>
      <w:r w:rsidR="005E48C6">
        <w:t>2</w:t>
      </w:r>
      <w:r>
        <w:t>)</w:t>
      </w:r>
    </w:p>
    <w:p w14:paraId="6D26B603" w14:textId="0BE9A409" w:rsidR="00ED4F8E" w:rsidRDefault="00BE6DCF" w:rsidP="00DE08B1">
      <w:pPr>
        <w:jc w:val="left"/>
      </w:pPr>
      <w:r>
        <w:br/>
      </w:r>
      <w:r w:rsidR="00ED4F8E">
        <w:t>Tussen 1950</w:t>
      </w:r>
      <w:r w:rsidR="00ED4F8E" w:rsidRPr="00991D3B">
        <w:t xml:space="preserve"> </w:t>
      </w:r>
      <w:r w:rsidR="00ED4F8E">
        <w:t>en 1970 kromp de Nederlandse binnenvaartvloot van 17.055 naar 9.645 vaartuigen. De verdwenen schepen waren grotendeels kleine, gebrekkig uitgeruste vaartuigen met een laadvermogen van minder dan 100 ton: zeilschepen, vaartuigen met opduwers of zijschroeven en stoomboten. Veel van deze schepen hadden hun werkgebied in de drie noordelijke provincies.</w:t>
      </w:r>
      <w:r w:rsidR="00190F07" w:rsidRPr="00190F07">
        <w:rPr>
          <w:rStyle w:val="EndnoteReference"/>
          <w:rFonts w:cs="Times New Roman"/>
          <w:bCs/>
          <w:iCs/>
          <w:szCs w:val="24"/>
        </w:rPr>
        <w:endnoteReference w:id="86"/>
      </w:r>
      <w:r w:rsidR="00ED4F8E">
        <w:t xml:space="preserve"> Elders is beschreven hoe zich in dit gebied een sociaal drama voltrok, waarbij naar schatting de werkgelegenheid van 3</w:t>
      </w:r>
      <w:r w:rsidR="00CE1364">
        <w:t>.</w:t>
      </w:r>
      <w:r w:rsidR="00ED4F8E">
        <w:t>000 schippers verloren ging.</w:t>
      </w:r>
      <w:r w:rsidR="00ED4F8E">
        <w:rPr>
          <w:rStyle w:val="EndnoteReference"/>
        </w:rPr>
        <w:endnoteReference w:id="87"/>
      </w:r>
    </w:p>
    <w:p w14:paraId="3E9D2AFA" w14:textId="3BE1EFEA" w:rsidR="00D55E4A" w:rsidRPr="00270863" w:rsidRDefault="00D55E4A" w:rsidP="00DE08B1">
      <w:pPr>
        <w:jc w:val="left"/>
        <w:rPr>
          <w:rFonts w:eastAsia="Calibri" w:cs="Times New Roman"/>
          <w:color w:val="auto"/>
          <w:szCs w:val="24"/>
        </w:rPr>
      </w:pPr>
    </w:p>
    <w:p w14:paraId="65BDBED2" w14:textId="77777777" w:rsidR="00C63F04" w:rsidRPr="00270863" w:rsidRDefault="00C63F04" w:rsidP="00DE08B1">
      <w:pPr>
        <w:jc w:val="left"/>
        <w:rPr>
          <w:rFonts w:eastAsia="Calibri" w:cs="Times New Roman"/>
          <w:color w:val="auto"/>
          <w:szCs w:val="24"/>
        </w:rPr>
      </w:pPr>
    </w:p>
    <w:p w14:paraId="7EB328B8" w14:textId="77777777" w:rsidR="00ED4F8E" w:rsidRDefault="00ED4F8E" w:rsidP="00D55E4A">
      <w:pPr>
        <w:pStyle w:val="Heading2"/>
      </w:pPr>
      <w:r>
        <w:t xml:space="preserve">Meer </w:t>
      </w:r>
      <w:proofErr w:type="spellStart"/>
      <w:r>
        <w:t>leefcomfort</w:t>
      </w:r>
      <w:proofErr w:type="spellEnd"/>
    </w:p>
    <w:p w14:paraId="5661A80D" w14:textId="77777777" w:rsidR="00D55E4A" w:rsidRDefault="00D55E4A" w:rsidP="00DE08B1">
      <w:pPr>
        <w:jc w:val="left"/>
      </w:pPr>
    </w:p>
    <w:p w14:paraId="3A2E0C96" w14:textId="2A734FF4" w:rsidR="00ED4F8E" w:rsidRDefault="00ED4F8E" w:rsidP="00DE08B1">
      <w:pPr>
        <w:jc w:val="left"/>
        <w:rPr>
          <w:rFonts w:ascii="Calibri" w:eastAsia="Times New Roman" w:hAnsi="Calibri" w:cs="Calibri"/>
          <w:color w:val="FF0000"/>
          <w:szCs w:val="24"/>
          <w:shd w:val="clear" w:color="auto" w:fill="FFFFFF"/>
          <w:lang w:eastAsia="nl-NL"/>
        </w:rPr>
      </w:pPr>
      <w:r>
        <w:t>In de tweede eeuw</w:t>
      </w:r>
      <w:r w:rsidR="00DA11A5">
        <w:t>helft</w:t>
      </w:r>
      <w:r>
        <w:t xml:space="preserve"> verbeterde het </w:t>
      </w:r>
      <w:proofErr w:type="spellStart"/>
      <w:r>
        <w:t>leefcomfort</w:t>
      </w:r>
      <w:proofErr w:type="spellEnd"/>
      <w:r>
        <w:t xml:space="preserve"> aan boord van de binnenschepen sterk. Schaalvergroting zorgde ervoor dat de opvarenden meer leefruimte kregen. Tot de Tweede Wereldoorlog beschikte bijna geen schip over elektriciteit. Schippers gebruikten voor hun verlichting petroleum of gas. Direct na de oorlog verscheen een nieuw scheepstype, de </w:t>
      </w:r>
      <w:r>
        <w:lastRenderedPageBreak/>
        <w:t xml:space="preserve">‘Franse motor’. Dit waren 700- en 900-tons vaartuigen, die in het kader van de Marshallhulp door de Verenigde Staten aan Frankrijk werden geleverd, waarvan de helft op de </w:t>
      </w:r>
      <w:r w:rsidR="00F14BCA">
        <w:t xml:space="preserve">Nederlandse </w:t>
      </w:r>
      <w:r>
        <w:t>werf De Biesbosch in Dordrecht werd geassembleerd en later ook gebouwd. Deze schepen beschikten over een ruime, luxueuze accommodatie, zowel voor het schippersgezin als voor de bemanning – elektrische verlichting, centrale verwarming, een modern uitgeruste keuken met koelkast, een douche voor de bemanning en een ligbad voor de kapitein. De uitrusting van de</w:t>
      </w:r>
      <w:r w:rsidR="00F14BCA">
        <w:t>ze</w:t>
      </w:r>
      <w:r>
        <w:t xml:space="preserve"> schepen vormde een voorbeeld voor veel later gebouwde vaartuigen. De </w:t>
      </w:r>
      <w:r w:rsidR="00417121">
        <w:t>vaartuigen b</w:t>
      </w:r>
      <w:r>
        <w:t>oden een weelde, waar zelfs de walbewoner niet van durfde dromen.</w:t>
      </w:r>
    </w:p>
    <w:p w14:paraId="1AAEEB67" w14:textId="7B8D010A" w:rsidR="00316E4D" w:rsidRPr="001001D9" w:rsidRDefault="00316E4D" w:rsidP="00316E4D">
      <w:pPr>
        <w:jc w:val="left"/>
        <w:rPr>
          <w:rFonts w:ascii="Calibri" w:eastAsia="Times New Roman" w:hAnsi="Calibri" w:cs="Calibri"/>
          <w:color w:val="A66500"/>
          <w:shd w:val="clear" w:color="auto" w:fill="FFFFFF"/>
          <w:lang w:eastAsia="nl-NL"/>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1001D9" w:rsidRPr="0044176C">
        <w:rPr>
          <w:rFonts w:ascii="Calibri" w:eastAsia="Times New Roman" w:hAnsi="Calibri" w:cs="Calibri"/>
          <w:color w:val="FF0000"/>
          <w:shd w:val="clear" w:color="auto" w:fill="FFFFFF"/>
          <w:lang w:eastAsia="nl-NL"/>
        </w:rPr>
        <w:t>51-30_FranseMotor_Montrachet.jpg</w:t>
      </w:r>
      <w:r w:rsidRPr="005211BE">
        <w:rPr>
          <w:rFonts w:cstheme="minorHAnsi"/>
          <w:color w:val="FF0000"/>
        </w:rPr>
        <w:t>]]]</w:t>
      </w:r>
      <w:r w:rsidR="00691D67">
        <w:rPr>
          <w:rFonts w:cstheme="minorHAnsi"/>
          <w:color w:val="FF0000"/>
        </w:rPr>
        <w:t xml:space="preserve"> [</w:t>
      </w:r>
      <w:r w:rsidR="001001D9">
        <w:rPr>
          <w:rFonts w:cstheme="minorHAnsi"/>
          <w:color w:val="FF0000"/>
        </w:rPr>
        <w:t>[[</w:t>
      </w:r>
      <w:r w:rsidR="001001D9">
        <w:rPr>
          <w:rFonts w:ascii="Calibri" w:eastAsia="Times New Roman" w:hAnsi="Calibri" w:cs="Calibri"/>
          <w:color w:val="FF0000"/>
          <w:shd w:val="clear" w:color="auto" w:fill="FFFFFF"/>
          <w:lang w:eastAsia="nl-NL"/>
        </w:rPr>
        <w:t>52-41_</w:t>
      </w:r>
      <w:r w:rsidR="001001D9" w:rsidRPr="003C57B7">
        <w:rPr>
          <w:rFonts w:ascii="Calibri" w:eastAsia="Times New Roman" w:hAnsi="Calibri" w:cs="Calibri"/>
          <w:color w:val="FF0000"/>
          <w:shd w:val="clear" w:color="auto" w:fill="FFFFFF"/>
          <w:lang w:eastAsia="nl-NL"/>
        </w:rPr>
        <w:t>Fransemotor1.jpg</w:t>
      </w:r>
      <w:r>
        <w:rPr>
          <w:rFonts w:cstheme="minorHAnsi"/>
          <w:color w:val="FF0000"/>
        </w:rPr>
        <w:t>]]]</w:t>
      </w:r>
      <w:r w:rsidRPr="005211BE">
        <w:rPr>
          <w:rFonts w:ascii="Calibri" w:eastAsia="Times New Roman" w:hAnsi="Calibri" w:cs="Calibri"/>
          <w:color w:val="FF0000"/>
          <w:szCs w:val="24"/>
          <w:shd w:val="clear" w:color="auto" w:fill="FFFFFF"/>
          <w:lang w:eastAsia="nl-NL"/>
        </w:rPr>
        <w:t>@/i@</w:t>
      </w:r>
    </w:p>
    <w:p w14:paraId="13A5B188" w14:textId="26B51CCC" w:rsidR="00ED4F8E" w:rsidRDefault="00ED4F8E" w:rsidP="00B239A3">
      <w:pPr>
        <w:ind w:firstLine="708"/>
        <w:jc w:val="left"/>
      </w:pPr>
      <w:r>
        <w:t xml:space="preserve">Het keerpunt </w:t>
      </w:r>
      <w:r w:rsidR="006D0466">
        <w:t xml:space="preserve">in het </w:t>
      </w:r>
      <w:proofErr w:type="spellStart"/>
      <w:r w:rsidR="006D0466">
        <w:t>leefcomfort</w:t>
      </w:r>
      <w:proofErr w:type="spellEnd"/>
      <w:r w:rsidR="006D0466">
        <w:t xml:space="preserve"> </w:t>
      </w:r>
      <w:r>
        <w:t>kwam ruwweg tussen 1960 en 1980 met het verdwijnen van de kleine schepen. Een rijkscommissie die de sociale toestand van de binnenvaart in 1974 onderzocht, constateerde dat de huisvesting aan boord in verhouding tot vroeger sterk was verbeterd. Op de grotere schepen (</w:t>
      </w:r>
      <w:r>
        <w:rPr>
          <w:rFonts w:cs="Times New Roman"/>
        </w:rPr>
        <w:t>&gt;</w:t>
      </w:r>
      <w:r>
        <w:t xml:space="preserve"> 1</w:t>
      </w:r>
      <w:r w:rsidR="00DB196F">
        <w:t>.</w:t>
      </w:r>
      <w:r>
        <w:t>000 ton) was de woonsituatie comfortabel. Een douche, ijskast en ander comfort, dat aan de wal als normaal gold, was meestal aanwezig. Ook op de kleinere schepen kon de huisvesting echter in de meeste gevallen redelijk worden genoemd.</w:t>
      </w:r>
    </w:p>
    <w:p w14:paraId="3C452649" w14:textId="04151CAE" w:rsidR="00670133" w:rsidRDefault="00ED7DE9" w:rsidP="00DE08B1">
      <w:pPr>
        <w:jc w:val="left"/>
      </w:pPr>
      <w:r>
        <w:br/>
      </w:r>
    </w:p>
    <w:p w14:paraId="32A14A7E" w14:textId="60754A3A" w:rsidR="00670133" w:rsidRDefault="007A39BA" w:rsidP="00ED7DE9">
      <w:pPr>
        <w:pStyle w:val="Heading2"/>
      </w:pPr>
      <w:r>
        <w:t xml:space="preserve">Lichtere boordwerkzaamheden </w:t>
      </w:r>
      <w:r w:rsidR="00670133">
        <w:t>en emancipatie</w:t>
      </w:r>
    </w:p>
    <w:p w14:paraId="6ED2D656" w14:textId="1627C3AA" w:rsidR="00080064" w:rsidRDefault="00ED7DE9" w:rsidP="00DE08B1">
      <w:pPr>
        <w:jc w:val="left"/>
        <w:rPr>
          <w:rFonts w:eastAsia="Calibri" w:cs="Times New Roman"/>
          <w:color w:val="auto"/>
          <w:szCs w:val="24"/>
        </w:rPr>
      </w:pPr>
      <w:r>
        <w:rPr>
          <w:rFonts w:eastAsia="Calibri" w:cs="Times New Roman"/>
          <w:color w:val="auto"/>
          <w:szCs w:val="24"/>
        </w:rPr>
        <w:br/>
      </w:r>
      <w:r w:rsidR="00670133">
        <w:rPr>
          <w:rFonts w:eastAsia="Calibri" w:cs="Times New Roman"/>
          <w:color w:val="auto"/>
          <w:szCs w:val="24"/>
        </w:rPr>
        <w:t xml:space="preserve">De overgang van sleepvaart op motorschepen </w:t>
      </w:r>
      <w:r w:rsidR="00670133" w:rsidRPr="00E03114">
        <w:rPr>
          <w:rFonts w:eastAsia="Calibri" w:cs="Times New Roman"/>
          <w:color w:val="auto"/>
          <w:szCs w:val="24"/>
        </w:rPr>
        <w:t xml:space="preserve">leverde niet alleen een besparing van arbeidskrachten, maar had in de Rijnvaart ook belangrijke sociale gevolgen. Veel werkzaamheden aan boord van de </w:t>
      </w:r>
      <w:r w:rsidR="00670133">
        <w:rPr>
          <w:rFonts w:eastAsia="Calibri" w:cs="Times New Roman"/>
          <w:color w:val="auto"/>
          <w:szCs w:val="24"/>
        </w:rPr>
        <w:t xml:space="preserve">oude, </w:t>
      </w:r>
      <w:r w:rsidR="00670133" w:rsidRPr="00E03114">
        <w:rPr>
          <w:rFonts w:eastAsia="Calibri" w:cs="Times New Roman"/>
          <w:color w:val="auto"/>
          <w:szCs w:val="24"/>
        </w:rPr>
        <w:t>grote Rijnsleepschepen, zoals het bedienen van het stuurrad, het heffen van de ankers, het vastmaken van de sleepkabels en het hanteren van de dekluiken vergden zo veel inspanning dat ze voor de meeste vrouwen te zwaar waren. Vandaar dat Rijnschippersvrouwen voor de oorlog volgens de Rijnvaartreglementen niet meetelden als lid van de minimaal benodigde bemanning. Op motorschepen waren deze werkzaamheden niet meer nodig, of ze werden gemechaniseerd. De overgang maakte het voor vrouwen dus mogelijk om bij alle boordwerkzaamheden als volwaardig bemanningslid te fun</w:t>
      </w:r>
      <w:r w:rsidR="006D0466">
        <w:rPr>
          <w:rFonts w:eastAsia="Calibri" w:cs="Times New Roman"/>
          <w:color w:val="auto"/>
          <w:szCs w:val="24"/>
        </w:rPr>
        <w:t>geren</w:t>
      </w:r>
      <w:r w:rsidR="00670133" w:rsidRPr="00E03114">
        <w:rPr>
          <w:rFonts w:eastAsia="Calibri" w:cs="Times New Roman"/>
          <w:color w:val="auto"/>
          <w:szCs w:val="24"/>
        </w:rPr>
        <w:t xml:space="preserve">. </w:t>
      </w:r>
      <w:r w:rsidR="00670133">
        <w:rPr>
          <w:rFonts w:eastAsia="Calibri" w:cs="Times New Roman"/>
          <w:color w:val="auto"/>
          <w:szCs w:val="24"/>
        </w:rPr>
        <w:t>D</w:t>
      </w:r>
      <w:r w:rsidR="00670133" w:rsidRPr="00E03114">
        <w:rPr>
          <w:rFonts w:eastAsia="Calibri" w:cs="Times New Roman"/>
          <w:color w:val="auto"/>
          <w:szCs w:val="24"/>
        </w:rPr>
        <w:t xml:space="preserve">e Rijnvaartreglementen </w:t>
      </w:r>
      <w:r w:rsidR="00670133">
        <w:rPr>
          <w:rFonts w:eastAsia="Calibri" w:cs="Times New Roman"/>
          <w:color w:val="auto"/>
          <w:szCs w:val="24"/>
        </w:rPr>
        <w:t xml:space="preserve">stonden </w:t>
      </w:r>
      <w:r w:rsidR="00670133" w:rsidRPr="00E03114">
        <w:rPr>
          <w:rFonts w:eastAsia="Calibri" w:cs="Times New Roman"/>
          <w:color w:val="auto"/>
          <w:szCs w:val="24"/>
        </w:rPr>
        <w:t xml:space="preserve">vanaf 1948 toe dat schippersvrouwen deel uitmaakten van de bemanning. Vanaf de jaren zestig gingen de Rijnschippersvrouwen steeds meer actief aan </w:t>
      </w:r>
      <w:r w:rsidR="00670133">
        <w:rPr>
          <w:rFonts w:eastAsia="Calibri" w:cs="Times New Roman"/>
          <w:color w:val="auto"/>
          <w:szCs w:val="24"/>
        </w:rPr>
        <w:t>alle b</w:t>
      </w:r>
      <w:r w:rsidR="00670133" w:rsidRPr="00E03114">
        <w:rPr>
          <w:rFonts w:eastAsia="Calibri" w:cs="Times New Roman"/>
          <w:color w:val="auto"/>
          <w:szCs w:val="24"/>
        </w:rPr>
        <w:t>edrijfswerkzaamheden deelnemen. Kort na 1960 verschenen in de Rijnvaart de eerste vrouwelijke ma</w:t>
      </w:r>
      <w:r w:rsidR="00D80547">
        <w:rPr>
          <w:rFonts w:eastAsia="Calibri" w:cs="Times New Roman"/>
          <w:color w:val="auto"/>
          <w:szCs w:val="24"/>
        </w:rPr>
        <w:t>trozen.</w:t>
      </w:r>
    </w:p>
    <w:p w14:paraId="56987C7B" w14:textId="0C8146F0" w:rsidR="00ED4F8E" w:rsidRDefault="00025DFB" w:rsidP="00DE08B1">
      <w:pPr>
        <w:jc w:val="left"/>
      </w:pPr>
      <w:r>
        <w:br/>
      </w:r>
    </w:p>
    <w:p w14:paraId="32EC5EDD" w14:textId="77777777" w:rsidR="00ED4F8E" w:rsidRDefault="00ED4F8E" w:rsidP="00025DFB">
      <w:pPr>
        <w:pStyle w:val="Heading2"/>
      </w:pPr>
      <w:r>
        <w:t>Sociale integratie</w:t>
      </w:r>
    </w:p>
    <w:p w14:paraId="6FF52FA7" w14:textId="7BD594B0" w:rsidR="0096068F" w:rsidRDefault="00025DFB" w:rsidP="00E46FEA">
      <w:pPr>
        <w:contextualSpacing/>
        <w:jc w:val="left"/>
        <w:rPr>
          <w:rFonts w:eastAsia="Calibri" w:cs="Times New Roman"/>
        </w:rPr>
      </w:pPr>
      <w:r>
        <w:rPr>
          <w:rFonts w:eastAsia="Times New Roman" w:cs="Times New Roman"/>
          <w:color w:val="auto"/>
          <w:szCs w:val="24"/>
          <w:lang w:eastAsia="nl-NL"/>
        </w:rPr>
        <w:br/>
      </w:r>
      <w:r w:rsidR="00ED4F8E" w:rsidRPr="00B17061">
        <w:rPr>
          <w:rFonts w:eastAsia="Times New Roman" w:cs="Times New Roman"/>
          <w:color w:val="auto"/>
          <w:szCs w:val="24"/>
          <w:lang w:eastAsia="nl-NL"/>
        </w:rPr>
        <w:t xml:space="preserve">In de tweede helft van de twintigste eeuw raakten de schippersgezinnen beter in de maatschappij geïntegreerd. </w:t>
      </w:r>
      <w:r w:rsidR="00ED4F8E">
        <w:rPr>
          <w:rFonts w:eastAsia="Times New Roman" w:cs="Times New Roman"/>
          <w:color w:val="auto"/>
          <w:szCs w:val="24"/>
          <w:lang w:eastAsia="nl-NL"/>
        </w:rPr>
        <w:t xml:space="preserve">Het begon met de komst van de televisie. </w:t>
      </w:r>
      <w:r w:rsidR="00ED4F8E" w:rsidRPr="00B17061">
        <w:rPr>
          <w:rFonts w:eastAsia="Times New Roman" w:cs="Times New Roman"/>
          <w:color w:val="auto"/>
          <w:szCs w:val="24"/>
          <w:lang w:eastAsia="nl-NL"/>
        </w:rPr>
        <w:t xml:space="preserve">Evenals veel andere Nederlanders schaften de meeste schippersgezinnen zich aan het eind van de jaren vijftig hun eerste televisietoestel aan. Vooral in de beginperiode, toen het zenderaanbod beperkt </w:t>
      </w:r>
      <w:r w:rsidR="00ED4F8E">
        <w:rPr>
          <w:rFonts w:eastAsia="Times New Roman" w:cs="Times New Roman"/>
          <w:color w:val="auto"/>
          <w:szCs w:val="24"/>
          <w:lang w:eastAsia="nl-NL"/>
        </w:rPr>
        <w:t xml:space="preserve">was </w:t>
      </w:r>
      <w:r w:rsidR="00ED4F8E" w:rsidRPr="00B17061">
        <w:rPr>
          <w:rFonts w:eastAsia="Times New Roman" w:cs="Times New Roman"/>
          <w:color w:val="auto"/>
          <w:szCs w:val="24"/>
          <w:lang w:eastAsia="nl-NL"/>
        </w:rPr>
        <w:t xml:space="preserve">tot één of twee zenders van de publieke omroep, kregen de kijkers veel nieuwsuitzendingen, actualiteitenrubrieken en documentaires voorgeschoteld. </w:t>
      </w:r>
      <w:r w:rsidR="007A39BA">
        <w:rPr>
          <w:rFonts w:eastAsia="Times New Roman" w:cs="Times New Roman"/>
          <w:color w:val="auto"/>
          <w:szCs w:val="24"/>
          <w:lang w:eastAsia="nl-NL"/>
        </w:rPr>
        <w:t xml:space="preserve">Daardoor </w:t>
      </w:r>
      <w:r w:rsidR="00ED4F8E" w:rsidRPr="00B17061">
        <w:rPr>
          <w:rFonts w:eastAsia="Times New Roman" w:cs="Times New Roman"/>
          <w:color w:val="auto"/>
          <w:szCs w:val="24"/>
          <w:lang w:eastAsia="nl-NL"/>
        </w:rPr>
        <w:t xml:space="preserve">raakte de </w:t>
      </w:r>
      <w:r w:rsidR="00ED4F8E" w:rsidRPr="00B17061">
        <w:rPr>
          <w:rFonts w:eastAsia="Times New Roman" w:cs="Times New Roman"/>
          <w:color w:val="auto"/>
          <w:szCs w:val="24"/>
          <w:lang w:eastAsia="nl-NL"/>
        </w:rPr>
        <w:lastRenderedPageBreak/>
        <w:t xml:space="preserve">schippersbevolking goed geïnformeerd over de verschillende maatschappelijke ontwikkelingen. </w:t>
      </w:r>
      <w:r w:rsidR="00ED4F8E">
        <w:rPr>
          <w:rFonts w:eastAsia="Times New Roman" w:cs="Times New Roman"/>
          <w:color w:val="auto"/>
          <w:szCs w:val="24"/>
          <w:lang w:eastAsia="nl-NL"/>
        </w:rPr>
        <w:t xml:space="preserve">Een </w:t>
      </w:r>
      <w:r w:rsidR="00ED4F8E" w:rsidRPr="00B17061">
        <w:rPr>
          <w:rFonts w:eastAsia="Times New Roman" w:cs="Times New Roman"/>
          <w:color w:val="auto"/>
          <w:szCs w:val="24"/>
          <w:lang w:eastAsia="nl-NL"/>
        </w:rPr>
        <w:t>tweede factor was de verbeterde opleiding van de schipperskinderen</w:t>
      </w:r>
      <w:r w:rsidR="0015517A">
        <w:rPr>
          <w:rFonts w:eastAsia="Times New Roman" w:cs="Times New Roman"/>
          <w:color w:val="auto"/>
          <w:szCs w:val="24"/>
          <w:lang w:eastAsia="nl-NL"/>
        </w:rPr>
        <w:t>,</w:t>
      </w:r>
      <w:r w:rsidR="00ED4F8E" w:rsidRPr="00B17061">
        <w:rPr>
          <w:rFonts w:eastAsia="Times New Roman" w:cs="Times New Roman"/>
          <w:color w:val="auto"/>
          <w:szCs w:val="24"/>
          <w:lang w:eastAsia="nl-NL"/>
        </w:rPr>
        <w:t xml:space="preserve"> met als sluitstuk in 1969 de invoering van de leerplicht. Na de </w:t>
      </w:r>
      <w:r w:rsidR="00ED4F8E">
        <w:rPr>
          <w:rFonts w:eastAsia="Times New Roman" w:cs="Times New Roman"/>
          <w:color w:val="auto"/>
          <w:szCs w:val="24"/>
          <w:lang w:eastAsia="nl-NL"/>
        </w:rPr>
        <w:t>T</w:t>
      </w:r>
      <w:r w:rsidR="00ED4F8E" w:rsidRPr="00B17061">
        <w:rPr>
          <w:rFonts w:eastAsia="Times New Roman" w:cs="Times New Roman"/>
          <w:color w:val="auto"/>
          <w:szCs w:val="24"/>
          <w:lang w:eastAsia="nl-NL"/>
        </w:rPr>
        <w:t xml:space="preserve">weede </w:t>
      </w:r>
      <w:r w:rsidR="00ED4F8E">
        <w:rPr>
          <w:rFonts w:eastAsia="Times New Roman" w:cs="Times New Roman"/>
          <w:color w:val="auto"/>
          <w:szCs w:val="24"/>
          <w:lang w:eastAsia="nl-NL"/>
        </w:rPr>
        <w:t>W</w:t>
      </w:r>
      <w:r w:rsidR="00ED4F8E" w:rsidRPr="00B17061">
        <w:rPr>
          <w:rFonts w:eastAsia="Times New Roman" w:cs="Times New Roman"/>
          <w:color w:val="auto"/>
          <w:szCs w:val="24"/>
          <w:lang w:eastAsia="nl-NL"/>
        </w:rPr>
        <w:t xml:space="preserve">ereldoorlog stimuleerden steeds meer ouders hun kinderen om een brede opleiding te volgen. Daarmee verkleinden </w:t>
      </w:r>
      <w:r w:rsidR="004623DD">
        <w:rPr>
          <w:rFonts w:eastAsia="Times New Roman" w:cs="Times New Roman"/>
          <w:color w:val="auto"/>
          <w:szCs w:val="24"/>
          <w:lang w:eastAsia="nl-NL"/>
        </w:rPr>
        <w:t>schippersgezinnen</w:t>
      </w:r>
      <w:r w:rsidR="004623DD" w:rsidRPr="00B17061">
        <w:rPr>
          <w:rFonts w:eastAsia="Times New Roman" w:cs="Times New Roman"/>
          <w:color w:val="auto"/>
          <w:szCs w:val="24"/>
          <w:lang w:eastAsia="nl-NL"/>
        </w:rPr>
        <w:t xml:space="preserve"> </w:t>
      </w:r>
      <w:r w:rsidR="00ED4F8E" w:rsidRPr="00B17061">
        <w:rPr>
          <w:rFonts w:eastAsia="Times New Roman" w:cs="Times New Roman"/>
          <w:color w:val="auto"/>
          <w:szCs w:val="24"/>
          <w:lang w:eastAsia="nl-NL"/>
        </w:rPr>
        <w:t xml:space="preserve">hun achterstand op walbewoners en </w:t>
      </w:r>
      <w:r w:rsidR="000C5773">
        <w:rPr>
          <w:rFonts w:eastAsia="Times New Roman" w:cs="Times New Roman"/>
          <w:color w:val="auto"/>
          <w:szCs w:val="24"/>
          <w:lang w:eastAsia="nl-NL"/>
        </w:rPr>
        <w:t xml:space="preserve">openden ze voor hun kinderen de mogelijkheid om een ander beroep te kiezen. </w:t>
      </w:r>
      <w:r w:rsidR="00ED4F8E" w:rsidRPr="00B17061">
        <w:rPr>
          <w:rFonts w:eastAsia="Times New Roman" w:cs="Times New Roman"/>
          <w:color w:val="auto"/>
          <w:szCs w:val="24"/>
          <w:lang w:eastAsia="nl-NL"/>
        </w:rPr>
        <w:t xml:space="preserve">Tegelijk bevorderde het gezamenlijk schoolbezoek </w:t>
      </w:r>
      <w:r w:rsidR="00ED4F8E">
        <w:rPr>
          <w:rFonts w:eastAsia="Times New Roman" w:cs="Times New Roman"/>
          <w:color w:val="auto"/>
          <w:szCs w:val="24"/>
          <w:lang w:eastAsia="nl-NL"/>
        </w:rPr>
        <w:t xml:space="preserve">van schipperskinderen </w:t>
      </w:r>
      <w:r w:rsidR="00ED4F8E" w:rsidRPr="00B17061">
        <w:rPr>
          <w:rFonts w:eastAsia="Times New Roman" w:cs="Times New Roman"/>
          <w:color w:val="auto"/>
          <w:szCs w:val="24"/>
          <w:lang w:eastAsia="nl-NL"/>
        </w:rPr>
        <w:t xml:space="preserve">met walkinderen de integratie. </w:t>
      </w:r>
      <w:r w:rsidR="00ED4F8E">
        <w:rPr>
          <w:rFonts w:eastAsia="Times New Roman" w:cs="Times New Roman"/>
          <w:color w:val="auto"/>
          <w:szCs w:val="24"/>
          <w:lang w:eastAsia="nl-NL"/>
        </w:rPr>
        <w:t xml:space="preserve">Een derde factor was de komst van </w:t>
      </w:r>
      <w:r w:rsidR="0070744C">
        <w:rPr>
          <w:rFonts w:eastAsia="Times New Roman" w:cs="Times New Roman"/>
          <w:color w:val="auto"/>
          <w:szCs w:val="24"/>
          <w:lang w:eastAsia="nl-NL"/>
        </w:rPr>
        <w:t xml:space="preserve">de </w:t>
      </w:r>
      <w:r w:rsidR="00ED4F8E">
        <w:rPr>
          <w:rFonts w:eastAsia="Times New Roman" w:cs="Times New Roman"/>
          <w:color w:val="auto"/>
          <w:szCs w:val="24"/>
          <w:lang w:eastAsia="nl-NL"/>
        </w:rPr>
        <w:t>auto</w:t>
      </w:r>
      <w:r w:rsidR="00ED4F8E">
        <w:rPr>
          <w:rFonts w:eastAsia="Times New Roman" w:cs="Times New Roman"/>
          <w:color w:val="auto"/>
          <w:szCs w:val="24"/>
          <w:lang w:eastAsia="nl-NL"/>
        </w:rPr>
        <w:softHyphen/>
        <w:t xml:space="preserve">telefoon in 1974, later gevolgd door </w:t>
      </w:r>
      <w:r w:rsidR="008338EA">
        <w:rPr>
          <w:rFonts w:eastAsia="Times New Roman" w:cs="Times New Roman"/>
          <w:color w:val="auto"/>
          <w:szCs w:val="24"/>
          <w:lang w:eastAsia="nl-NL"/>
        </w:rPr>
        <w:t>de mobiele telefoon</w:t>
      </w:r>
      <w:r w:rsidR="00ED4F8E">
        <w:rPr>
          <w:rFonts w:eastAsia="Times New Roman" w:cs="Times New Roman"/>
          <w:color w:val="auto"/>
          <w:szCs w:val="24"/>
          <w:lang w:eastAsia="nl-NL"/>
        </w:rPr>
        <w:t>. Beide communicatiemiddelen maakten vanuit heel West-Europa een makkelijk contact met de wal mogelijk. Minstens even belangrijk was</w:t>
      </w:r>
      <w:r w:rsidR="00AF251F">
        <w:rPr>
          <w:rFonts w:eastAsia="Times New Roman" w:cs="Times New Roman"/>
          <w:color w:val="auto"/>
          <w:szCs w:val="24"/>
          <w:lang w:eastAsia="nl-NL"/>
        </w:rPr>
        <w:t>, ten vierde,</w:t>
      </w:r>
      <w:r w:rsidR="00ED4F8E">
        <w:rPr>
          <w:rFonts w:eastAsia="Times New Roman" w:cs="Times New Roman"/>
          <w:color w:val="auto"/>
          <w:szCs w:val="24"/>
          <w:lang w:eastAsia="nl-NL"/>
        </w:rPr>
        <w:t xml:space="preserve"> dat veel schippers vanaf de jaren zeventig over een eigen auto beschikten, die met behulp van planken </w:t>
      </w:r>
      <w:r w:rsidR="00323542">
        <w:rPr>
          <w:rFonts w:eastAsia="Times New Roman" w:cs="Times New Roman"/>
          <w:color w:val="auto"/>
          <w:szCs w:val="24"/>
          <w:lang w:eastAsia="nl-NL"/>
        </w:rPr>
        <w:t xml:space="preserve">– later </w:t>
      </w:r>
      <w:r w:rsidR="00ED4F8E">
        <w:rPr>
          <w:rFonts w:eastAsia="Times New Roman" w:cs="Times New Roman"/>
          <w:color w:val="auto"/>
          <w:szCs w:val="24"/>
          <w:lang w:eastAsia="nl-NL"/>
        </w:rPr>
        <w:t xml:space="preserve">een </w:t>
      </w:r>
      <w:r w:rsidR="000C5773">
        <w:rPr>
          <w:rFonts w:eastAsia="Times New Roman" w:cs="Times New Roman"/>
          <w:color w:val="auto"/>
          <w:szCs w:val="24"/>
          <w:lang w:eastAsia="nl-NL"/>
        </w:rPr>
        <w:t xml:space="preserve">hydraulische kraan </w:t>
      </w:r>
      <w:r w:rsidR="00323542">
        <w:rPr>
          <w:rFonts w:eastAsia="Times New Roman" w:cs="Times New Roman"/>
          <w:color w:val="auto"/>
          <w:szCs w:val="24"/>
          <w:lang w:eastAsia="nl-NL"/>
        </w:rPr>
        <w:t xml:space="preserve">– aan </w:t>
      </w:r>
      <w:r w:rsidR="00ED4F8E">
        <w:rPr>
          <w:rFonts w:eastAsia="Times New Roman" w:cs="Times New Roman"/>
          <w:color w:val="auto"/>
          <w:szCs w:val="24"/>
          <w:lang w:eastAsia="nl-NL"/>
        </w:rPr>
        <w:t xml:space="preserve">boord kon worden gezet en naar iedere bestemming werd meegenomen. Deze maakte het mogelijk om over grote afstanden op familiebezoek te gaan of zakelijke </w:t>
      </w:r>
      <w:r w:rsidR="000C5773">
        <w:rPr>
          <w:rFonts w:eastAsia="Times New Roman" w:cs="Times New Roman"/>
          <w:color w:val="auto"/>
          <w:szCs w:val="24"/>
          <w:lang w:eastAsia="nl-NL"/>
        </w:rPr>
        <w:t xml:space="preserve">bijeenkomsten </w:t>
      </w:r>
      <w:r w:rsidR="00323542">
        <w:rPr>
          <w:rFonts w:eastAsia="Times New Roman" w:cs="Times New Roman"/>
          <w:color w:val="auto"/>
          <w:szCs w:val="24"/>
          <w:lang w:eastAsia="nl-NL"/>
        </w:rPr>
        <w:t xml:space="preserve">bij te wonen. </w:t>
      </w:r>
      <w:r w:rsidR="00ED4F8E">
        <w:rPr>
          <w:rFonts w:eastAsia="Times New Roman" w:cs="Times New Roman"/>
          <w:color w:val="auto"/>
          <w:szCs w:val="24"/>
          <w:lang w:eastAsia="nl-NL"/>
        </w:rPr>
        <w:t xml:space="preserve">Spoedig was het geen uitzondering, wanneer schippersvrouwen in </w:t>
      </w:r>
      <w:r w:rsidR="000C5773">
        <w:rPr>
          <w:rFonts w:eastAsia="Times New Roman" w:cs="Times New Roman"/>
          <w:color w:val="auto"/>
          <w:szCs w:val="24"/>
          <w:lang w:eastAsia="nl-NL"/>
        </w:rPr>
        <w:t xml:space="preserve">het </w:t>
      </w:r>
      <w:r w:rsidR="00ED4F8E">
        <w:rPr>
          <w:rFonts w:eastAsia="Times New Roman" w:cs="Times New Roman"/>
          <w:color w:val="auto"/>
          <w:szCs w:val="24"/>
          <w:lang w:eastAsia="nl-NL"/>
        </w:rPr>
        <w:t xml:space="preserve">weekend </w:t>
      </w:r>
      <w:r w:rsidR="006A47DE">
        <w:rPr>
          <w:rFonts w:eastAsia="Times New Roman" w:cs="Times New Roman"/>
          <w:color w:val="auto"/>
          <w:szCs w:val="24"/>
          <w:lang w:eastAsia="nl-NL"/>
        </w:rPr>
        <w:t>2</w:t>
      </w:r>
      <w:r w:rsidR="00CF14D9">
        <w:rPr>
          <w:rFonts w:eastAsia="Times New Roman" w:cs="Times New Roman"/>
          <w:color w:val="auto"/>
          <w:szCs w:val="24"/>
          <w:lang w:eastAsia="nl-NL"/>
        </w:rPr>
        <w:t>.</w:t>
      </w:r>
      <w:r w:rsidR="006A47DE">
        <w:rPr>
          <w:rFonts w:eastAsia="Times New Roman" w:cs="Times New Roman"/>
          <w:color w:val="auto"/>
          <w:szCs w:val="24"/>
          <w:lang w:eastAsia="nl-NL"/>
        </w:rPr>
        <w:t>000</w:t>
      </w:r>
      <w:r w:rsidR="00965454">
        <w:rPr>
          <w:rFonts w:eastAsia="Times New Roman" w:cs="Times New Roman"/>
          <w:color w:val="auto"/>
          <w:szCs w:val="24"/>
          <w:lang w:eastAsia="nl-NL"/>
        </w:rPr>
        <w:t xml:space="preserve"> </w:t>
      </w:r>
      <w:r w:rsidR="00ED4F8E">
        <w:rPr>
          <w:rFonts w:eastAsia="Times New Roman" w:cs="Times New Roman"/>
          <w:color w:val="auto"/>
          <w:szCs w:val="24"/>
          <w:lang w:eastAsia="nl-NL"/>
        </w:rPr>
        <w:t xml:space="preserve">kilometer </w:t>
      </w:r>
      <w:r w:rsidR="00965454">
        <w:rPr>
          <w:rFonts w:eastAsia="Times New Roman" w:cs="Times New Roman"/>
          <w:color w:val="auto"/>
          <w:szCs w:val="24"/>
          <w:lang w:eastAsia="nl-NL"/>
        </w:rPr>
        <w:t xml:space="preserve">aflegden </w:t>
      </w:r>
      <w:r w:rsidR="00ED4F8E">
        <w:rPr>
          <w:rFonts w:eastAsia="Times New Roman" w:cs="Times New Roman"/>
          <w:color w:val="auto"/>
          <w:szCs w:val="24"/>
          <w:lang w:eastAsia="nl-NL"/>
        </w:rPr>
        <w:t xml:space="preserve">om </w:t>
      </w:r>
      <w:r w:rsidR="000C5773">
        <w:rPr>
          <w:rFonts w:eastAsia="Times New Roman" w:cs="Times New Roman"/>
          <w:color w:val="auto"/>
          <w:szCs w:val="24"/>
          <w:lang w:eastAsia="nl-NL"/>
        </w:rPr>
        <w:t xml:space="preserve">hun </w:t>
      </w:r>
      <w:r w:rsidR="006A47DE">
        <w:rPr>
          <w:rFonts w:eastAsia="Times New Roman" w:cs="Times New Roman"/>
          <w:color w:val="auto"/>
          <w:szCs w:val="24"/>
          <w:lang w:eastAsia="nl-NL"/>
        </w:rPr>
        <w:t>internaat</w:t>
      </w:r>
      <w:r w:rsidR="00ED4F8E">
        <w:rPr>
          <w:rFonts w:eastAsia="Times New Roman" w:cs="Times New Roman"/>
          <w:color w:val="auto"/>
          <w:szCs w:val="24"/>
          <w:lang w:eastAsia="nl-NL"/>
        </w:rPr>
        <w:t xml:space="preserve">kinderen een dagje aan boord te halen. </w:t>
      </w:r>
      <w:r w:rsidR="00965454">
        <w:rPr>
          <w:rFonts w:eastAsia="Times New Roman" w:cs="Times New Roman"/>
          <w:color w:val="auto"/>
          <w:szCs w:val="24"/>
          <w:lang w:eastAsia="nl-NL"/>
        </w:rPr>
        <w:t xml:space="preserve">Verder </w:t>
      </w:r>
      <w:r w:rsidR="00ED4F8E">
        <w:rPr>
          <w:rFonts w:eastAsia="Times New Roman" w:cs="Times New Roman"/>
          <w:color w:val="auto"/>
          <w:szCs w:val="24"/>
          <w:lang w:eastAsia="nl-NL"/>
        </w:rPr>
        <w:t>werd de integratie bevorder</w:t>
      </w:r>
      <w:r w:rsidR="002A6F62">
        <w:rPr>
          <w:rFonts w:eastAsia="Times New Roman" w:cs="Times New Roman"/>
          <w:color w:val="auto"/>
          <w:szCs w:val="24"/>
          <w:lang w:eastAsia="nl-NL"/>
        </w:rPr>
        <w:t>d</w:t>
      </w:r>
      <w:r w:rsidR="00ED4F8E">
        <w:rPr>
          <w:rFonts w:eastAsia="Times New Roman" w:cs="Times New Roman"/>
          <w:color w:val="auto"/>
          <w:szCs w:val="24"/>
          <w:lang w:eastAsia="nl-NL"/>
        </w:rPr>
        <w:t xml:space="preserve"> doordat veel familieleden niet langer op een schip woonden. Oudere schippers zochten na hun pensioen een walwoning, schipperskinderen kregen een </w:t>
      </w:r>
      <w:proofErr w:type="spellStart"/>
      <w:r w:rsidR="00ED4F8E">
        <w:rPr>
          <w:rFonts w:eastAsia="Times New Roman" w:cs="Times New Roman"/>
          <w:color w:val="auto"/>
          <w:szCs w:val="24"/>
          <w:lang w:eastAsia="nl-NL"/>
        </w:rPr>
        <w:t>walbaan</w:t>
      </w:r>
      <w:proofErr w:type="spellEnd"/>
      <w:r w:rsidR="00ED4F8E">
        <w:rPr>
          <w:rFonts w:eastAsia="Times New Roman" w:cs="Times New Roman"/>
          <w:color w:val="auto"/>
          <w:szCs w:val="24"/>
          <w:lang w:eastAsia="nl-NL"/>
        </w:rPr>
        <w:t>.</w:t>
      </w:r>
      <w:r w:rsidR="000C5773">
        <w:rPr>
          <w:rFonts w:eastAsia="Times New Roman" w:cs="Times New Roman"/>
          <w:color w:val="auto"/>
          <w:szCs w:val="24"/>
          <w:lang w:eastAsia="nl-NL"/>
        </w:rPr>
        <w:t xml:space="preserve"> </w:t>
      </w:r>
      <w:r w:rsidR="00ED4F8E">
        <w:rPr>
          <w:rFonts w:eastAsia="Times New Roman" w:cs="Times New Roman"/>
          <w:color w:val="auto"/>
          <w:szCs w:val="24"/>
          <w:lang w:eastAsia="nl-NL"/>
        </w:rPr>
        <w:t xml:space="preserve">Ten vijfde </w:t>
      </w:r>
      <w:r w:rsidR="00965454">
        <w:rPr>
          <w:rFonts w:eastAsia="Times New Roman" w:cs="Times New Roman"/>
          <w:color w:val="auto"/>
          <w:szCs w:val="24"/>
          <w:lang w:eastAsia="nl-NL"/>
        </w:rPr>
        <w:t xml:space="preserve">hielpen </w:t>
      </w:r>
      <w:r w:rsidR="00ED4F8E" w:rsidRPr="00197BB6">
        <w:rPr>
          <w:rFonts w:eastAsia="Calibri" w:cs="Times New Roman"/>
        </w:rPr>
        <w:t xml:space="preserve">ook de sociale en culturele centra voor de schippersbevolking met hun cursussen, lezingen, bibliotheken, adviezen, sociale begeleiding en kerkelijk werk </w:t>
      </w:r>
      <w:r w:rsidR="00965454">
        <w:rPr>
          <w:rFonts w:eastAsia="Calibri" w:cs="Times New Roman"/>
        </w:rPr>
        <w:t xml:space="preserve">met </w:t>
      </w:r>
      <w:r w:rsidR="00ED4F8E" w:rsidRPr="00197BB6">
        <w:rPr>
          <w:rFonts w:eastAsia="Calibri" w:cs="Times New Roman"/>
        </w:rPr>
        <w:t>de integratie.</w:t>
      </w:r>
      <w:r w:rsidR="002A6F62">
        <w:rPr>
          <w:rFonts w:eastAsia="Calibri" w:cs="Times New Roman"/>
        </w:rPr>
        <w:t xml:space="preserve"> </w:t>
      </w:r>
      <w:r w:rsidR="00ED4F8E">
        <w:rPr>
          <w:rFonts w:eastAsia="Calibri" w:cs="Times New Roman"/>
        </w:rPr>
        <w:t>Een belangrijke factor was de emancipatie van de vrouw, die niet meer vanzelfsprekend aan boord meevoer. Vanwege het beroep van de vrouw</w:t>
      </w:r>
      <w:r w:rsidR="00ED4F8E" w:rsidRPr="00197BB6">
        <w:rPr>
          <w:rFonts w:eastAsia="Calibri" w:cs="Times New Roman"/>
        </w:rPr>
        <w:t xml:space="preserve"> </w:t>
      </w:r>
      <w:r w:rsidR="00ED4F8E">
        <w:rPr>
          <w:rFonts w:eastAsia="Calibri" w:cs="Times New Roman"/>
        </w:rPr>
        <w:t>of de opleiding van de kinderen gingen geleidelijk meerdere schippersgezinnen aan de wal wonen.</w:t>
      </w:r>
      <w:r w:rsidR="00372F7C">
        <w:rPr>
          <w:rFonts w:eastAsia="Calibri" w:cs="Times New Roman"/>
        </w:rPr>
        <w:t xml:space="preserve"> </w:t>
      </w:r>
      <w:bookmarkStart w:id="46" w:name="_Hlk161521272"/>
    </w:p>
    <w:p w14:paraId="6C2DE4F3" w14:textId="3BC0EDBF" w:rsidR="00624822" w:rsidRPr="003E0E09" w:rsidRDefault="00624822" w:rsidP="00E46FEA">
      <w:pPr>
        <w:contextualSpacing/>
        <w:jc w:val="left"/>
        <w:rPr>
          <w:rFonts w:eastAsia="Calibri" w:cs="Times New Roman"/>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Pr>
          <w:rFonts w:eastAsia="Times New Roman" w:cs="Times New Roman"/>
          <w:color w:val="FF0000"/>
          <w:szCs w:val="24"/>
          <w:lang w:eastAsia="nl-NL"/>
        </w:rPr>
        <w:t>53-42_stuurhutcontainerschip</w:t>
      </w:r>
      <w:r>
        <w:rPr>
          <w:rFonts w:cstheme="minorHAnsi"/>
          <w:color w:val="FF0000"/>
        </w:rPr>
        <w:t>.jpg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351E15F4" w14:textId="736D8B8E" w:rsidR="00E46FEA" w:rsidRPr="00624822" w:rsidRDefault="00046FC0" w:rsidP="001E403C">
      <w:pPr>
        <w:contextualSpacing/>
        <w:jc w:val="left"/>
        <w:rPr>
          <w:rFonts w:ascii="Calibri" w:eastAsia="Times New Roman" w:hAnsi="Calibri" w:cs="Calibri"/>
          <w:color w:val="FF0000"/>
          <w:szCs w:val="24"/>
          <w:shd w:val="clear" w:color="auto" w:fill="FFFFFF"/>
          <w:lang w:eastAsia="nl-NL"/>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Pr="007F213D">
        <w:rPr>
          <w:rFonts w:eastAsia="Calibri" w:cs="Times New Roman"/>
          <w:color w:val="FF0000"/>
        </w:rPr>
        <w:t>54-39_DEFKlimbie_woonkamer.jpg</w:t>
      </w:r>
      <w:r w:rsidRPr="005211BE">
        <w:rPr>
          <w:rFonts w:cstheme="minorHAnsi"/>
          <w:color w:val="FF0000"/>
        </w:rPr>
        <w:t>]]]</w:t>
      </w:r>
      <w:r>
        <w:rPr>
          <w:rFonts w:cstheme="minorHAnsi"/>
          <w:color w:val="FF0000"/>
        </w:rPr>
        <w:t xml:space="preserve"> [[[</w:t>
      </w:r>
      <w:r w:rsidRPr="007F213D">
        <w:rPr>
          <w:rFonts w:eastAsia="Calibri" w:cs="Times New Roman"/>
          <w:color w:val="FF0000"/>
        </w:rPr>
        <w:t>55-40_DEFKlimbie_Keuken.jpg</w:t>
      </w:r>
      <w:r>
        <w:rPr>
          <w:rFonts w:cstheme="minorHAnsi"/>
          <w:color w:val="FF0000"/>
        </w:rPr>
        <w:t>]]]</w:t>
      </w:r>
      <w:r w:rsidRPr="005211BE">
        <w:rPr>
          <w:rFonts w:ascii="Calibri" w:eastAsia="Times New Roman" w:hAnsi="Calibri" w:cs="Calibri"/>
          <w:color w:val="FF0000"/>
          <w:szCs w:val="24"/>
          <w:shd w:val="clear" w:color="auto" w:fill="FFFFFF"/>
          <w:lang w:eastAsia="nl-NL"/>
        </w:rPr>
        <w:t>@/i@​</w:t>
      </w:r>
    </w:p>
    <w:bookmarkEnd w:id="46"/>
    <w:p w14:paraId="6BB8ECFE" w14:textId="2999697B" w:rsidR="00ED4F8E" w:rsidRDefault="00372F7C" w:rsidP="001A3EAF">
      <w:pPr>
        <w:ind w:firstLine="708"/>
        <w:contextualSpacing/>
        <w:jc w:val="left"/>
        <w:rPr>
          <w:rFonts w:eastAsia="Calibri" w:cs="Times New Roman"/>
        </w:rPr>
      </w:pPr>
      <w:r>
        <w:rPr>
          <w:rFonts w:eastAsia="Calibri" w:cs="Times New Roman"/>
        </w:rPr>
        <w:t xml:space="preserve">Doordat schipperskinderen niet meer automatisch voor een beroep als schipper kozen, ontstond </w:t>
      </w:r>
      <w:r w:rsidRPr="000B1E9E">
        <w:rPr>
          <w:rFonts w:eastAsia="Calibri" w:cs="Times New Roman"/>
        </w:rPr>
        <w:t>een tekort aan</w:t>
      </w:r>
      <w:r>
        <w:rPr>
          <w:rFonts w:eastAsia="Calibri" w:cs="Times New Roman"/>
        </w:rPr>
        <w:t xml:space="preserve"> </w:t>
      </w:r>
      <w:r w:rsidR="005E48C6">
        <w:rPr>
          <w:rFonts w:eastAsia="Calibri" w:cs="Times New Roman"/>
        </w:rPr>
        <w:t>bemanning</w:t>
      </w:r>
      <w:r>
        <w:rPr>
          <w:rFonts w:eastAsia="Calibri" w:cs="Times New Roman"/>
        </w:rPr>
        <w:t>.</w:t>
      </w:r>
      <w:r w:rsidR="00B01778">
        <w:rPr>
          <w:rFonts w:eastAsia="Calibri" w:cs="Times New Roman"/>
        </w:rPr>
        <w:t xml:space="preserve"> Dit </w:t>
      </w:r>
      <w:r w:rsidR="005E48C6">
        <w:rPr>
          <w:rFonts w:eastAsia="Calibri" w:cs="Times New Roman"/>
        </w:rPr>
        <w:t xml:space="preserve">gebrek aan menskracht </w:t>
      </w:r>
      <w:r w:rsidR="00B01778">
        <w:rPr>
          <w:rFonts w:eastAsia="Calibri" w:cs="Times New Roman"/>
        </w:rPr>
        <w:t xml:space="preserve">werd vanaf 1980 opgevuld door bewoners van de Kaapverdische </w:t>
      </w:r>
      <w:r w:rsidR="00387766">
        <w:rPr>
          <w:rFonts w:eastAsia="Calibri" w:cs="Times New Roman"/>
        </w:rPr>
        <w:t>E</w:t>
      </w:r>
      <w:r w:rsidR="00B01778">
        <w:rPr>
          <w:rFonts w:eastAsia="Calibri" w:cs="Times New Roman"/>
        </w:rPr>
        <w:t>ilanden en na de val van de Berlijnse muur door Oost-Europeanen.</w:t>
      </w:r>
      <w:r w:rsidR="00B01778">
        <w:rPr>
          <w:rStyle w:val="EndnoteReference"/>
          <w:rFonts w:eastAsia="Calibri" w:cs="Times New Roman"/>
        </w:rPr>
        <w:endnoteReference w:id="88"/>
      </w:r>
      <w:r w:rsidR="00B01778">
        <w:rPr>
          <w:rFonts w:eastAsia="Calibri" w:cs="Times New Roman"/>
        </w:rPr>
        <w:t xml:space="preserve"> </w:t>
      </w:r>
      <w:r>
        <w:rPr>
          <w:rFonts w:eastAsia="Calibri" w:cs="Times New Roman"/>
        </w:rPr>
        <w:t xml:space="preserve"> </w:t>
      </w:r>
      <w:r w:rsidR="00ED4F8E">
        <w:rPr>
          <w:rFonts w:eastAsia="Calibri" w:cs="Times New Roman"/>
        </w:rPr>
        <w:t xml:space="preserve">     </w:t>
      </w:r>
    </w:p>
    <w:p w14:paraId="44E67843" w14:textId="77777777" w:rsidR="0041500B" w:rsidRDefault="0041500B" w:rsidP="00DE08B1">
      <w:pPr>
        <w:jc w:val="left"/>
      </w:pPr>
    </w:p>
    <w:p w14:paraId="492D89E9" w14:textId="73109744" w:rsidR="00FF65A2" w:rsidRDefault="00FF65A2" w:rsidP="00DE08B1">
      <w:pPr>
        <w:jc w:val="left"/>
        <w:rPr>
          <w:rFonts w:eastAsia="Calibri" w:cs="Times New Roman"/>
          <w:color w:val="auto"/>
          <w:szCs w:val="24"/>
        </w:rPr>
      </w:pPr>
    </w:p>
    <w:p w14:paraId="65CD109B" w14:textId="78ABF277" w:rsidR="00FF65A2" w:rsidRDefault="007C1EFB" w:rsidP="00AA79EC">
      <w:pPr>
        <w:pStyle w:val="Heading2"/>
        <w:jc w:val="left"/>
      </w:pPr>
      <w:bookmarkStart w:id="47" w:name="_Hlk85465976"/>
      <w:r>
        <w:t>10 De</w:t>
      </w:r>
      <w:r w:rsidR="00AA79EC">
        <w:t xml:space="preserve"> vaarwegen </w:t>
      </w:r>
      <w:bookmarkEnd w:id="47"/>
      <w:r w:rsidR="00AA79EC">
        <w:t>voor de Tweede Wereldoorlog</w:t>
      </w:r>
    </w:p>
    <w:p w14:paraId="7298F681" w14:textId="2A896BEA" w:rsidR="00667D4F" w:rsidRPr="00632A45" w:rsidRDefault="00667D4F" w:rsidP="007C1EFB"/>
    <w:p w14:paraId="7B76B6AC" w14:textId="6843361C" w:rsidR="00922FB0" w:rsidRPr="00922FB0" w:rsidRDefault="00922FB0" w:rsidP="00DE08B1">
      <w:pPr>
        <w:jc w:val="left"/>
      </w:pPr>
      <w:r>
        <w:t xml:space="preserve">Het binnenvaarthoofdstuk in deel 3 van de </w:t>
      </w:r>
      <w:r>
        <w:rPr>
          <w:i/>
          <w:iCs/>
        </w:rPr>
        <w:t xml:space="preserve">Nieuwe Maritieme Geschiedenis van Nederland </w:t>
      </w:r>
      <w:r>
        <w:t xml:space="preserve">eindigde met </w:t>
      </w:r>
      <w:r w:rsidR="0015517A">
        <w:t xml:space="preserve">de </w:t>
      </w:r>
      <w:r w:rsidR="00E161C3">
        <w:t xml:space="preserve">verwerping van de </w:t>
      </w:r>
      <w:r>
        <w:t>kanalenwet van minister J.P.R. Tak van Poortvliet in 1879</w:t>
      </w:r>
      <w:r w:rsidR="00E161C3">
        <w:t xml:space="preserve">. Hoewel de Tweede Kamer dit wetsontwerp niet aanvaardde, gaf dit het vaarwegenbeleid van de Rijksoverheid een hecht fundament, </w:t>
      </w:r>
      <w:r w:rsidR="00002127">
        <w:t xml:space="preserve">waarop latere ministers – wellicht onbewust – nog jarenlang zouden voortbouwen. </w:t>
      </w:r>
      <w:r w:rsidR="00E161C3">
        <w:t xml:space="preserve">Uiteindelijk werd bijna </w:t>
      </w:r>
      <w:r w:rsidR="00D6165B">
        <w:t>het hele wetsontwerp</w:t>
      </w:r>
      <w:r w:rsidR="00E161C3">
        <w:t xml:space="preserve"> </w:t>
      </w:r>
      <w:r w:rsidR="00002127">
        <w:t xml:space="preserve">– soms in gewijzigde vorm – gerealiseerd. Het wetsontwerp legde vast voor welke vaarwegen de Rijksoverheid de verantwoording zou dragen, gaf een overzicht van de vaarwegen die volgens de Rijksoverheid moesten worden verbeterd en legde de basis voor </w:t>
      </w:r>
      <w:r w:rsidR="00E161C3">
        <w:t xml:space="preserve">het subsidiebeleid </w:t>
      </w:r>
      <w:r w:rsidR="00002127">
        <w:t xml:space="preserve">voor regionale </w:t>
      </w:r>
      <w:r w:rsidR="00D6165B">
        <w:t>verbeterings</w:t>
      </w:r>
      <w:r w:rsidR="00002127">
        <w:t>projecten. Dankzij het wetsontwerp kreeg ons land voor het eerst een samenhangend netwerk van hoofdverbindingen dat alle landsdelen ontsloot.</w:t>
      </w:r>
      <w:r w:rsidR="00002127">
        <w:rPr>
          <w:rStyle w:val="EndnoteReference"/>
        </w:rPr>
        <w:endnoteReference w:id="89"/>
      </w:r>
    </w:p>
    <w:p w14:paraId="2C6212BB" w14:textId="230D5F1B" w:rsidR="004C3BA9" w:rsidRPr="004C3BA9" w:rsidRDefault="001F29A8" w:rsidP="004C3BA9">
      <w:pPr>
        <w:jc w:val="left"/>
        <w:rPr>
          <w:rFonts w:ascii="Calibri" w:eastAsia="Times New Roman" w:hAnsi="Calibri" w:cs="Calibri"/>
          <w:color w:val="FF0000"/>
          <w:szCs w:val="24"/>
          <w:shd w:val="clear" w:color="auto" w:fill="FFFFFF"/>
          <w:lang w:eastAsia="nl-NL"/>
        </w:rPr>
      </w:pPr>
      <w:r w:rsidRPr="005211BE">
        <w:rPr>
          <w:rFonts w:ascii="Calibri" w:eastAsia="Times New Roman" w:hAnsi="Calibri" w:cs="Calibri"/>
          <w:color w:val="FF0000"/>
          <w:szCs w:val="24"/>
          <w:shd w:val="clear" w:color="auto" w:fill="FFFFFF"/>
          <w:lang w:eastAsia="nl-NL"/>
        </w:rPr>
        <w:lastRenderedPageBreak/>
        <w:t>@i@</w:t>
      </w:r>
      <w:r w:rsidRPr="005211BE">
        <w:rPr>
          <w:rFonts w:eastAsia="Times New Roman" w:cs="Times New Roman"/>
          <w:color w:val="FF0000"/>
          <w:szCs w:val="24"/>
          <w:lang w:eastAsia="nl-NL"/>
        </w:rPr>
        <w:t>[[[</w:t>
      </w:r>
      <w:r w:rsidR="001A137E">
        <w:rPr>
          <w:rFonts w:eastAsia="Times New Roman" w:cs="Times New Roman"/>
          <w:color w:val="FF0000"/>
          <w:szCs w:val="24"/>
          <w:lang w:eastAsia="nl-NL"/>
        </w:rPr>
        <w:t>56-</w:t>
      </w:r>
      <w:r w:rsidR="00EC0118" w:rsidRPr="0066348A">
        <w:rPr>
          <w:color w:val="FF0000"/>
        </w:rPr>
        <w:t>45_uitgesnMerwedekanaal</w:t>
      </w:r>
      <w:r w:rsidR="00EC0118">
        <w:rPr>
          <w:color w:val="FF0000"/>
        </w:rPr>
        <w:t>.jpg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7091CFC9" w14:textId="00B1BBD0" w:rsidR="00FF65A2" w:rsidRPr="00EC0118" w:rsidRDefault="003B6E47" w:rsidP="004B0F05">
      <w:pPr>
        <w:jc w:val="left"/>
        <w:rPr>
          <w:color w:val="FF0000"/>
        </w:rPr>
      </w:pPr>
      <w:r>
        <w:t xml:space="preserve"> </w:t>
      </w:r>
      <w:r>
        <w:tab/>
      </w:r>
      <w:r w:rsidR="00FF65A2">
        <w:t>Na de verwerping ging de Kamer spoedig akkoord met de aanleg van het Merwedekanaal (1881-1892), dat Amsterdam eindelijk zijn omstreden verbinding met het Duitse achterland gaf. Voortbouwend op het wetsontwerp legde de staat ook het Markkanaal (1909-1915) en het Wilhelminakanaal (1914-1923) aan, waardoor de indus</w:t>
      </w:r>
      <w:r w:rsidR="00FF65A2">
        <w:softHyphen/>
        <w:t>triesteden Breda en Tilburg voor grote 600-tons binnenschepen werden ontsloten</w:t>
      </w:r>
      <w:r w:rsidR="00EA2CD5">
        <w:rPr>
          <w:bCs/>
        </w:rPr>
        <w:t>. Om de hoogwaterstanden op de grote rivieren te verlagen werden de Nieuwe Merwede (1861-1874) en de Bergse Maas (1888-1904) gegraven.</w:t>
      </w:r>
      <w:r w:rsidR="00FF65A2">
        <w:rPr>
          <w:rStyle w:val="EndnoteReference"/>
        </w:rPr>
        <w:endnoteReference w:id="90"/>
      </w:r>
    </w:p>
    <w:p w14:paraId="1187C47D" w14:textId="59B5083D" w:rsidR="00EA2CD5" w:rsidRDefault="00001612" w:rsidP="00E74A72">
      <w:pPr>
        <w:jc w:val="left"/>
        <w:rPr>
          <w:b/>
        </w:rPr>
      </w:pPr>
      <w:r>
        <w:rPr>
          <w:b/>
        </w:rPr>
        <w:br/>
      </w:r>
    </w:p>
    <w:p w14:paraId="0FCE987C" w14:textId="77777777" w:rsidR="00474134" w:rsidRPr="00566F95" w:rsidRDefault="00474134" w:rsidP="00566F95">
      <w:pPr>
        <w:pStyle w:val="Heading2"/>
        <w:rPr>
          <w:rStyle w:val="Heading2Char"/>
        </w:rPr>
      </w:pPr>
      <w:bookmarkStart w:id="48" w:name="_Hlk85466132"/>
      <w:r>
        <w:t>D</w:t>
      </w:r>
      <w:r w:rsidRPr="00566F95">
        <w:rPr>
          <w:rStyle w:val="Heading2Char"/>
        </w:rPr>
        <w:t>e internationale hoofdverbindingen in 1920</w:t>
      </w:r>
      <w:bookmarkEnd w:id="48"/>
    </w:p>
    <w:p w14:paraId="530AD1DC" w14:textId="77777777" w:rsidR="00566F95" w:rsidRDefault="00566F95" w:rsidP="00566F95">
      <w:pPr>
        <w:jc w:val="left"/>
      </w:pPr>
    </w:p>
    <w:p w14:paraId="13EEB199" w14:textId="48B347BE" w:rsidR="00474134" w:rsidRDefault="00474134" w:rsidP="00D90B90">
      <w:pPr>
        <w:jc w:val="left"/>
      </w:pPr>
      <w:r>
        <w:t xml:space="preserve">Omstreeks 1920 beschikte ons land over het beste vaarwegennet van Europa. Dit net bestond allereerst uit drie internationale hoofdverbindingen: </w:t>
      </w:r>
      <w:r w:rsidR="004B6875">
        <w:t>1</w:t>
      </w:r>
      <w:r w:rsidR="00566F95">
        <w:t>.</w:t>
      </w:r>
      <w:r w:rsidR="004B6875">
        <w:t xml:space="preserve"> </w:t>
      </w:r>
      <w:r>
        <w:t>De vaarroute van Rotterdam naar Duitsla</w:t>
      </w:r>
      <w:r w:rsidR="004C1B68">
        <w:t xml:space="preserve">nd via de Waal en de Boven-Rijn; </w:t>
      </w:r>
      <w:r w:rsidR="004B6875">
        <w:t>2</w:t>
      </w:r>
      <w:r w:rsidR="00566F95">
        <w:t>.</w:t>
      </w:r>
      <w:r w:rsidR="004B6875">
        <w:t xml:space="preserve"> </w:t>
      </w:r>
      <w:r>
        <w:t>De vaarroute vanaf Rotterdam en vanaf de Rijn naar België via de Zuid-Hollandse en Zeeuwse stromen en het Kanaal door Zuid-Beveland</w:t>
      </w:r>
      <w:r w:rsidR="004C1B68">
        <w:t xml:space="preserve"> en </w:t>
      </w:r>
      <w:r w:rsidR="004B6875">
        <w:t>3</w:t>
      </w:r>
      <w:r w:rsidR="00566F95">
        <w:t>.</w:t>
      </w:r>
      <w:r w:rsidR="004B6875">
        <w:t xml:space="preserve"> </w:t>
      </w:r>
      <w:r>
        <w:t>De vaarroute vanaf Amsterdam naar Duitsland via het Merwedekanaal en de Neder-Rijn.</w:t>
      </w:r>
    </w:p>
    <w:p w14:paraId="471FE597" w14:textId="0AC3DD7A" w:rsidR="00474134" w:rsidRDefault="00D6165B" w:rsidP="004C1B68">
      <w:pPr>
        <w:ind w:firstLine="708"/>
        <w:jc w:val="left"/>
      </w:pPr>
      <w:r>
        <w:t xml:space="preserve">De eerstgenoemde vaarroute was, na de ingrijpende verbeteringen aan het eind van de negentiende eeuw, zelfs bij laagwater </w:t>
      </w:r>
      <w:r w:rsidR="00474134">
        <w:t>voor de grootste Rijnschepen – sleepschepen van 3</w:t>
      </w:r>
      <w:r w:rsidR="007C1502">
        <w:t>.</w:t>
      </w:r>
      <w:r w:rsidR="00474134">
        <w:t xml:space="preserve">500 ton – goed bevaarbaar. De tweede route was </w:t>
      </w:r>
      <w:r>
        <w:t xml:space="preserve">eveneens </w:t>
      </w:r>
      <w:r w:rsidR="00474134">
        <w:t xml:space="preserve">voor de grootste Rijnschepen bevaarbaar, maar gaf meer problemen. </w:t>
      </w:r>
      <w:r w:rsidR="008A29AA">
        <w:t xml:space="preserve">Schippers moesten </w:t>
      </w:r>
      <w:r w:rsidR="00474134">
        <w:t>op deze route tientallen kilometers over open water varen,</w:t>
      </w:r>
      <w:r w:rsidR="00474134" w:rsidRPr="0039149D">
        <w:rPr>
          <w:bCs/>
        </w:rPr>
        <w:t xml:space="preserve"> </w:t>
      </w:r>
      <w:r w:rsidR="00474134">
        <w:rPr>
          <w:bCs/>
        </w:rPr>
        <w:t xml:space="preserve">met verraderlijke, smalle en bochtige vaargeulen </w:t>
      </w:r>
      <w:r w:rsidR="008A29AA">
        <w:rPr>
          <w:bCs/>
        </w:rPr>
        <w:t xml:space="preserve">en </w:t>
      </w:r>
      <w:r w:rsidR="00474134">
        <w:rPr>
          <w:bCs/>
        </w:rPr>
        <w:t>krachtige getijstromen, waar</w:t>
      </w:r>
      <w:r w:rsidR="00387766">
        <w:rPr>
          <w:bCs/>
        </w:rPr>
        <w:softHyphen/>
      </w:r>
      <w:r w:rsidR="00474134">
        <w:rPr>
          <w:bCs/>
        </w:rPr>
        <w:t>bij ze onverwacht door storm of mist konden worden overvallen. Bovendien konden de schutsluizen</w:t>
      </w:r>
      <w:r w:rsidR="009633A8">
        <w:rPr>
          <w:bCs/>
        </w:rPr>
        <w:t xml:space="preserve"> </w:t>
      </w:r>
      <w:r w:rsidR="008A29AA">
        <w:rPr>
          <w:bCs/>
        </w:rPr>
        <w:t xml:space="preserve">bij Wemeldinge </w:t>
      </w:r>
      <w:r w:rsidR="00474134">
        <w:rPr>
          <w:bCs/>
        </w:rPr>
        <w:t>op het Kanaal door Zuid-Beveland</w:t>
      </w:r>
      <w:r w:rsidR="002C4486">
        <w:rPr>
          <w:bCs/>
        </w:rPr>
        <w:t xml:space="preserve"> </w:t>
      </w:r>
      <w:r w:rsidR="00474134">
        <w:rPr>
          <w:bCs/>
        </w:rPr>
        <w:t xml:space="preserve">het verkeer niet goed verwerken. Vooral na </w:t>
      </w:r>
      <w:r w:rsidR="009633A8">
        <w:rPr>
          <w:bCs/>
        </w:rPr>
        <w:t xml:space="preserve">langdurige </w:t>
      </w:r>
      <w:r w:rsidR="002C4486">
        <w:rPr>
          <w:bCs/>
        </w:rPr>
        <w:t xml:space="preserve">storm of </w:t>
      </w:r>
      <w:r w:rsidR="00474134">
        <w:rPr>
          <w:bCs/>
        </w:rPr>
        <w:t xml:space="preserve">mist lagen hier vaak </w:t>
      </w:r>
      <w:r w:rsidR="002C4486">
        <w:rPr>
          <w:bCs/>
        </w:rPr>
        <w:t xml:space="preserve">grote </w:t>
      </w:r>
      <w:r w:rsidR="00E161C3">
        <w:rPr>
          <w:bCs/>
        </w:rPr>
        <w:t xml:space="preserve">aantallen </w:t>
      </w:r>
      <w:r w:rsidR="00474134">
        <w:rPr>
          <w:bCs/>
        </w:rPr>
        <w:t>schepen te wachten.</w:t>
      </w:r>
      <w:r w:rsidR="00474134">
        <w:rPr>
          <w:rStyle w:val="EndnoteReference"/>
          <w:bCs/>
        </w:rPr>
        <w:endnoteReference w:id="91"/>
      </w:r>
      <w:r w:rsidR="00474134">
        <w:t xml:space="preserve">   </w:t>
      </w:r>
    </w:p>
    <w:p w14:paraId="2DB7B5BC" w14:textId="3477AD52" w:rsidR="00474134" w:rsidRDefault="00E161C3" w:rsidP="00835E85">
      <w:pPr>
        <w:ind w:firstLine="708"/>
        <w:jc w:val="left"/>
      </w:pPr>
      <w:r>
        <w:t xml:space="preserve">De </w:t>
      </w:r>
      <w:r w:rsidR="00474134">
        <w:t xml:space="preserve">vaarroute van Amsterdam naar de Rijn gaf </w:t>
      </w:r>
      <w:r>
        <w:t xml:space="preserve">nog meer </w:t>
      </w:r>
      <w:r w:rsidR="00474134">
        <w:t xml:space="preserve">problemen. </w:t>
      </w:r>
      <w:r w:rsidR="00474134" w:rsidRPr="00114191">
        <w:t>Terwijl Rotterdam en Antwerpen voor 3</w:t>
      </w:r>
      <w:r w:rsidR="007C1502">
        <w:t>.</w:t>
      </w:r>
      <w:r w:rsidR="00474134" w:rsidRPr="00114191">
        <w:t xml:space="preserve">500-tons schepen bereikbaar waren, was het Merwedekanaal slechts </w:t>
      </w:r>
      <w:r w:rsidR="00474134">
        <w:t xml:space="preserve">met grote moeite </w:t>
      </w:r>
      <w:r w:rsidR="00474134" w:rsidRPr="00114191">
        <w:t xml:space="preserve">voor </w:t>
      </w:r>
      <w:r w:rsidR="00474134">
        <w:t>2</w:t>
      </w:r>
      <w:r w:rsidR="007C1502">
        <w:t>.</w:t>
      </w:r>
      <w:r w:rsidR="00474134">
        <w:t xml:space="preserve">000-tons </w:t>
      </w:r>
      <w:r w:rsidR="00474134" w:rsidRPr="00114191">
        <w:t xml:space="preserve">schepen </w:t>
      </w:r>
      <w:r w:rsidR="009633A8">
        <w:t>bevaarbaar</w:t>
      </w:r>
      <w:r w:rsidR="00474134">
        <w:t xml:space="preserve">. </w:t>
      </w:r>
      <w:r>
        <w:t xml:space="preserve">Onder normale omstandigheden </w:t>
      </w:r>
      <w:r w:rsidR="007B5A7E">
        <w:t xml:space="preserve">volgden </w:t>
      </w:r>
      <w:r>
        <w:t>de Amsterdamse Rijnschepen t</w:t>
      </w:r>
      <w:r w:rsidR="00474134">
        <w:t xml:space="preserve">ussen Vreeswijk en de Duitse grens </w:t>
      </w:r>
      <w:r w:rsidR="009633A8">
        <w:t xml:space="preserve">de kortste </w:t>
      </w:r>
      <w:r w:rsidR="00474134">
        <w:t>route</w:t>
      </w:r>
      <w:r w:rsidR="00DA5917">
        <w:t xml:space="preserve">, </w:t>
      </w:r>
      <w:r w:rsidR="00474134">
        <w:t>via de Lek en de Neder-Rijn</w:t>
      </w:r>
      <w:r w:rsidR="009633A8">
        <w:t xml:space="preserve">. Bij </w:t>
      </w:r>
      <w:r w:rsidR="007B5A7E">
        <w:t xml:space="preserve">lage </w:t>
      </w:r>
      <w:r w:rsidR="009633A8">
        <w:t>rivier</w:t>
      </w:r>
      <w:r w:rsidR="007B5A7E">
        <w:t xml:space="preserve">afvoeren </w:t>
      </w:r>
      <w:r w:rsidR="00DA5917">
        <w:t xml:space="preserve">bood deze route onvoldoende vaardiepte en </w:t>
      </w:r>
      <w:r w:rsidR="009633A8">
        <w:t xml:space="preserve">moesten ze </w:t>
      </w:r>
      <w:r w:rsidR="00DA5917">
        <w:t>e</w:t>
      </w:r>
      <w:r w:rsidR="009633A8">
        <w:t xml:space="preserve">en lange, kostbare omweg </w:t>
      </w:r>
      <w:r w:rsidR="00DA5917">
        <w:t xml:space="preserve">maken </w:t>
      </w:r>
      <w:r w:rsidR="009633A8">
        <w:t>via Gorinchem en de Waal</w:t>
      </w:r>
      <w:r w:rsidR="00DA5917">
        <w:t xml:space="preserve">. </w:t>
      </w:r>
      <w:r w:rsidR="00474134" w:rsidRPr="00114191">
        <w:t xml:space="preserve">Een </w:t>
      </w:r>
      <w:r w:rsidR="005B0484">
        <w:t xml:space="preserve">verder </w:t>
      </w:r>
      <w:r w:rsidR="00474134" w:rsidRPr="00114191">
        <w:t xml:space="preserve">obstakel </w:t>
      </w:r>
      <w:r w:rsidR="00D27521">
        <w:t xml:space="preserve">op deze route </w:t>
      </w:r>
      <w:r w:rsidR="00474134" w:rsidRPr="00114191">
        <w:t>was de schutsluis bij Vreeswijk, die het verkeer nauwelijks kon verwerken.</w:t>
      </w:r>
      <w:r w:rsidR="00DA5917">
        <w:t xml:space="preserve"> Het Amsterdamse gemeentebestuur voelde zich achtergesteld bij Rotterdam en Antwerpen en </w:t>
      </w:r>
      <w:r w:rsidR="00474134">
        <w:t xml:space="preserve">oefende voortdurend zware druk uit op de regering om de Amsterdamse Rijnverbinding te verbeteren. </w:t>
      </w:r>
      <w:bookmarkStart w:id="49" w:name="_Hlk85466574"/>
      <w:r w:rsidR="007B5A7E">
        <w:t xml:space="preserve">Overigens was het Merwedekanaal vooral van betekenis voor het binnenlandse vervoer. Het </w:t>
      </w:r>
      <w:r w:rsidR="005B0484">
        <w:t xml:space="preserve">internationale </w:t>
      </w:r>
      <w:r w:rsidR="008A29AA">
        <w:t>binnenvaart</w:t>
      </w:r>
      <w:r w:rsidR="005B0484">
        <w:t xml:space="preserve">vervoer vanuit Amsterdam </w:t>
      </w:r>
      <w:r w:rsidR="007B5A7E">
        <w:t xml:space="preserve">was </w:t>
      </w:r>
      <w:r w:rsidR="00474134">
        <w:t xml:space="preserve">in verhouding tot </w:t>
      </w:r>
      <w:r w:rsidR="007B5A7E">
        <w:t xml:space="preserve">Rotterdam en Antwerpen </w:t>
      </w:r>
      <w:r w:rsidR="00474134">
        <w:t>beperkt.</w:t>
      </w:r>
      <w:bookmarkEnd w:id="49"/>
      <w:r w:rsidR="00474134">
        <w:rPr>
          <w:rStyle w:val="EndnoteReference"/>
        </w:rPr>
        <w:endnoteReference w:id="92"/>
      </w:r>
      <w:r w:rsidR="00474134">
        <w:t xml:space="preserve">   </w:t>
      </w:r>
    </w:p>
    <w:p w14:paraId="56804248" w14:textId="2C870503" w:rsidR="005C4F32" w:rsidRDefault="005C4F32" w:rsidP="005C4F32">
      <w:pPr>
        <w:jc w:val="left"/>
      </w:pPr>
      <w:bookmarkStart w:id="50" w:name="_Hlk161521315"/>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0C5DF0">
        <w:rPr>
          <w:rFonts w:eastAsia="Times New Roman" w:cs="Times New Roman"/>
          <w:color w:val="FF0000"/>
          <w:szCs w:val="24"/>
          <w:lang w:eastAsia="nl-NL"/>
        </w:rPr>
        <w:t>57-</w:t>
      </w:r>
      <w:r w:rsidRPr="0066348A">
        <w:rPr>
          <w:color w:val="FF0000"/>
        </w:rPr>
        <w:t>45_</w:t>
      </w:r>
      <w:r>
        <w:rPr>
          <w:color w:val="FF0000"/>
        </w:rPr>
        <w:t>0A_kaart1.def.jpg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1FBAB2B9" w14:textId="78C781C8" w:rsidR="00474134" w:rsidRPr="00474134" w:rsidRDefault="00821F80" w:rsidP="00DE08B1">
      <w:pPr>
        <w:jc w:val="left"/>
        <w:rPr>
          <w:b/>
        </w:rPr>
      </w:pPr>
      <w:r>
        <w:rPr>
          <w:b/>
        </w:rPr>
        <w:br/>
      </w:r>
    </w:p>
    <w:p w14:paraId="3E7AAE03" w14:textId="77777777" w:rsidR="00436B40" w:rsidRDefault="00436B40" w:rsidP="00821F80">
      <w:pPr>
        <w:pStyle w:val="Heading2"/>
      </w:pPr>
      <w:bookmarkStart w:id="51" w:name="_Hlk85466684"/>
      <w:bookmarkEnd w:id="50"/>
      <w:r>
        <w:lastRenderedPageBreak/>
        <w:t>De overige hoofdverbindingen omstreeks 1920</w:t>
      </w:r>
    </w:p>
    <w:bookmarkEnd w:id="51"/>
    <w:p w14:paraId="03728375" w14:textId="42234A29" w:rsidR="00436B40" w:rsidRDefault="00821F80" w:rsidP="00DE08B1">
      <w:pPr>
        <w:jc w:val="left"/>
      </w:pPr>
      <w:r>
        <w:br/>
      </w:r>
      <w:r w:rsidR="00436B40">
        <w:t>Rondom de eeuwwisseling kwamen verschillende vaarwegverbeteringen tot stand. Aan het begin van de jaren twintig waren bijna alle grote steden in Noord- en Zuid-Holland, Zeeland, Noord-Brabant en Utrecht</w:t>
      </w:r>
      <w:r w:rsidR="00A1044D" w:rsidRPr="00A1044D">
        <w:t xml:space="preserve"> </w:t>
      </w:r>
      <w:r w:rsidR="00A1044D">
        <w:t xml:space="preserve">bereikbaar voor grote schepen van 500 ton of meer. Hetzelfde gold voor </w:t>
      </w:r>
      <w:r w:rsidR="00620CAD">
        <w:t xml:space="preserve">steden aan de grote rivieren </w:t>
      </w:r>
      <w:r w:rsidR="00436B40">
        <w:t>als ’s-Hertogenbosch, Nijmegen, Arnhem, Doesburg, Zutphen, Deventer, Zwolle en Kampen</w:t>
      </w:r>
      <w:r w:rsidR="00A1044D">
        <w:t xml:space="preserve">. </w:t>
      </w:r>
      <w:r w:rsidR="0033257E">
        <w:t xml:space="preserve">Daartegenover was op de Maas tussen Venlo en Maastricht in het droge seizoen nauwelijks scheepvaart mogelijk. Maastricht was echter </w:t>
      </w:r>
      <w:r w:rsidR="00B60BA8">
        <w:t>via de Zuid-Willemsvaart voor 500-tons</w:t>
      </w:r>
      <w:r w:rsidR="00C44B2C">
        <w:t xml:space="preserve"> </w:t>
      </w:r>
      <w:r w:rsidR="00B60BA8">
        <w:t xml:space="preserve">schepen bereikbaar, Meppel via het </w:t>
      </w:r>
      <w:proofErr w:type="spellStart"/>
      <w:r w:rsidR="00B60BA8">
        <w:t>Meppeler</w:t>
      </w:r>
      <w:proofErr w:type="spellEnd"/>
      <w:r w:rsidR="00B60BA8">
        <w:t xml:space="preserve"> Diep voor nog iets grotere. </w:t>
      </w:r>
      <w:r w:rsidR="00436B40">
        <w:t>De Gelderse IJssel kon, nadat tussen 1910 en 1925 een verbetering was uitgevoerd, zelfs door grote 1250-tons schepen worden bevaren, maar deze konden bij lage rivierafvoeren slechts gedeeltelijk worden afgeladen.</w:t>
      </w:r>
      <w:r w:rsidR="00436B40">
        <w:rPr>
          <w:rStyle w:val="EndnoteReference"/>
        </w:rPr>
        <w:endnoteReference w:id="93"/>
      </w:r>
      <w:r w:rsidR="00436B40">
        <w:t xml:space="preserve">  </w:t>
      </w:r>
    </w:p>
    <w:p w14:paraId="759A8CD2" w14:textId="3F2C5C79" w:rsidR="00D77DE4" w:rsidRDefault="00620CAD" w:rsidP="00EF48AD">
      <w:pPr>
        <w:ind w:firstLine="708"/>
        <w:jc w:val="left"/>
      </w:pPr>
      <w:r>
        <w:t>E</w:t>
      </w:r>
      <w:r w:rsidR="00EF48AD">
        <w:t>é</w:t>
      </w:r>
      <w:r>
        <w:t>n van de belangrijkste hoofdverbindingen was de zogenaamde Midden-Hollandroute (Amsterdam-Ringvaart Haarlemmermeer-Gouda-Rotterdam)</w:t>
      </w:r>
      <w:r w:rsidR="00CC5A63">
        <w:t xml:space="preserve">. </w:t>
      </w:r>
      <w:r w:rsidR="00533CA4">
        <w:t>Deze vaarweg vormde de kortste verbinding tussen het noorden en het zuiden van ons land en was over de hele lengte eveneens voor 500-tons</w:t>
      </w:r>
      <w:r w:rsidR="00CF3587">
        <w:t xml:space="preserve"> </w:t>
      </w:r>
      <w:r w:rsidR="00533CA4">
        <w:t>schepen toegankelijk. Hij werd beheerd door vier beheerders: het Rijk, de provincie Zuid-Hol</w:t>
      </w:r>
      <w:r w:rsidRPr="00E4414D">
        <w:t>land, het hoogheemraadschap Rijnland en de gemeente Amsterdam</w:t>
      </w:r>
      <w:r w:rsidR="00533CA4">
        <w:t>.</w:t>
      </w:r>
      <w:r w:rsidR="009D0B00">
        <w:t xml:space="preserve"> </w:t>
      </w:r>
      <w:r w:rsidR="00BC32BC">
        <w:t xml:space="preserve">Door </w:t>
      </w:r>
      <w:r w:rsidR="00A864A6">
        <w:t xml:space="preserve">schaalvergroting liep het belang van </w:t>
      </w:r>
      <w:r w:rsidR="00BC32BC">
        <w:t>de Midden-Hollandroute vo</w:t>
      </w:r>
      <w:r w:rsidR="00A864A6">
        <w:t xml:space="preserve">or het doorgaande verkeer geleidelijk terug. </w:t>
      </w:r>
      <w:r w:rsidR="00BC32BC">
        <w:t xml:space="preserve">Immers, de </w:t>
      </w:r>
      <w:r w:rsidR="00A864A6">
        <w:t>grootste vaartuigen konden deze route niet gebruiken</w:t>
      </w:r>
      <w:r w:rsidR="008A29AA">
        <w:t xml:space="preserve">, maar </w:t>
      </w:r>
      <w:r w:rsidR="00A864A6">
        <w:t xml:space="preserve">moesten omvaren via de Lek en het Merwedekanaal. </w:t>
      </w:r>
      <w:r w:rsidR="003C387D" w:rsidRPr="003C387D">
        <w:t>Om</w:t>
      </w:r>
      <w:r w:rsidR="003C387D" w:rsidRPr="003C387D">
        <w:softHyphen/>
        <w:t xml:space="preserve">streeks 1920 vormde de </w:t>
      </w:r>
      <w:proofErr w:type="spellStart"/>
      <w:r w:rsidR="003C387D" w:rsidRPr="003C387D">
        <w:t>Mallegatsluis</w:t>
      </w:r>
      <w:proofErr w:type="spellEnd"/>
      <w:r w:rsidR="003C387D" w:rsidRPr="003C387D">
        <w:t xml:space="preserve"> in Gouda een ernstig knelpunt. Vaartuigen moesten hier soms dagenlang op hun beurt wachten.</w:t>
      </w:r>
      <w:r w:rsidR="003C387D" w:rsidRPr="003C387D">
        <w:rPr>
          <w:rStyle w:val="EndnoteReference"/>
        </w:rPr>
        <w:endnoteReference w:id="94"/>
      </w:r>
      <w:r w:rsidR="003C387D" w:rsidRPr="003C387D">
        <w:t xml:space="preserve"> </w:t>
      </w:r>
    </w:p>
    <w:p w14:paraId="30DA3C83" w14:textId="7AE8050D" w:rsidR="00823520" w:rsidRDefault="00046F28" w:rsidP="00D77DE4">
      <w:pPr>
        <w:jc w:val="left"/>
        <w:rPr>
          <w:color w:val="A66500"/>
        </w:rPr>
      </w:pPr>
      <w:bookmarkStart w:id="52" w:name="_Hlk168776609"/>
      <w:bookmarkStart w:id="53" w:name="_Hlk161521331"/>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7F4A77" w:rsidRPr="00270BB0">
        <w:rPr>
          <w:color w:val="ED0000"/>
        </w:rPr>
        <w:t>57a_Friesemaatkast</w:t>
      </w:r>
      <w:r w:rsidR="00FD0D24" w:rsidRPr="00270BB0">
        <w:rPr>
          <w:color w:val="ED0000"/>
        </w:rPr>
        <w:t>Catherina</w:t>
      </w:r>
      <w:r w:rsidR="00270BB0" w:rsidRPr="00270BB0">
        <w:rPr>
          <w:color w:val="ED0000"/>
        </w:rPr>
        <w:t>.</w:t>
      </w:r>
      <w:bookmarkEnd w:id="52"/>
      <w:r w:rsidR="008D7388">
        <w:rPr>
          <w:color w:val="ED0000"/>
        </w:rPr>
        <w:t>png</w:t>
      </w:r>
      <w:r w:rsidR="007F4A77" w:rsidRPr="00270BB0">
        <w:rPr>
          <w:rFonts w:cstheme="minorHAnsi"/>
          <w:color w:val="ED0000"/>
        </w:rPr>
        <w:t>]]]</w:t>
      </w:r>
      <w:r w:rsidR="007F4A77" w:rsidRPr="005211BE">
        <w:rPr>
          <w:rFonts w:ascii="Calibri" w:eastAsia="Times New Roman" w:hAnsi="Calibri" w:cs="Calibri"/>
          <w:color w:val="FF0000"/>
          <w:szCs w:val="24"/>
          <w:shd w:val="clear" w:color="auto" w:fill="FFFFFF"/>
          <w:lang w:eastAsia="nl-NL"/>
        </w:rPr>
        <w:t>@/i@</w:t>
      </w:r>
    </w:p>
    <w:p w14:paraId="06594EA6" w14:textId="2EAF875B" w:rsidR="009D0B00" w:rsidRDefault="00046F28" w:rsidP="000A2311">
      <w:pPr>
        <w:jc w:val="left"/>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823520" w:rsidRPr="00C0585D">
        <w:rPr>
          <w:color w:val="FF0000"/>
        </w:rPr>
        <w:t>58-22_Hoendiep.jpg</w:t>
      </w:r>
      <w:r w:rsidR="00823520" w:rsidRPr="005211BE">
        <w:rPr>
          <w:rFonts w:cstheme="minorHAnsi"/>
          <w:color w:val="FF0000"/>
        </w:rPr>
        <w:t>]]]</w:t>
      </w:r>
      <w:r w:rsidR="00823520" w:rsidRPr="005211BE">
        <w:rPr>
          <w:rFonts w:ascii="Calibri" w:eastAsia="Times New Roman" w:hAnsi="Calibri" w:cs="Calibri"/>
          <w:color w:val="FF0000"/>
          <w:szCs w:val="24"/>
          <w:shd w:val="clear" w:color="auto" w:fill="FFFFFF"/>
          <w:lang w:eastAsia="nl-NL"/>
        </w:rPr>
        <w:t>@/i@</w:t>
      </w:r>
      <w:bookmarkEnd w:id="53"/>
      <w:r w:rsidR="003C387D">
        <w:t xml:space="preserve">  </w:t>
      </w:r>
    </w:p>
    <w:p w14:paraId="6EE5F4F9" w14:textId="2EB5D716" w:rsidR="00436B40" w:rsidRDefault="00436B40" w:rsidP="00A57A14">
      <w:pPr>
        <w:ind w:firstLine="708"/>
        <w:jc w:val="left"/>
      </w:pPr>
      <w:r>
        <w:t>Friesland, Groningen</w:t>
      </w:r>
      <w:r w:rsidR="00BC32BC">
        <w:t xml:space="preserve">, </w:t>
      </w:r>
      <w:r>
        <w:t xml:space="preserve">Drenthe </w:t>
      </w:r>
      <w:r w:rsidR="00BC32BC">
        <w:t xml:space="preserve">en Twente </w:t>
      </w:r>
      <w:r>
        <w:t>waren slechts matig ontsloten. Friesland en Groningen beschikten over twee hoofdverbindingen: de vaarweg Lemmer-Stroobos-Groningen</w:t>
      </w:r>
      <w:r w:rsidR="00115A75">
        <w:t>,</w:t>
      </w:r>
      <w:r>
        <w:t xml:space="preserve"> maximaal toegankelijk voor 120 à 150-tons schepen</w:t>
      </w:r>
      <w:r w:rsidR="00115A75">
        <w:t>,</w:t>
      </w:r>
      <w:r>
        <w:t xml:space="preserve"> en de vaarweg Harlingen-Leeuwarden-Dokkum-</w:t>
      </w:r>
      <w:proofErr w:type="spellStart"/>
      <w:r>
        <w:t>Lauwerszee</w:t>
      </w:r>
      <w:proofErr w:type="spellEnd"/>
      <w:r>
        <w:t>-Groningen</w:t>
      </w:r>
      <w:r w:rsidR="00115A75">
        <w:t>,</w:t>
      </w:r>
      <w:r w:rsidR="00332E48">
        <w:t xml:space="preserve"> </w:t>
      </w:r>
      <w:r>
        <w:t xml:space="preserve">bevaarbaar voor 150 à 200-tons schepen. Beide provincies klaagden voortdurend dat </w:t>
      </w:r>
      <w:r w:rsidR="002A663F">
        <w:t xml:space="preserve">hun </w:t>
      </w:r>
      <w:r>
        <w:t xml:space="preserve">hoofdroutes te krap waren. </w:t>
      </w:r>
      <w:bookmarkStart w:id="54" w:name="_Hlk85467069"/>
      <w:r w:rsidR="0064033E">
        <w:t>Bovendien konden twee sluizen op het Groningse deel van eerstgenoemde route het verkeer tijdens het campagneseizoen niet goed verwerken, terwijl hier ook de vaardiepte tekortschoot.</w:t>
      </w:r>
      <w:bookmarkEnd w:id="54"/>
      <w:r w:rsidR="0064033E">
        <w:t xml:space="preserve"> </w:t>
      </w:r>
      <w:r>
        <w:t>Drenthe beschikte, afgezien van de haven van Meppel, alleen over krappe turfkanalen.</w:t>
      </w:r>
      <w:r w:rsidRPr="00FA474F">
        <w:t xml:space="preserve"> </w:t>
      </w:r>
      <w:r>
        <w:t>Een belangrijk industriegebied als Twente was via de Overijsselse kanalen slechts voor 150-tons schepen bereikbaar.</w:t>
      </w:r>
      <w:r>
        <w:rPr>
          <w:rStyle w:val="EndnoteReference"/>
        </w:rPr>
        <w:endnoteReference w:id="95"/>
      </w:r>
      <w:r>
        <w:t xml:space="preserve">  </w:t>
      </w:r>
    </w:p>
    <w:p w14:paraId="31F73B93" w14:textId="0D1CB16C" w:rsidR="00FB6EEA" w:rsidRDefault="00436B40" w:rsidP="00932D6F">
      <w:pPr>
        <w:ind w:firstLine="708"/>
        <w:jc w:val="left"/>
      </w:pPr>
      <w:r>
        <w:t xml:space="preserve">Naast de hoofdverbindingen beschikten alle kustprovincies over een fijnmazig net van secundaire vaarwegen, die meestal </w:t>
      </w:r>
      <w:r w:rsidR="003C387D">
        <w:t xml:space="preserve">alleen </w:t>
      </w:r>
      <w:r>
        <w:t xml:space="preserve">kleinschalig vervoer mogelijk maakten. </w:t>
      </w:r>
      <w:r w:rsidR="009602C0">
        <w:br/>
      </w:r>
      <w:r w:rsidR="002A0182">
        <w:br/>
      </w:r>
    </w:p>
    <w:p w14:paraId="567BE346" w14:textId="56FDE74E" w:rsidR="003C387D" w:rsidRDefault="003C387D" w:rsidP="002A0182">
      <w:pPr>
        <w:pStyle w:val="Heading2"/>
      </w:pPr>
      <w:bookmarkStart w:id="55" w:name="_Hlk85467229"/>
      <w:r>
        <w:t>De Maasroute</w:t>
      </w:r>
      <w:bookmarkEnd w:id="55"/>
    </w:p>
    <w:p w14:paraId="69CADC81" w14:textId="3AFF84F2" w:rsidR="003C387D" w:rsidRDefault="002A0182" w:rsidP="00DE08B1">
      <w:pPr>
        <w:jc w:val="left"/>
        <w:rPr>
          <w:bCs/>
        </w:rPr>
      </w:pPr>
      <w:bookmarkStart w:id="56" w:name="_Hlk51156823"/>
      <w:r>
        <w:rPr>
          <w:bCs/>
        </w:rPr>
        <w:br/>
      </w:r>
      <w:r w:rsidR="00E21EA6">
        <w:rPr>
          <w:bCs/>
        </w:rPr>
        <w:t>Na de problemen met de Duitse steenkolenaanvoer in de Eerste Wereldoorlog vormde de opvoering van de Limburgse steenkolenproductie plotseling een nationale prioriteit. Om de afvoer van de steenkolen</w:t>
      </w:r>
      <w:r w:rsidR="007328A7">
        <w:rPr>
          <w:bCs/>
        </w:rPr>
        <w:t xml:space="preserve"> mogelijk te maken, moesten de vaarwegen naar dit gebied worden </w:t>
      </w:r>
      <w:r w:rsidR="007328A7">
        <w:rPr>
          <w:bCs/>
        </w:rPr>
        <w:lastRenderedPageBreak/>
        <w:t xml:space="preserve">verbeterd. </w:t>
      </w:r>
      <w:r w:rsidR="006974E1">
        <w:rPr>
          <w:bCs/>
        </w:rPr>
        <w:t xml:space="preserve">Om dit te bereiken werd de Maas vanaf Maasbracht tot Lith gekanaliseerd </w:t>
      </w:r>
      <w:r w:rsidR="006974E1" w:rsidRPr="00C21BCA">
        <w:rPr>
          <w:bCs/>
        </w:rPr>
        <w:t>(1915-1936)</w:t>
      </w:r>
      <w:r w:rsidR="006974E1">
        <w:rPr>
          <w:bCs/>
        </w:rPr>
        <w:t xml:space="preserve"> en</w:t>
      </w:r>
      <w:r w:rsidR="00E21EA6">
        <w:rPr>
          <w:bCs/>
        </w:rPr>
        <w:t xml:space="preserve"> </w:t>
      </w:r>
      <w:r w:rsidR="006974E1">
        <w:rPr>
          <w:bCs/>
        </w:rPr>
        <w:t xml:space="preserve">werden het Maas-Waalkanaal (1920-1927), het Julianakanaal (1925-1936) en het Kanaal Wessem-Nederweert (1917-1929) gegraven. </w:t>
      </w:r>
      <w:r w:rsidR="00517389">
        <w:rPr>
          <w:bCs/>
        </w:rPr>
        <w:t xml:space="preserve">Samen vormden deze vier verbindingen het </w:t>
      </w:r>
      <w:r w:rsidR="00517389">
        <w:t xml:space="preserve">grootste binnenvaartproject dat tussen de beide wereldoorlogen tot stand kwam. </w:t>
      </w:r>
      <w:r w:rsidR="00517389">
        <w:rPr>
          <w:bCs/>
        </w:rPr>
        <w:t xml:space="preserve">De drie eerstgenoemde vaarwegen </w:t>
      </w:r>
      <w:r w:rsidR="0076514F">
        <w:rPr>
          <w:bCs/>
        </w:rPr>
        <w:t xml:space="preserve">worden samen aangeduid als de </w:t>
      </w:r>
      <w:r w:rsidR="00517389">
        <w:rPr>
          <w:bCs/>
        </w:rPr>
        <w:t>Maasroute</w:t>
      </w:r>
      <w:r w:rsidR="0076514F">
        <w:rPr>
          <w:bCs/>
        </w:rPr>
        <w:t xml:space="preserve">. </w:t>
      </w:r>
      <w:r w:rsidR="00DC21EA">
        <w:rPr>
          <w:bCs/>
        </w:rPr>
        <w:t>Ontsluiting van Zuid-Limburg via de Maasroute was in die tijd de enige optie, o</w:t>
      </w:r>
      <w:r w:rsidR="003B6170">
        <w:rPr>
          <w:bCs/>
        </w:rPr>
        <w:t xml:space="preserve">mdat de </w:t>
      </w:r>
      <w:r w:rsidR="0078451A">
        <w:rPr>
          <w:bCs/>
        </w:rPr>
        <w:t xml:space="preserve">afmetingen van de </w:t>
      </w:r>
      <w:r w:rsidR="003B6170">
        <w:rPr>
          <w:bCs/>
        </w:rPr>
        <w:t xml:space="preserve">Zuid-Willemsvaart </w:t>
      </w:r>
      <w:r w:rsidR="0078451A">
        <w:rPr>
          <w:bCs/>
        </w:rPr>
        <w:t xml:space="preserve">te krap waren voor modern </w:t>
      </w:r>
      <w:r w:rsidR="0076514F">
        <w:rPr>
          <w:bCs/>
        </w:rPr>
        <w:t>massa</w:t>
      </w:r>
      <w:r w:rsidR="0078451A">
        <w:rPr>
          <w:bCs/>
        </w:rPr>
        <w:t xml:space="preserve">goederenvervoer, terwijl deze vaarweg bovendien </w:t>
      </w:r>
      <w:r w:rsidR="003B6170">
        <w:rPr>
          <w:bCs/>
        </w:rPr>
        <w:t>gedeeltelijk over Belgisch grondgebied liep</w:t>
      </w:r>
      <w:r w:rsidR="00DC21EA">
        <w:rPr>
          <w:bCs/>
        </w:rPr>
        <w:t>.</w:t>
      </w:r>
      <w:r w:rsidR="0005704F" w:rsidRPr="0076558C">
        <w:rPr>
          <w:rStyle w:val="EndnoteReference"/>
        </w:rPr>
        <w:endnoteReference w:id="96"/>
      </w:r>
      <w:r w:rsidR="003B6170">
        <w:rPr>
          <w:bCs/>
        </w:rPr>
        <w:t xml:space="preserve">   </w:t>
      </w:r>
    </w:p>
    <w:bookmarkEnd w:id="56"/>
    <w:p w14:paraId="39E3984D" w14:textId="0FD3AC84" w:rsidR="007C115E" w:rsidRDefault="003C387D" w:rsidP="00A3379A">
      <w:pPr>
        <w:ind w:firstLine="708"/>
        <w:jc w:val="left"/>
        <w:rPr>
          <w:bCs/>
        </w:rPr>
      </w:pPr>
      <w:r>
        <w:rPr>
          <w:bCs/>
        </w:rPr>
        <w:t>Na de voltooiing was de Maasroute toegankelijk voor 2</w:t>
      </w:r>
      <w:r w:rsidR="00C3762F">
        <w:rPr>
          <w:bCs/>
        </w:rPr>
        <w:t>.</w:t>
      </w:r>
      <w:r>
        <w:rPr>
          <w:bCs/>
        </w:rPr>
        <w:t>000-tons schepen, het Kanaal Wessem-Nederweert voor 600 ton.</w:t>
      </w:r>
      <w:r w:rsidR="00DC21EA">
        <w:rPr>
          <w:bCs/>
        </w:rPr>
        <w:t xml:space="preserve"> </w:t>
      </w:r>
      <w:r>
        <w:rPr>
          <w:bCs/>
        </w:rPr>
        <w:t xml:space="preserve">Het door het licht heuvelachtige Limburgse land lopende Julianakanaal met zijn </w:t>
      </w:r>
      <w:r w:rsidR="00DC21EA">
        <w:rPr>
          <w:bCs/>
        </w:rPr>
        <w:t xml:space="preserve">voor die tijd gigantische afmetingen en </w:t>
      </w:r>
      <w:r>
        <w:rPr>
          <w:bCs/>
        </w:rPr>
        <w:t xml:space="preserve">enorme sluizen maakte op tijdgenoten een diepe indruk. Langs het Julianakanaal kwamen bij Born en Stein twee grote overslaghavens, waar spoorwagons vanuit de mijnen in één keer door een hijskraan konden worden opgetild en in het ruim gelost. </w:t>
      </w:r>
      <w:bookmarkStart w:id="57" w:name="_Hlk161521350"/>
    </w:p>
    <w:bookmarkEnd w:id="57"/>
    <w:p w14:paraId="74DD60C2" w14:textId="0580CD5A" w:rsidR="00220C44" w:rsidRPr="00632F6C" w:rsidRDefault="00632F6C" w:rsidP="00220C44">
      <w:pPr>
        <w:rPr>
          <w:rFonts w:cs="Times New Roman"/>
          <w:color w:val="FF0000"/>
        </w:rPr>
      </w:pPr>
      <w:r w:rsidRPr="005211BE">
        <w:rPr>
          <w:rFonts w:ascii="Calibri" w:eastAsia="Times New Roman" w:hAnsi="Calibri" w:cs="Calibri"/>
          <w:color w:val="FF0000"/>
          <w:szCs w:val="24"/>
          <w:shd w:val="clear" w:color="auto" w:fill="FFFFFF"/>
          <w:lang w:eastAsia="nl-NL"/>
        </w:rPr>
        <w:t>@i@</w:t>
      </w:r>
      <w:r w:rsidR="00220C44" w:rsidRPr="00632F6C">
        <w:rPr>
          <w:rFonts w:eastAsia="Times New Roman" w:cs="Times New Roman"/>
          <w:color w:val="FF0000"/>
          <w:szCs w:val="24"/>
          <w:lang w:eastAsia="nl-NL"/>
        </w:rPr>
        <w:t>[[[</w:t>
      </w:r>
      <w:r w:rsidR="00220C44" w:rsidRPr="00632F6C">
        <w:rPr>
          <w:rFonts w:cs="Times New Roman"/>
          <w:bCs/>
          <w:color w:val="FF0000"/>
        </w:rPr>
        <w:t>59-</w:t>
      </w:r>
      <w:r w:rsidR="00220C44" w:rsidRPr="00632F6C">
        <w:rPr>
          <w:rFonts w:cs="Times New Roman"/>
          <w:color w:val="FF0000"/>
        </w:rPr>
        <w:t>05_KolentipBorn.jpg]]]</w:t>
      </w:r>
      <w:r w:rsidR="00220C44" w:rsidRPr="00632F6C">
        <w:rPr>
          <w:rFonts w:eastAsia="Times New Roman" w:cs="Times New Roman"/>
          <w:color w:val="FF0000"/>
          <w:szCs w:val="24"/>
          <w:shd w:val="clear" w:color="auto" w:fill="FFFFFF"/>
          <w:lang w:eastAsia="nl-NL"/>
        </w:rPr>
        <w:t>@/i@</w:t>
      </w:r>
    </w:p>
    <w:p w14:paraId="71B87D93" w14:textId="7D429675" w:rsidR="003C387D" w:rsidRDefault="00843659" w:rsidP="00220C44">
      <w:pPr>
        <w:ind w:firstLine="708"/>
        <w:jc w:val="left"/>
      </w:pPr>
      <w:r>
        <w:br/>
      </w:r>
    </w:p>
    <w:p w14:paraId="48D4F3BE" w14:textId="7136C1FF" w:rsidR="005B5EBC" w:rsidRDefault="005B5EBC" w:rsidP="00843659">
      <w:pPr>
        <w:pStyle w:val="Heading2"/>
        <w:rPr>
          <w:bCs/>
        </w:rPr>
      </w:pPr>
      <w:bookmarkStart w:id="58" w:name="_Hlk85467842"/>
      <w:r>
        <w:t>Het Amsterdam-Rijnkanaal</w:t>
      </w:r>
      <w:bookmarkEnd w:id="58"/>
    </w:p>
    <w:p w14:paraId="2C979571" w14:textId="237AB1FA" w:rsidR="005B5EBC" w:rsidRDefault="00843659" w:rsidP="00DE08B1">
      <w:pPr>
        <w:jc w:val="left"/>
        <w:rPr>
          <w:bCs/>
        </w:rPr>
      </w:pPr>
      <w:r>
        <w:rPr>
          <w:bCs/>
        </w:rPr>
        <w:br/>
      </w:r>
      <w:r w:rsidR="005B5EBC" w:rsidRPr="002E7298">
        <w:rPr>
          <w:bCs/>
        </w:rPr>
        <w:t xml:space="preserve">Het meest bediscussieerde project </w:t>
      </w:r>
      <w:r w:rsidR="005B5EBC">
        <w:rPr>
          <w:bCs/>
        </w:rPr>
        <w:t xml:space="preserve">in deze periode </w:t>
      </w:r>
      <w:r w:rsidR="005B5EBC" w:rsidRPr="002E7298">
        <w:rPr>
          <w:bCs/>
        </w:rPr>
        <w:t xml:space="preserve">was de aanleg van </w:t>
      </w:r>
      <w:r w:rsidR="005B5EBC" w:rsidRPr="00DB4239">
        <w:rPr>
          <w:bCs/>
        </w:rPr>
        <w:t xml:space="preserve">een nieuwe verbinding van Amsterdam met de </w:t>
      </w:r>
      <w:r w:rsidR="005B5EBC">
        <w:rPr>
          <w:bCs/>
        </w:rPr>
        <w:t>Waal</w:t>
      </w:r>
      <w:r w:rsidR="005B5EBC" w:rsidRPr="00DB4239">
        <w:rPr>
          <w:bCs/>
        </w:rPr>
        <w:t>,</w:t>
      </w:r>
      <w:r w:rsidR="005B5EBC" w:rsidRPr="00DB4239">
        <w:rPr>
          <w:b/>
        </w:rPr>
        <w:t xml:space="preserve"> </w:t>
      </w:r>
      <w:r w:rsidR="005B5EBC" w:rsidRPr="002E7298">
        <w:rPr>
          <w:bCs/>
        </w:rPr>
        <w:t>het latere Amsterdam-Rijnkanaal.</w:t>
      </w:r>
      <w:r w:rsidR="005B5EBC">
        <w:rPr>
          <w:bCs/>
        </w:rPr>
        <w:t xml:space="preserve"> Tussen 1917 en 1931 waren er voortdurend commissies, die de verbeteringsmogelijkheden bestudeerden. Uiteindelijk ging de keuze tussen drie varianten. Bij de eindafweging speelden naast de aanlegkosten en de vaartijd ook nautische aspecten een rol. De tracés via de Gelderse Vallei en via Wijk bij Duurstede hadden beide als bezwaar dat grote sleepeenheden een smalle, snelstromende rivier moesten kruisen, met alle risico’s dat de sleepschepen uit het roer zouden lopen. Op de Lekkruising bij Vreeswijk was dit bezwaar </w:t>
      </w:r>
      <w:r w:rsidR="00660B0A">
        <w:rPr>
          <w:bCs/>
        </w:rPr>
        <w:t xml:space="preserve">vanwege de getijinvloed </w:t>
      </w:r>
      <w:r w:rsidR="00DE5B81">
        <w:rPr>
          <w:bCs/>
        </w:rPr>
        <w:t>minder groot.</w:t>
      </w:r>
      <w:r w:rsidR="00DE5B81">
        <w:rPr>
          <w:rStyle w:val="EndnoteReference"/>
        </w:rPr>
        <w:endnoteReference w:id="97"/>
      </w:r>
    </w:p>
    <w:p w14:paraId="34908088" w14:textId="71C98C56" w:rsidR="005B5EBC" w:rsidRDefault="005B5EBC" w:rsidP="00DE5B81">
      <w:pPr>
        <w:ind w:firstLine="708"/>
        <w:jc w:val="left"/>
        <w:rPr>
          <w:bCs/>
        </w:rPr>
      </w:pPr>
      <w:r>
        <w:rPr>
          <w:bCs/>
        </w:rPr>
        <w:t xml:space="preserve">Ondanks dit bezwaar werd in 1931 gekozen voor de variant via Wijk bij Duurstede. Tegelijk daarmee zou een nieuw kanaal </w:t>
      </w:r>
      <w:r w:rsidRPr="00C250E0">
        <w:rPr>
          <w:bCs/>
        </w:rPr>
        <w:t xml:space="preserve">van Utrecht naar Vreeswijk worden gegraven </w:t>
      </w:r>
      <w:r>
        <w:rPr>
          <w:bCs/>
        </w:rPr>
        <w:t xml:space="preserve">– het </w:t>
      </w:r>
      <w:r w:rsidRPr="00C250E0">
        <w:rPr>
          <w:bCs/>
        </w:rPr>
        <w:t xml:space="preserve">tegenwoordige </w:t>
      </w:r>
      <w:r w:rsidRPr="009015B4">
        <w:rPr>
          <w:bCs/>
        </w:rPr>
        <w:t>Lekkanaal – ter verbetering van de mogelijkheden voor het noord-zuidverkeer. Het Rijk betaalde twee</w:t>
      </w:r>
      <w:r w:rsidR="00677CAC">
        <w:rPr>
          <w:bCs/>
        </w:rPr>
        <w:t xml:space="preserve"> </w:t>
      </w:r>
      <w:r w:rsidRPr="009015B4">
        <w:rPr>
          <w:bCs/>
        </w:rPr>
        <w:t>derde van de kosten, Amsterdam en de provincies Noord-Holland, Utrecht en Gelderland samen een</w:t>
      </w:r>
      <w:r w:rsidR="00677CAC">
        <w:rPr>
          <w:bCs/>
        </w:rPr>
        <w:t xml:space="preserve"> </w:t>
      </w:r>
      <w:r w:rsidRPr="009015B4">
        <w:rPr>
          <w:bCs/>
        </w:rPr>
        <w:t>derde. Het Lekkanaal kwam in 1938 gereed, het Amsterdam-Rijnkanaal in 1952</w:t>
      </w:r>
      <w:r w:rsidR="00511BFC" w:rsidRPr="009015B4">
        <w:rPr>
          <w:bCs/>
        </w:rPr>
        <w:t>.</w:t>
      </w:r>
      <w:r w:rsidR="00DB2BCE" w:rsidRPr="009015B4">
        <w:rPr>
          <w:rStyle w:val="EndnoteReference"/>
          <w:iCs/>
        </w:rPr>
        <w:endnoteReference w:id="98"/>
      </w:r>
    </w:p>
    <w:p w14:paraId="0AEF5B2F" w14:textId="6891F19B" w:rsidR="008772FE" w:rsidRDefault="008772FE" w:rsidP="00DE08B1">
      <w:pPr>
        <w:jc w:val="left"/>
        <w:rPr>
          <w:rFonts w:ascii="Calibri" w:eastAsia="Times New Roman" w:hAnsi="Calibri" w:cs="Calibri"/>
          <w:color w:val="FF0000"/>
          <w:szCs w:val="24"/>
          <w:shd w:val="clear" w:color="auto" w:fill="FFFFFF"/>
          <w:lang w:eastAsia="nl-NL"/>
        </w:rPr>
      </w:pPr>
      <w:bookmarkStart w:id="59" w:name="_Hlk161521372"/>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1E722F">
        <w:rPr>
          <w:rFonts w:eastAsia="Times New Roman" w:cs="Times New Roman"/>
          <w:color w:val="FF0000"/>
          <w:szCs w:val="24"/>
          <w:lang w:eastAsia="nl-NL"/>
        </w:rPr>
        <w:t>60-</w:t>
      </w:r>
      <w:r>
        <w:rPr>
          <w:rFonts w:eastAsia="Times New Roman" w:cs="Times New Roman"/>
          <w:color w:val="FF0000"/>
          <w:szCs w:val="24"/>
          <w:lang w:eastAsia="nl-NL"/>
        </w:rPr>
        <w:t>46_AA_kaart2.def.</w:t>
      </w:r>
      <w:r>
        <w:rPr>
          <w:rFonts w:cstheme="minorHAnsi"/>
          <w:color w:val="FF0000"/>
        </w:rPr>
        <w:t>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04AA904A" w14:textId="0662F8C3" w:rsidR="0081411E" w:rsidRDefault="00C66EC3" w:rsidP="00DE08B1">
      <w:pPr>
        <w:jc w:val="left"/>
        <w:rPr>
          <w:rFonts w:ascii="Calibri" w:eastAsia="Times New Roman" w:hAnsi="Calibri" w:cs="Calibri"/>
          <w:color w:val="FF0000"/>
          <w:szCs w:val="24"/>
          <w:shd w:val="clear" w:color="auto" w:fill="FFFFFF"/>
          <w:lang w:eastAsia="nl-NL"/>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4552BA">
        <w:rPr>
          <w:rFonts w:eastAsia="Times New Roman" w:cs="Times New Roman"/>
          <w:color w:val="FF0000"/>
          <w:szCs w:val="24"/>
          <w:lang w:eastAsia="nl-NL"/>
        </w:rPr>
        <w:t>61</w:t>
      </w:r>
      <w:r w:rsidR="004A3742">
        <w:rPr>
          <w:rFonts w:eastAsia="Times New Roman" w:cs="Times New Roman"/>
          <w:color w:val="FF0000"/>
          <w:szCs w:val="24"/>
          <w:lang w:eastAsia="nl-NL"/>
        </w:rPr>
        <w:t>_Merwedekanaal</w:t>
      </w:r>
      <w:r w:rsidR="000F0FFF">
        <w:rPr>
          <w:color w:val="FF0000"/>
        </w:rPr>
        <w:t>.jpg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1FDF384E" w14:textId="110D1CFB" w:rsidR="005B5EBC" w:rsidRPr="00844153" w:rsidRDefault="00843659" w:rsidP="00DE08B1">
      <w:pPr>
        <w:jc w:val="left"/>
      </w:pPr>
      <w:r>
        <w:br/>
      </w:r>
      <w:bookmarkEnd w:id="59"/>
    </w:p>
    <w:p w14:paraId="59A1BA7A" w14:textId="6E58A4F6" w:rsidR="005B5EBC" w:rsidRDefault="005B5EBC" w:rsidP="00843659">
      <w:pPr>
        <w:pStyle w:val="Heading2"/>
      </w:pPr>
      <w:bookmarkStart w:id="60" w:name="_Hlk85467978"/>
      <w:r>
        <w:t>De overige vaarwegverbeteringen</w:t>
      </w:r>
    </w:p>
    <w:bookmarkEnd w:id="60"/>
    <w:p w14:paraId="2C7BADDE" w14:textId="7C382FF8" w:rsidR="005B5EBC" w:rsidRDefault="00843659" w:rsidP="00DE08B1">
      <w:pPr>
        <w:jc w:val="left"/>
      </w:pPr>
      <w:r>
        <w:br/>
      </w:r>
      <w:r w:rsidR="005B5EBC">
        <w:t>In 1928 begon het Rijk met de bouw van het Twentekanaal vanaf de IJssel naar Enschede.</w:t>
      </w:r>
      <w:r w:rsidR="005B5EBC" w:rsidRPr="0030618E">
        <w:t xml:space="preserve"> </w:t>
      </w:r>
      <w:r w:rsidR="005B5EBC">
        <w:t>Dit kanaal ontsloot het belangrijke Twentse industriegebied voor 1</w:t>
      </w:r>
      <w:r w:rsidR="00612842">
        <w:t>.</w:t>
      </w:r>
      <w:r w:rsidR="005B5EBC">
        <w:t>350-tons schepen, terwijl bij de bouw van sluizen en bruggen met een uitbouw naar 2</w:t>
      </w:r>
      <w:r w:rsidR="00612842">
        <w:t>.</w:t>
      </w:r>
      <w:r w:rsidR="005B5EBC">
        <w:t xml:space="preserve">000 ton werd rekening gehouden. Enschede werd in 1936 bereikt, Almelo via een zijtak in 1953. In Friesland en Groningen </w:t>
      </w:r>
      <w:r w:rsidR="005B5EBC">
        <w:lastRenderedPageBreak/>
        <w:t xml:space="preserve">legden het Rijk en de beide provincies drie nieuwe hoofdverbindingen aan: het Van </w:t>
      </w:r>
      <w:proofErr w:type="spellStart"/>
      <w:r w:rsidR="005B5EBC">
        <w:t>Starkenborghkanaal</w:t>
      </w:r>
      <w:proofErr w:type="spellEnd"/>
      <w:r w:rsidR="005B5EBC">
        <w:t xml:space="preserve">, het Prinses Margrietkanaal en het Van </w:t>
      </w:r>
      <w:proofErr w:type="spellStart"/>
      <w:r w:rsidR="005B5EBC">
        <w:t>Harinxmakanaal</w:t>
      </w:r>
      <w:proofErr w:type="spellEnd"/>
      <w:r w:rsidR="005B5EBC" w:rsidRPr="00A47C5B">
        <w:t>.</w:t>
      </w:r>
      <w:r w:rsidR="005B5EBC" w:rsidRPr="00403238">
        <w:t xml:space="preserve"> </w:t>
      </w:r>
      <w:r w:rsidR="005B5EBC">
        <w:t>Bij de aanleg werd grotendeels van de reeds bestaande hoofdverbindingen gebruikgemaakt.</w:t>
      </w:r>
      <w:r w:rsidR="005B5EBC" w:rsidRPr="00403238">
        <w:t xml:space="preserve"> </w:t>
      </w:r>
      <w:r w:rsidR="005B5EBC">
        <w:t>De nieuwe kanalen waren geschikt voor 1</w:t>
      </w:r>
      <w:r w:rsidR="00612842">
        <w:t>.</w:t>
      </w:r>
      <w:r w:rsidR="005B5EBC">
        <w:t>000-tons schepen, maar ook hier werd bij de bouw rekening gehouden met een mogelijke verruiming naar 2</w:t>
      </w:r>
      <w:r w:rsidR="00612842">
        <w:t>.</w:t>
      </w:r>
      <w:r w:rsidR="005B5EBC">
        <w:t xml:space="preserve">000 ton. Het Van </w:t>
      </w:r>
      <w:proofErr w:type="spellStart"/>
      <w:r w:rsidR="005B5EBC">
        <w:t>Starkenborghkanaal</w:t>
      </w:r>
      <w:proofErr w:type="spellEnd"/>
      <w:r w:rsidR="005B5EBC">
        <w:t xml:space="preserve"> kwam in 1938 gereed, de beide andere in 1951. Bij al deze projecten betaalde het Rijk twee derde van de kosten en de regio de rest.</w:t>
      </w:r>
      <w:r w:rsidR="005B5EBC">
        <w:rPr>
          <w:rStyle w:val="EndnoteReference"/>
        </w:rPr>
        <w:endnoteReference w:id="99"/>
      </w:r>
    </w:p>
    <w:p w14:paraId="733E2C4E" w14:textId="2C6324F7" w:rsidR="008F082D" w:rsidRDefault="00D4605C" w:rsidP="00D4605C">
      <w:pPr>
        <w:jc w:val="left"/>
      </w:pPr>
      <w:r>
        <w:tab/>
      </w:r>
      <w:r w:rsidR="008F082D">
        <w:t>Omstreeks 1920 besloten het Rijk, Noord- en Zuid-Holland, Amsterdam en Rijnland om de Midden-Hollandroute geschikt te maken voor 2</w:t>
      </w:r>
      <w:r w:rsidR="00737BDD">
        <w:t>.</w:t>
      </w:r>
      <w:r w:rsidR="008F082D">
        <w:t xml:space="preserve">000-tons schepen. Als eerste stap bouwde Zuid-Holland de Julianasluis bij Gouda (1927-1936), terwijl dezelfde provincie ook de vaarweg van Gouda tot de Ringvaart van de Haarlemmermeerpolder verbeterde (1927-1958). Amsterdam verving </w:t>
      </w:r>
      <w:r w:rsidR="002A60C0">
        <w:t xml:space="preserve">de </w:t>
      </w:r>
      <w:proofErr w:type="spellStart"/>
      <w:r w:rsidR="008F082D">
        <w:t>Overtoomse</w:t>
      </w:r>
      <w:proofErr w:type="spellEnd"/>
      <w:r w:rsidR="008F082D">
        <w:t xml:space="preserve"> Sluis door de Nieuwe Meersluis (1942) en verbeterde de passage door de hoofdstad naar de Ringvaart. </w:t>
      </w:r>
      <w:r w:rsidR="00144507">
        <w:t xml:space="preserve">Omdat de benodigde coördinatie tussen de vijf beheerders ontbrak, werd dit project echter nooit voltooid. </w:t>
      </w:r>
      <w:r w:rsidR="008F082D">
        <w:t>Tegenwoordig zijn de beide uiteinden van de vaarweg geschikt voor 1</w:t>
      </w:r>
      <w:r w:rsidR="007E67F3">
        <w:t>.</w:t>
      </w:r>
      <w:r w:rsidR="008F082D">
        <w:t>500-tons schepen, terwijl op de Ringvaart slechts 1</w:t>
      </w:r>
      <w:r w:rsidR="007E67F3">
        <w:t>.</w:t>
      </w:r>
      <w:r w:rsidR="008F082D">
        <w:t>000 ton wordt toegelaten.</w:t>
      </w:r>
      <w:r w:rsidR="008F082D" w:rsidRPr="00357F05">
        <w:rPr>
          <w:rStyle w:val="EndnoteReference"/>
          <w:bCs/>
        </w:rPr>
        <w:endnoteReference w:id="100"/>
      </w:r>
    </w:p>
    <w:p w14:paraId="1F738740" w14:textId="2DE0ED57" w:rsidR="005B5EBC" w:rsidRDefault="005B5EBC" w:rsidP="00CA7970">
      <w:pPr>
        <w:ind w:firstLine="708"/>
        <w:jc w:val="left"/>
      </w:pPr>
      <w:r>
        <w:t>Naast deze grote projecten kwamen ook een groot aantal kleinere vaarwegverbeteringen tot stand. Elders is een overzicht van deze werken gegeven.</w:t>
      </w:r>
      <w:r>
        <w:rPr>
          <w:rStyle w:val="EndnoteReference"/>
        </w:rPr>
        <w:endnoteReference w:id="101"/>
      </w:r>
      <w:r>
        <w:t xml:space="preserve">  </w:t>
      </w:r>
    </w:p>
    <w:p w14:paraId="28FDEB36" w14:textId="16A5E15E" w:rsidR="008F082D" w:rsidRDefault="00B125A9" w:rsidP="00DE08B1">
      <w:pPr>
        <w:jc w:val="left"/>
      </w:pPr>
      <w:r>
        <w:br/>
      </w:r>
    </w:p>
    <w:p w14:paraId="579E2FB3" w14:textId="17769033" w:rsidR="008F082D" w:rsidRDefault="008F082D" w:rsidP="00B125A9">
      <w:pPr>
        <w:pStyle w:val="Heading2"/>
      </w:pPr>
      <w:bookmarkStart w:id="61" w:name="_Hlk85468293"/>
      <w:r>
        <w:t>De visie van de binnenvaart (1928)</w:t>
      </w:r>
      <w:bookmarkEnd w:id="61"/>
    </w:p>
    <w:p w14:paraId="5ACD64E8" w14:textId="7FBEE71A" w:rsidR="00863B45" w:rsidRPr="00EB686C" w:rsidRDefault="00B125A9" w:rsidP="00DE08B1">
      <w:pPr>
        <w:jc w:val="left"/>
        <w:rPr>
          <w:bCs/>
        </w:rPr>
      </w:pPr>
      <w:r>
        <w:rPr>
          <w:bCs/>
        </w:rPr>
        <w:br/>
      </w:r>
      <w:r w:rsidR="008F082D">
        <w:rPr>
          <w:bCs/>
        </w:rPr>
        <w:t xml:space="preserve">Aan het eind van de jaren twintig </w:t>
      </w:r>
      <w:r w:rsidR="008F082D" w:rsidRPr="000D0A91">
        <w:rPr>
          <w:bCs/>
        </w:rPr>
        <w:t xml:space="preserve">constateerden </w:t>
      </w:r>
      <w:r w:rsidR="009F5ED6" w:rsidRPr="000D0A91">
        <w:rPr>
          <w:bCs/>
        </w:rPr>
        <w:t xml:space="preserve">verschillende </w:t>
      </w:r>
      <w:r w:rsidR="008F082D" w:rsidRPr="000D0A91">
        <w:rPr>
          <w:bCs/>
        </w:rPr>
        <w:t>binnenvaartdeskundigen dat het vaarwegen</w:t>
      </w:r>
      <w:r w:rsidR="008F082D" w:rsidRPr="000D0A91">
        <w:rPr>
          <w:bCs/>
        </w:rPr>
        <w:softHyphen/>
        <w:t>net niet optimaal functioneerde. Sterk uiteenlopende afmetingen bemoeilijkten</w:t>
      </w:r>
      <w:r w:rsidR="008F082D">
        <w:rPr>
          <w:bCs/>
        </w:rPr>
        <w:t xml:space="preserve"> de doorgaande vaart tussen de verschillende landsdelen. Bestuurlijke versnippering, waarbij verschillende beheerders ieder </w:t>
      </w:r>
      <w:r w:rsidR="00100223">
        <w:rPr>
          <w:bCs/>
        </w:rPr>
        <w:t xml:space="preserve">voor </w:t>
      </w:r>
      <w:r w:rsidR="008F082D">
        <w:rPr>
          <w:bCs/>
        </w:rPr>
        <w:t xml:space="preserve">een deel van een doorgaande vaarweg </w:t>
      </w:r>
      <w:r w:rsidR="00100223">
        <w:rPr>
          <w:bCs/>
        </w:rPr>
        <w:t xml:space="preserve">verantwoordelijk waren, </w:t>
      </w:r>
      <w:r w:rsidR="008F082D">
        <w:rPr>
          <w:bCs/>
        </w:rPr>
        <w:t xml:space="preserve">zoals op de Midden-Hollandroute, </w:t>
      </w:r>
      <w:r w:rsidR="007D39DD">
        <w:rPr>
          <w:bCs/>
        </w:rPr>
        <w:t xml:space="preserve">bemoeilijkten </w:t>
      </w:r>
      <w:r w:rsidR="008F082D">
        <w:rPr>
          <w:bCs/>
        </w:rPr>
        <w:t xml:space="preserve">een doelmatige verbetering. Op een binnenvaartcongres in 1928 verschenen twee rapporten, die voor de gedachtevorming over de structuur van het vaarwegennet van grote betekenis </w:t>
      </w:r>
      <w:r w:rsidR="008E4BE0">
        <w:rPr>
          <w:bCs/>
        </w:rPr>
        <w:t>werden</w:t>
      </w:r>
      <w:r w:rsidR="008F082D">
        <w:rPr>
          <w:bCs/>
        </w:rPr>
        <w:t>. In het eerste rapport pleitte de Rotterdamse hoogleraar W.E. Boerman voor een verdeling van de vaarwegen in vijf grootteklassen, ieder toegankelijk voor schepen met van te voren vastgestelde standaardafmetingen. De eerste klasse, de ‘grootscheepklasse’, zou bevaarbaar moeten zijn voor 1</w:t>
      </w:r>
      <w:r w:rsidR="00AA4E96">
        <w:rPr>
          <w:bCs/>
        </w:rPr>
        <w:t>.</w:t>
      </w:r>
      <w:r w:rsidR="008F082D">
        <w:rPr>
          <w:bCs/>
        </w:rPr>
        <w:t>200 à 1</w:t>
      </w:r>
      <w:r w:rsidR="00AA4E96">
        <w:rPr>
          <w:bCs/>
        </w:rPr>
        <w:t>.</w:t>
      </w:r>
      <w:r w:rsidR="008F082D">
        <w:rPr>
          <w:bCs/>
        </w:rPr>
        <w:t>500-tons vaartuigen, met uitbreidingsmogelijkheden naar 2</w:t>
      </w:r>
      <w:r w:rsidR="00AA4E96">
        <w:rPr>
          <w:bCs/>
        </w:rPr>
        <w:t>.</w:t>
      </w:r>
      <w:r w:rsidR="008F082D">
        <w:rPr>
          <w:bCs/>
        </w:rPr>
        <w:t>000 ton. De laagste klasse was geschikt voor kleinschalig vervoer met 20 à 50-tons schepen.</w:t>
      </w:r>
      <w:r w:rsidR="00737BDD">
        <w:rPr>
          <w:rStyle w:val="EndnoteReference"/>
        </w:rPr>
        <w:endnoteReference w:id="102"/>
      </w:r>
      <w:bookmarkStart w:id="62" w:name="_Hlk161521406"/>
    </w:p>
    <w:p w14:paraId="7DCF0843" w14:textId="2EE1B7F8" w:rsidR="00100223" w:rsidRPr="002221A7" w:rsidRDefault="000739DE" w:rsidP="00DE08B1">
      <w:pPr>
        <w:jc w:val="left"/>
        <w:rPr>
          <w:rFonts w:ascii="Calibri" w:eastAsia="Times New Roman" w:hAnsi="Calibri" w:cs="Calibri"/>
          <w:color w:val="A66500"/>
          <w:szCs w:val="24"/>
          <w:shd w:val="clear" w:color="auto" w:fill="FFFFFF"/>
          <w:lang w:eastAsia="nl-NL"/>
        </w:rPr>
      </w:pPr>
      <w:r w:rsidRPr="00CB2696">
        <w:rPr>
          <w:rFonts w:ascii="Calibri" w:eastAsia="Times New Roman" w:hAnsi="Calibri" w:cs="Calibri"/>
          <w:color w:val="FF0000"/>
          <w:szCs w:val="24"/>
          <w:shd w:val="clear" w:color="auto" w:fill="FFFFFF"/>
          <w:lang w:eastAsia="nl-NL"/>
        </w:rPr>
        <w:t>@i@</w:t>
      </w:r>
      <w:r w:rsidRPr="00CB2696">
        <w:rPr>
          <w:rFonts w:eastAsia="Times New Roman" w:cs="Times New Roman"/>
          <w:color w:val="FF0000"/>
          <w:szCs w:val="24"/>
          <w:lang w:eastAsia="nl-NL"/>
        </w:rPr>
        <w:t>[[[</w:t>
      </w:r>
      <w:r w:rsidR="0081014A" w:rsidRPr="009A389E">
        <w:rPr>
          <w:rFonts w:ascii="Calibri" w:eastAsia="Times New Roman" w:hAnsi="Calibri" w:cs="Calibri"/>
          <w:color w:val="FF0000"/>
          <w:shd w:val="clear" w:color="auto" w:fill="FFFFFF"/>
          <w:lang w:eastAsia="nl-NL"/>
        </w:rPr>
        <w:t>6</w:t>
      </w:r>
      <w:r w:rsidR="00260377">
        <w:rPr>
          <w:rFonts w:ascii="Calibri" w:eastAsia="Times New Roman" w:hAnsi="Calibri" w:cs="Calibri"/>
          <w:color w:val="FF0000"/>
          <w:shd w:val="clear" w:color="auto" w:fill="FFFFFF"/>
          <w:lang w:eastAsia="nl-NL"/>
        </w:rPr>
        <w:t>2</w:t>
      </w:r>
      <w:r w:rsidR="0081014A" w:rsidRPr="009A389E">
        <w:rPr>
          <w:rFonts w:ascii="Calibri" w:eastAsia="Times New Roman" w:hAnsi="Calibri" w:cs="Calibri"/>
          <w:color w:val="FF0000"/>
          <w:shd w:val="clear" w:color="auto" w:fill="FFFFFF"/>
          <w:lang w:eastAsia="nl-NL"/>
        </w:rPr>
        <w:t>-47b_kaartzwartwit.jpg</w:t>
      </w:r>
      <w:r w:rsidRPr="00CB2696">
        <w:rPr>
          <w:rFonts w:cstheme="minorHAnsi"/>
          <w:color w:val="FF0000"/>
        </w:rPr>
        <w:t>]]]</w:t>
      </w:r>
      <w:r w:rsidRPr="00CB2696">
        <w:rPr>
          <w:rFonts w:ascii="Calibri" w:eastAsia="Times New Roman" w:hAnsi="Calibri" w:cs="Calibri"/>
          <w:color w:val="FF0000"/>
          <w:szCs w:val="24"/>
          <w:shd w:val="clear" w:color="auto" w:fill="FFFFFF"/>
          <w:lang w:eastAsia="nl-NL"/>
        </w:rPr>
        <w:t>@/i</w:t>
      </w:r>
      <w:r w:rsidRPr="005211BE">
        <w:rPr>
          <w:rFonts w:ascii="Calibri" w:eastAsia="Times New Roman" w:hAnsi="Calibri" w:cs="Calibri"/>
          <w:color w:val="FF0000"/>
          <w:szCs w:val="24"/>
          <w:shd w:val="clear" w:color="auto" w:fill="FFFFFF"/>
          <w:lang w:eastAsia="nl-NL"/>
        </w:rPr>
        <w:t>@</w:t>
      </w:r>
      <w:r w:rsidR="00EA0C87">
        <w:rPr>
          <w:rFonts w:ascii="Calibri" w:eastAsia="Times New Roman" w:hAnsi="Calibri" w:cs="Calibri"/>
          <w:color w:val="FF0000"/>
          <w:szCs w:val="24"/>
          <w:shd w:val="clear" w:color="auto" w:fill="FFFFFF"/>
          <w:lang w:eastAsia="nl-NL"/>
        </w:rPr>
        <w:t xml:space="preserve"> </w:t>
      </w:r>
      <w:bookmarkEnd w:id="62"/>
      <w:r w:rsidRPr="005526F9">
        <w:rPr>
          <w:color w:val="A66500"/>
        </w:rPr>
        <w:br/>
      </w:r>
      <w:r w:rsidR="00D57DEB">
        <w:rPr>
          <w:bCs/>
        </w:rPr>
        <w:t xml:space="preserve"> </w:t>
      </w:r>
      <w:r w:rsidR="00D57DEB">
        <w:rPr>
          <w:bCs/>
        </w:rPr>
        <w:tab/>
      </w:r>
      <w:r w:rsidR="00100223">
        <w:rPr>
          <w:bCs/>
        </w:rPr>
        <w:t xml:space="preserve">In het tweede rapport pleitte de </w:t>
      </w:r>
      <w:proofErr w:type="spellStart"/>
      <w:r w:rsidR="00100223">
        <w:rPr>
          <w:bCs/>
        </w:rPr>
        <w:t>Schutteva</w:t>
      </w:r>
      <w:r w:rsidR="005E4764" w:rsidRPr="00F43058">
        <w:rPr>
          <w:bCs/>
        </w:rPr>
        <w:t>ê</w:t>
      </w:r>
      <w:r w:rsidR="00100223">
        <w:rPr>
          <w:bCs/>
        </w:rPr>
        <w:t>r</w:t>
      </w:r>
      <w:proofErr w:type="spellEnd"/>
      <w:r w:rsidR="00100223">
        <w:rPr>
          <w:bCs/>
        </w:rPr>
        <w:t>-secretaris T.P. Keijzer ervoor om de belangrijkste internationale en nationale verbindingen, aangevuld met enige belangrijke regionale vaarwegen, op te nemen in een hoofdvaarwegennet, beheerd door het Rijk. Alle andere vaarwegen konden daarop dan aansluiten</w:t>
      </w:r>
      <w:r w:rsidR="00C9636B">
        <w:rPr>
          <w:i/>
          <w:iCs/>
        </w:rPr>
        <w:t>.</w:t>
      </w:r>
      <w:r w:rsidR="00863B45" w:rsidRPr="00863B45">
        <w:rPr>
          <w:bCs/>
        </w:rPr>
        <w:t xml:space="preserve"> </w:t>
      </w:r>
      <w:r w:rsidR="00863B45">
        <w:rPr>
          <w:bCs/>
        </w:rPr>
        <w:t>Hoofdvaarwegen moesten tolvrij zijn en moesten aan tevoren vastgestelde standaardmaten voldoen.</w:t>
      </w:r>
      <w:r w:rsidR="00C9636B" w:rsidRPr="002A60C0">
        <w:rPr>
          <w:rStyle w:val="EndnoteReference"/>
        </w:rPr>
        <w:endnoteReference w:id="103"/>
      </w:r>
      <w:r w:rsidR="00C9636B">
        <w:rPr>
          <w:i/>
          <w:iCs/>
        </w:rPr>
        <w:t xml:space="preserve"> </w:t>
      </w:r>
    </w:p>
    <w:p w14:paraId="2E18775F" w14:textId="3B515232" w:rsidR="005B5EBC" w:rsidRDefault="00D82B36" w:rsidP="00DE08B1">
      <w:pPr>
        <w:jc w:val="left"/>
      </w:pPr>
      <w:r>
        <w:br/>
      </w:r>
    </w:p>
    <w:p w14:paraId="6C81DED1" w14:textId="43B4DEA1" w:rsidR="00301222" w:rsidRPr="00324D17" w:rsidRDefault="00301222" w:rsidP="00D82B36">
      <w:pPr>
        <w:pStyle w:val="Heading2"/>
      </w:pPr>
      <w:r>
        <w:lastRenderedPageBreak/>
        <w:t>N</w:t>
      </w:r>
      <w:r w:rsidRPr="00324D17">
        <w:t>ormalisatie van de vaarwegen</w:t>
      </w:r>
    </w:p>
    <w:p w14:paraId="4D4DE5EC" w14:textId="5F1F3256" w:rsidR="00301222" w:rsidRDefault="00D82B36" w:rsidP="00DE08B1">
      <w:pPr>
        <w:jc w:val="left"/>
        <w:rPr>
          <w:bCs/>
        </w:rPr>
      </w:pPr>
      <w:r>
        <w:rPr>
          <w:bCs/>
        </w:rPr>
        <w:br/>
      </w:r>
      <w:r w:rsidR="00301222">
        <w:rPr>
          <w:bCs/>
        </w:rPr>
        <w:t>Ook bij de overheid bestond behoefte om de vaarwegafmetingen te standaardiseren. In 1932 kwam een commissie, bestaande uit vertegenwoordigers van het Rijk en de provincies Noord- en Zuid-Holland en Utrecht, met voorstellen voor de afmetingen van nieuwe sluizen en bruggen in het westen van het land. De Commissie verdeelde de vaarwegen in vijf klassen</w:t>
      </w:r>
      <w:r w:rsidR="00B56068">
        <w:rPr>
          <w:bCs/>
        </w:rPr>
        <w:t xml:space="preserve">, </w:t>
      </w:r>
      <w:r w:rsidR="00363B48">
        <w:rPr>
          <w:bCs/>
        </w:rPr>
        <w:t xml:space="preserve">afhankelijk van de afmetingen van nieuwgebouwde sleepschepen. </w:t>
      </w:r>
      <w:bookmarkStart w:id="63" w:name="_Hlk44067590"/>
      <w:r w:rsidR="00301222" w:rsidRPr="00324D17">
        <w:rPr>
          <w:bCs/>
        </w:rPr>
        <w:t>Vaarwegen van klasse I waren bevaarbaar voor Rijnschepen</w:t>
      </w:r>
      <w:r w:rsidR="00301222">
        <w:rPr>
          <w:bCs/>
        </w:rPr>
        <w:t xml:space="preserve">, met als ondergrens </w:t>
      </w:r>
      <w:r w:rsidR="00301222" w:rsidRPr="00324D17">
        <w:rPr>
          <w:bCs/>
        </w:rPr>
        <w:t>het Rijn-Hernekanaalschip met een laadvermogen van 1</w:t>
      </w:r>
      <w:r w:rsidR="0054456E">
        <w:rPr>
          <w:bCs/>
        </w:rPr>
        <w:t>.</w:t>
      </w:r>
      <w:r w:rsidR="00301222" w:rsidRPr="00324D17">
        <w:rPr>
          <w:bCs/>
        </w:rPr>
        <w:t>350 ton</w:t>
      </w:r>
      <w:r w:rsidR="00363B48">
        <w:rPr>
          <w:bCs/>
        </w:rPr>
        <w:t xml:space="preserve"> (18% van de </w:t>
      </w:r>
      <w:r w:rsidR="00301222">
        <w:rPr>
          <w:bCs/>
        </w:rPr>
        <w:t>nieuwgebouwde sleepschepen</w:t>
      </w:r>
      <w:r w:rsidR="00363B48">
        <w:rPr>
          <w:bCs/>
        </w:rPr>
        <w:t>).</w:t>
      </w:r>
      <w:r w:rsidR="00301222">
        <w:rPr>
          <w:bCs/>
        </w:rPr>
        <w:t xml:space="preserve"> </w:t>
      </w:r>
      <w:r w:rsidR="00301222" w:rsidRPr="00324D17">
        <w:rPr>
          <w:bCs/>
        </w:rPr>
        <w:t>Klasse II was toegankelijk voor Dortmund-Eemskanaalsch</w:t>
      </w:r>
      <w:r w:rsidR="00301222">
        <w:rPr>
          <w:bCs/>
        </w:rPr>
        <w:t xml:space="preserve">epen (37% van de nieuwgebouwde </w:t>
      </w:r>
      <w:r w:rsidR="00301222" w:rsidRPr="00324D17">
        <w:rPr>
          <w:bCs/>
        </w:rPr>
        <w:t>sleepschepen</w:t>
      </w:r>
      <w:r w:rsidR="00301222">
        <w:rPr>
          <w:bCs/>
        </w:rPr>
        <w:t xml:space="preserve">), </w:t>
      </w:r>
      <w:bookmarkEnd w:id="63"/>
      <w:r w:rsidR="00301222">
        <w:rPr>
          <w:bCs/>
        </w:rPr>
        <w:t>k</w:t>
      </w:r>
      <w:r w:rsidR="00301222" w:rsidRPr="00324D17">
        <w:rPr>
          <w:bCs/>
        </w:rPr>
        <w:t>lasse III voor Kempenaars</w:t>
      </w:r>
      <w:r w:rsidR="00301222">
        <w:rPr>
          <w:bCs/>
        </w:rPr>
        <w:t xml:space="preserve"> (</w:t>
      </w:r>
      <w:r w:rsidR="00301222" w:rsidRPr="00324D17">
        <w:rPr>
          <w:bCs/>
        </w:rPr>
        <w:t>20% van de nieuwgebouwde sleepschepen</w:t>
      </w:r>
      <w:r w:rsidR="00301222">
        <w:rPr>
          <w:bCs/>
        </w:rPr>
        <w:t xml:space="preserve">) en klasse IV </w:t>
      </w:r>
      <w:r w:rsidR="00301222" w:rsidRPr="00324D17">
        <w:rPr>
          <w:bCs/>
        </w:rPr>
        <w:t>voor motorspitsen</w:t>
      </w:r>
      <w:r w:rsidR="00301222">
        <w:rPr>
          <w:bCs/>
        </w:rPr>
        <w:t>. Deze laatste klasse sloot goed aan bij de afmetingen van veel vaarwegen in de noordelijke provincies. Daarnaast kwam nog een klasse V voor 40 à 80-tons schepen, hoewel veel experts van mening waren dat die geleidelijk zouden verdwijnen. Definitieve besluiten over de standaardisering werden pas na de Tweede Wer</w:t>
      </w:r>
      <w:r w:rsidR="0054456E">
        <w:rPr>
          <w:bCs/>
        </w:rPr>
        <w:t>eldoorlog genomen.</w:t>
      </w:r>
      <w:r w:rsidR="0054456E" w:rsidRPr="0054456E">
        <w:rPr>
          <w:rStyle w:val="EndnoteReference"/>
        </w:rPr>
        <w:endnoteReference w:id="104"/>
      </w:r>
    </w:p>
    <w:p w14:paraId="089E08F1" w14:textId="621B829F" w:rsidR="00301222" w:rsidRDefault="00301222" w:rsidP="00DE08B1">
      <w:pPr>
        <w:jc w:val="left"/>
        <w:rPr>
          <w:bCs/>
        </w:rPr>
      </w:pPr>
    </w:p>
    <w:p w14:paraId="546F07AB" w14:textId="77777777" w:rsidR="00F22E2A" w:rsidRDefault="00F22E2A" w:rsidP="00DE08B1">
      <w:pPr>
        <w:jc w:val="left"/>
        <w:rPr>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9"/>
        <w:gridCol w:w="1947"/>
        <w:gridCol w:w="1161"/>
        <w:gridCol w:w="1004"/>
        <w:gridCol w:w="998"/>
        <w:gridCol w:w="989"/>
        <w:gridCol w:w="983"/>
        <w:gridCol w:w="981"/>
      </w:tblGrid>
      <w:tr w:rsidR="00174991" w:rsidRPr="00324D17" w14:paraId="2E3E58D4" w14:textId="77777777" w:rsidTr="00301222">
        <w:trPr>
          <w:trHeight w:hRule="exact" w:val="567"/>
        </w:trPr>
        <w:tc>
          <w:tcPr>
            <w:tcW w:w="1002" w:type="dxa"/>
            <w:vMerge w:val="restart"/>
          </w:tcPr>
          <w:p w14:paraId="0ACB935E" w14:textId="77777777" w:rsidR="00301222" w:rsidRPr="00730E00" w:rsidRDefault="00301222" w:rsidP="00DE08B1">
            <w:pPr>
              <w:jc w:val="left"/>
              <w:rPr>
                <w:b/>
                <w:bCs/>
                <w:sz w:val="20"/>
                <w:szCs w:val="20"/>
              </w:rPr>
            </w:pPr>
            <w:r w:rsidRPr="00730E00">
              <w:rPr>
                <w:b/>
                <w:bCs/>
                <w:sz w:val="20"/>
                <w:szCs w:val="20"/>
              </w:rPr>
              <w:t>Klasse</w:t>
            </w:r>
          </w:p>
        </w:tc>
        <w:tc>
          <w:tcPr>
            <w:tcW w:w="1954" w:type="dxa"/>
            <w:vMerge w:val="restart"/>
          </w:tcPr>
          <w:p w14:paraId="3EE12888" w14:textId="77777777" w:rsidR="00301222" w:rsidRPr="00730E00" w:rsidRDefault="00301222" w:rsidP="00777DBA">
            <w:pPr>
              <w:pStyle w:val="tabelKop"/>
              <w:rPr>
                <w:sz w:val="18"/>
                <w:szCs w:val="18"/>
              </w:rPr>
            </w:pPr>
            <w:r w:rsidRPr="00730E00">
              <w:t xml:space="preserve">Laadvermogen      </w:t>
            </w:r>
            <w:r w:rsidRPr="00730E00">
              <w:rPr>
                <w:sz w:val="18"/>
                <w:szCs w:val="18"/>
              </w:rPr>
              <w:t>(ton)</w:t>
            </w:r>
          </w:p>
        </w:tc>
        <w:tc>
          <w:tcPr>
            <w:tcW w:w="3143" w:type="dxa"/>
            <w:gridSpan w:val="3"/>
            <w:tcBorders>
              <w:bottom w:val="nil"/>
            </w:tcBorders>
          </w:tcPr>
          <w:p w14:paraId="5EDCC9C3" w14:textId="77777777" w:rsidR="00301222" w:rsidRPr="00730E00" w:rsidRDefault="00301222" w:rsidP="00777DBA">
            <w:pPr>
              <w:pStyle w:val="tabelKop"/>
            </w:pPr>
            <w:r w:rsidRPr="00730E00">
              <w:t>Sluizen</w:t>
            </w:r>
          </w:p>
        </w:tc>
        <w:tc>
          <w:tcPr>
            <w:tcW w:w="2963" w:type="dxa"/>
            <w:gridSpan w:val="3"/>
            <w:tcBorders>
              <w:bottom w:val="nil"/>
            </w:tcBorders>
          </w:tcPr>
          <w:p w14:paraId="57352E4E" w14:textId="77777777" w:rsidR="00301222" w:rsidRPr="00730E00" w:rsidRDefault="00301222" w:rsidP="00DE08B1">
            <w:pPr>
              <w:jc w:val="left"/>
              <w:rPr>
                <w:b/>
                <w:bCs/>
                <w:sz w:val="20"/>
                <w:szCs w:val="20"/>
              </w:rPr>
            </w:pPr>
            <w:r w:rsidRPr="00730E00">
              <w:rPr>
                <w:b/>
                <w:bCs/>
                <w:sz w:val="20"/>
                <w:szCs w:val="20"/>
              </w:rPr>
              <w:t>Bruggen</w:t>
            </w:r>
          </w:p>
        </w:tc>
      </w:tr>
      <w:tr w:rsidR="00174991" w:rsidRPr="00324D17" w14:paraId="1B652BF4" w14:textId="77777777" w:rsidTr="00301222">
        <w:tc>
          <w:tcPr>
            <w:tcW w:w="1002" w:type="dxa"/>
            <w:vMerge/>
          </w:tcPr>
          <w:p w14:paraId="28E28579" w14:textId="77777777" w:rsidR="00301222" w:rsidRPr="00324D17" w:rsidRDefault="00301222" w:rsidP="00DE08B1">
            <w:pPr>
              <w:jc w:val="left"/>
              <w:rPr>
                <w:bCs/>
                <w:sz w:val="20"/>
                <w:szCs w:val="20"/>
              </w:rPr>
            </w:pPr>
          </w:p>
        </w:tc>
        <w:tc>
          <w:tcPr>
            <w:tcW w:w="1954" w:type="dxa"/>
            <w:vMerge/>
          </w:tcPr>
          <w:p w14:paraId="15273F3D" w14:textId="77777777" w:rsidR="00301222" w:rsidRPr="00324D17" w:rsidRDefault="00301222" w:rsidP="00DE08B1">
            <w:pPr>
              <w:jc w:val="left"/>
              <w:rPr>
                <w:bCs/>
                <w:sz w:val="20"/>
                <w:szCs w:val="20"/>
              </w:rPr>
            </w:pPr>
          </w:p>
        </w:tc>
        <w:tc>
          <w:tcPr>
            <w:tcW w:w="1134" w:type="dxa"/>
            <w:vMerge w:val="restart"/>
          </w:tcPr>
          <w:p w14:paraId="1DB1B731" w14:textId="77777777" w:rsidR="00301222" w:rsidRPr="00324D17" w:rsidRDefault="00301222" w:rsidP="00DE08B1">
            <w:pPr>
              <w:jc w:val="left"/>
              <w:rPr>
                <w:bCs/>
                <w:sz w:val="18"/>
                <w:szCs w:val="18"/>
              </w:rPr>
            </w:pPr>
            <w:r w:rsidRPr="00324D17">
              <w:rPr>
                <w:bCs/>
                <w:sz w:val="20"/>
                <w:szCs w:val="20"/>
              </w:rPr>
              <w:t xml:space="preserve">Schutlengte </w:t>
            </w:r>
            <w:r w:rsidRPr="00324D17">
              <w:rPr>
                <w:bCs/>
                <w:sz w:val="18"/>
                <w:szCs w:val="18"/>
              </w:rPr>
              <w:t>(m)</w:t>
            </w:r>
          </w:p>
        </w:tc>
        <w:tc>
          <w:tcPr>
            <w:tcW w:w="1007" w:type="dxa"/>
            <w:vMerge w:val="restart"/>
          </w:tcPr>
          <w:p w14:paraId="45CD96D6" w14:textId="77777777" w:rsidR="00301222" w:rsidRPr="00324D17" w:rsidRDefault="00301222" w:rsidP="00DE08B1">
            <w:pPr>
              <w:jc w:val="left"/>
              <w:rPr>
                <w:bCs/>
                <w:sz w:val="18"/>
                <w:szCs w:val="18"/>
              </w:rPr>
            </w:pPr>
            <w:r w:rsidRPr="00324D17">
              <w:rPr>
                <w:bCs/>
                <w:sz w:val="20"/>
                <w:szCs w:val="20"/>
              </w:rPr>
              <w:t xml:space="preserve">Breedte </w:t>
            </w:r>
            <w:r w:rsidRPr="00324D17">
              <w:rPr>
                <w:bCs/>
                <w:sz w:val="18"/>
                <w:szCs w:val="18"/>
              </w:rPr>
              <w:t>(m)</w:t>
            </w:r>
          </w:p>
        </w:tc>
        <w:tc>
          <w:tcPr>
            <w:tcW w:w="1002" w:type="dxa"/>
            <w:vMerge w:val="restart"/>
          </w:tcPr>
          <w:p w14:paraId="7B2066E1" w14:textId="77777777" w:rsidR="00301222" w:rsidRPr="00324D17" w:rsidRDefault="00301222" w:rsidP="00DE08B1">
            <w:pPr>
              <w:jc w:val="left"/>
              <w:rPr>
                <w:bCs/>
                <w:sz w:val="18"/>
                <w:szCs w:val="18"/>
              </w:rPr>
            </w:pPr>
            <w:r w:rsidRPr="00324D17">
              <w:rPr>
                <w:bCs/>
                <w:sz w:val="20"/>
                <w:szCs w:val="20"/>
              </w:rPr>
              <w:t xml:space="preserve">Diepte </w:t>
            </w:r>
            <w:r w:rsidRPr="00324D17">
              <w:rPr>
                <w:bCs/>
                <w:sz w:val="18"/>
                <w:szCs w:val="18"/>
              </w:rPr>
              <w:t>(m)</w:t>
            </w:r>
          </w:p>
        </w:tc>
        <w:tc>
          <w:tcPr>
            <w:tcW w:w="993" w:type="dxa"/>
            <w:vMerge w:val="restart"/>
          </w:tcPr>
          <w:p w14:paraId="52289678" w14:textId="5C397F4F" w:rsidR="00174991" w:rsidRDefault="00301222" w:rsidP="00DE08B1">
            <w:pPr>
              <w:jc w:val="left"/>
              <w:rPr>
                <w:bCs/>
                <w:sz w:val="20"/>
                <w:szCs w:val="20"/>
              </w:rPr>
            </w:pPr>
            <w:r w:rsidRPr="00324D17">
              <w:rPr>
                <w:bCs/>
                <w:sz w:val="20"/>
                <w:szCs w:val="20"/>
              </w:rPr>
              <w:t>Wijdte</w:t>
            </w:r>
          </w:p>
          <w:p w14:paraId="2517CF75" w14:textId="3D86A003" w:rsidR="00301222" w:rsidRPr="00324D17" w:rsidRDefault="00174991" w:rsidP="00DE08B1">
            <w:pPr>
              <w:jc w:val="left"/>
              <w:rPr>
                <w:bCs/>
                <w:sz w:val="18"/>
                <w:szCs w:val="18"/>
              </w:rPr>
            </w:pPr>
            <w:r>
              <w:rPr>
                <w:bCs/>
                <w:sz w:val="20"/>
                <w:szCs w:val="20"/>
              </w:rPr>
              <w:t>(</w:t>
            </w:r>
            <w:r w:rsidR="00301222" w:rsidRPr="00324D17">
              <w:rPr>
                <w:bCs/>
                <w:sz w:val="18"/>
                <w:szCs w:val="18"/>
              </w:rPr>
              <w:t>m)</w:t>
            </w:r>
          </w:p>
        </w:tc>
        <w:tc>
          <w:tcPr>
            <w:tcW w:w="1970" w:type="dxa"/>
            <w:gridSpan w:val="2"/>
            <w:tcBorders>
              <w:bottom w:val="nil"/>
            </w:tcBorders>
          </w:tcPr>
          <w:p w14:paraId="1D7E8FF3" w14:textId="77777777" w:rsidR="00301222" w:rsidRPr="00324D17" w:rsidRDefault="00301222" w:rsidP="00DE08B1">
            <w:pPr>
              <w:jc w:val="left"/>
              <w:rPr>
                <w:bCs/>
                <w:sz w:val="18"/>
                <w:szCs w:val="18"/>
              </w:rPr>
            </w:pPr>
            <w:r w:rsidRPr="00324D17">
              <w:rPr>
                <w:bCs/>
                <w:sz w:val="20"/>
                <w:szCs w:val="20"/>
              </w:rPr>
              <w:t xml:space="preserve">Doorvaarthoogte vaste bruggen         </w:t>
            </w:r>
            <w:r w:rsidRPr="00324D17">
              <w:rPr>
                <w:bCs/>
                <w:sz w:val="18"/>
                <w:szCs w:val="18"/>
              </w:rPr>
              <w:t>(m)</w:t>
            </w:r>
          </w:p>
        </w:tc>
      </w:tr>
      <w:tr w:rsidR="00174991" w:rsidRPr="00324D17" w14:paraId="2B22EB5D" w14:textId="77777777" w:rsidTr="00301222">
        <w:tc>
          <w:tcPr>
            <w:tcW w:w="1002" w:type="dxa"/>
            <w:vMerge/>
            <w:tcBorders>
              <w:bottom w:val="nil"/>
            </w:tcBorders>
          </w:tcPr>
          <w:p w14:paraId="1353FED8" w14:textId="77777777" w:rsidR="00301222" w:rsidRPr="00324D17" w:rsidRDefault="00301222" w:rsidP="00DE08B1">
            <w:pPr>
              <w:jc w:val="left"/>
              <w:rPr>
                <w:bCs/>
                <w:sz w:val="20"/>
                <w:szCs w:val="20"/>
              </w:rPr>
            </w:pPr>
          </w:p>
        </w:tc>
        <w:tc>
          <w:tcPr>
            <w:tcW w:w="1954" w:type="dxa"/>
            <w:vMerge/>
            <w:tcBorders>
              <w:bottom w:val="nil"/>
            </w:tcBorders>
          </w:tcPr>
          <w:p w14:paraId="186457B9" w14:textId="77777777" w:rsidR="00301222" w:rsidRPr="00324D17" w:rsidRDefault="00301222" w:rsidP="00DE08B1">
            <w:pPr>
              <w:jc w:val="left"/>
              <w:rPr>
                <w:bCs/>
                <w:sz w:val="20"/>
                <w:szCs w:val="20"/>
              </w:rPr>
            </w:pPr>
          </w:p>
        </w:tc>
        <w:tc>
          <w:tcPr>
            <w:tcW w:w="1134" w:type="dxa"/>
            <w:vMerge/>
            <w:tcBorders>
              <w:bottom w:val="nil"/>
            </w:tcBorders>
          </w:tcPr>
          <w:p w14:paraId="5C8610F9" w14:textId="77777777" w:rsidR="00301222" w:rsidRPr="00324D17" w:rsidRDefault="00301222" w:rsidP="00DE08B1">
            <w:pPr>
              <w:jc w:val="left"/>
              <w:rPr>
                <w:bCs/>
                <w:sz w:val="20"/>
                <w:szCs w:val="20"/>
              </w:rPr>
            </w:pPr>
          </w:p>
        </w:tc>
        <w:tc>
          <w:tcPr>
            <w:tcW w:w="1007" w:type="dxa"/>
            <w:vMerge/>
            <w:tcBorders>
              <w:bottom w:val="nil"/>
            </w:tcBorders>
          </w:tcPr>
          <w:p w14:paraId="1E460636" w14:textId="77777777" w:rsidR="00301222" w:rsidRPr="00324D17" w:rsidRDefault="00301222" w:rsidP="00DE08B1">
            <w:pPr>
              <w:jc w:val="left"/>
              <w:rPr>
                <w:bCs/>
                <w:sz w:val="20"/>
                <w:szCs w:val="20"/>
              </w:rPr>
            </w:pPr>
          </w:p>
        </w:tc>
        <w:tc>
          <w:tcPr>
            <w:tcW w:w="1002" w:type="dxa"/>
            <w:vMerge/>
            <w:tcBorders>
              <w:bottom w:val="nil"/>
            </w:tcBorders>
          </w:tcPr>
          <w:p w14:paraId="7F6912B7" w14:textId="77777777" w:rsidR="00301222" w:rsidRPr="00324D17" w:rsidRDefault="00301222" w:rsidP="00DE08B1">
            <w:pPr>
              <w:jc w:val="left"/>
              <w:rPr>
                <w:bCs/>
                <w:sz w:val="20"/>
                <w:szCs w:val="20"/>
              </w:rPr>
            </w:pPr>
          </w:p>
        </w:tc>
        <w:tc>
          <w:tcPr>
            <w:tcW w:w="993" w:type="dxa"/>
            <w:vMerge/>
            <w:tcBorders>
              <w:bottom w:val="nil"/>
            </w:tcBorders>
          </w:tcPr>
          <w:p w14:paraId="7CFFF328" w14:textId="77777777" w:rsidR="00301222" w:rsidRPr="00324D17" w:rsidRDefault="00301222" w:rsidP="00DE08B1">
            <w:pPr>
              <w:jc w:val="left"/>
              <w:rPr>
                <w:bCs/>
                <w:sz w:val="20"/>
                <w:szCs w:val="20"/>
              </w:rPr>
            </w:pPr>
          </w:p>
        </w:tc>
        <w:tc>
          <w:tcPr>
            <w:tcW w:w="985" w:type="dxa"/>
            <w:tcBorders>
              <w:bottom w:val="nil"/>
            </w:tcBorders>
          </w:tcPr>
          <w:p w14:paraId="02204F54" w14:textId="77777777" w:rsidR="00301222" w:rsidRPr="00324D17" w:rsidRDefault="00301222" w:rsidP="00DE08B1">
            <w:pPr>
              <w:jc w:val="left"/>
              <w:rPr>
                <w:bCs/>
                <w:sz w:val="20"/>
                <w:szCs w:val="20"/>
              </w:rPr>
            </w:pPr>
            <w:r w:rsidRPr="00324D17">
              <w:rPr>
                <w:bCs/>
                <w:sz w:val="20"/>
                <w:szCs w:val="20"/>
              </w:rPr>
              <w:t>A</w:t>
            </w:r>
          </w:p>
        </w:tc>
        <w:tc>
          <w:tcPr>
            <w:tcW w:w="985" w:type="dxa"/>
            <w:tcBorders>
              <w:bottom w:val="nil"/>
            </w:tcBorders>
          </w:tcPr>
          <w:p w14:paraId="2C8FFE7E" w14:textId="77777777" w:rsidR="00301222" w:rsidRPr="00324D17" w:rsidRDefault="00301222" w:rsidP="00DE08B1">
            <w:pPr>
              <w:jc w:val="left"/>
              <w:rPr>
                <w:bCs/>
                <w:sz w:val="20"/>
                <w:szCs w:val="20"/>
              </w:rPr>
            </w:pPr>
            <w:r w:rsidRPr="00324D17">
              <w:rPr>
                <w:bCs/>
                <w:sz w:val="20"/>
                <w:szCs w:val="20"/>
              </w:rPr>
              <w:t>B</w:t>
            </w:r>
          </w:p>
        </w:tc>
      </w:tr>
      <w:tr w:rsidR="00174991" w:rsidRPr="00324D17" w14:paraId="5F72C16E" w14:textId="77777777" w:rsidTr="00301222">
        <w:tc>
          <w:tcPr>
            <w:tcW w:w="1002" w:type="dxa"/>
            <w:tcBorders>
              <w:bottom w:val="nil"/>
            </w:tcBorders>
          </w:tcPr>
          <w:p w14:paraId="75AC131E" w14:textId="77777777" w:rsidR="00301222" w:rsidRPr="00324D17" w:rsidRDefault="00301222" w:rsidP="00DE08B1">
            <w:pPr>
              <w:jc w:val="left"/>
              <w:rPr>
                <w:bCs/>
                <w:sz w:val="20"/>
                <w:szCs w:val="20"/>
              </w:rPr>
            </w:pPr>
            <w:r w:rsidRPr="00324D17">
              <w:rPr>
                <w:bCs/>
                <w:sz w:val="20"/>
                <w:szCs w:val="20"/>
              </w:rPr>
              <w:t>I</w:t>
            </w:r>
          </w:p>
        </w:tc>
        <w:tc>
          <w:tcPr>
            <w:tcW w:w="1954" w:type="dxa"/>
            <w:tcBorders>
              <w:bottom w:val="nil"/>
            </w:tcBorders>
          </w:tcPr>
          <w:p w14:paraId="656658E9" w14:textId="0F03B9C2" w:rsidR="00301222" w:rsidRPr="00324D17" w:rsidRDefault="00301222" w:rsidP="00164149">
            <w:pPr>
              <w:pStyle w:val="tabelNummers"/>
            </w:pPr>
            <w:r w:rsidRPr="00324D17">
              <w:t>1</w:t>
            </w:r>
            <w:r w:rsidR="00730E00">
              <w:t>.</w:t>
            </w:r>
            <w:r w:rsidRPr="00324D17">
              <w:t>350-2</w:t>
            </w:r>
            <w:r w:rsidR="00730E00">
              <w:t>.</w:t>
            </w:r>
            <w:r w:rsidRPr="00324D17">
              <w:t>000</w:t>
            </w:r>
          </w:p>
        </w:tc>
        <w:tc>
          <w:tcPr>
            <w:tcW w:w="1134" w:type="dxa"/>
            <w:tcBorders>
              <w:bottom w:val="nil"/>
            </w:tcBorders>
          </w:tcPr>
          <w:p w14:paraId="226DDBF5" w14:textId="77777777" w:rsidR="00301222" w:rsidRPr="00324D17" w:rsidRDefault="00301222" w:rsidP="00164149">
            <w:pPr>
              <w:pStyle w:val="tabelNummers"/>
            </w:pPr>
            <w:r w:rsidRPr="00324D17">
              <w:t>120</w:t>
            </w:r>
          </w:p>
        </w:tc>
        <w:tc>
          <w:tcPr>
            <w:tcW w:w="1007" w:type="dxa"/>
            <w:tcBorders>
              <w:bottom w:val="nil"/>
            </w:tcBorders>
          </w:tcPr>
          <w:p w14:paraId="6B9BFC66" w14:textId="77777777" w:rsidR="00301222" w:rsidRPr="00324D17" w:rsidRDefault="00301222" w:rsidP="00777DBA">
            <w:pPr>
              <w:pStyle w:val="tabelNummers"/>
            </w:pPr>
            <w:r w:rsidRPr="00324D17">
              <w:t>12</w:t>
            </w:r>
          </w:p>
        </w:tc>
        <w:tc>
          <w:tcPr>
            <w:tcW w:w="1002" w:type="dxa"/>
            <w:tcBorders>
              <w:bottom w:val="nil"/>
            </w:tcBorders>
          </w:tcPr>
          <w:p w14:paraId="5A2ED04F" w14:textId="77777777" w:rsidR="00301222" w:rsidRPr="00324D17" w:rsidRDefault="00301222" w:rsidP="00777DBA">
            <w:pPr>
              <w:pStyle w:val="tabelNummers"/>
            </w:pPr>
            <w:r w:rsidRPr="00324D17">
              <w:t>3,20</w:t>
            </w:r>
          </w:p>
        </w:tc>
        <w:tc>
          <w:tcPr>
            <w:tcW w:w="993" w:type="dxa"/>
            <w:tcBorders>
              <w:bottom w:val="nil"/>
            </w:tcBorders>
          </w:tcPr>
          <w:p w14:paraId="50FA5F42" w14:textId="77777777" w:rsidR="00301222" w:rsidRPr="00324D17" w:rsidRDefault="00301222" w:rsidP="00777DBA">
            <w:pPr>
              <w:pStyle w:val="tabelNummers"/>
            </w:pPr>
            <w:r w:rsidRPr="00324D17">
              <w:t>14</w:t>
            </w:r>
          </w:p>
        </w:tc>
        <w:tc>
          <w:tcPr>
            <w:tcW w:w="985" w:type="dxa"/>
            <w:tcBorders>
              <w:bottom w:val="nil"/>
            </w:tcBorders>
          </w:tcPr>
          <w:p w14:paraId="30254AC8" w14:textId="77777777" w:rsidR="00301222" w:rsidRPr="00324D17" w:rsidRDefault="00301222" w:rsidP="00777DBA">
            <w:pPr>
              <w:pStyle w:val="tabelNummers"/>
            </w:pPr>
            <w:r w:rsidRPr="00324D17">
              <w:t>5,50</w:t>
            </w:r>
          </w:p>
        </w:tc>
        <w:tc>
          <w:tcPr>
            <w:tcW w:w="985" w:type="dxa"/>
            <w:tcBorders>
              <w:bottom w:val="nil"/>
            </w:tcBorders>
          </w:tcPr>
          <w:p w14:paraId="21B2B266" w14:textId="77777777" w:rsidR="00301222" w:rsidRPr="00324D17" w:rsidRDefault="00301222" w:rsidP="00777DBA">
            <w:pPr>
              <w:pStyle w:val="tabelNummers"/>
            </w:pPr>
            <w:r w:rsidRPr="00324D17">
              <w:t>7,0</w:t>
            </w:r>
          </w:p>
        </w:tc>
      </w:tr>
      <w:tr w:rsidR="00174991" w:rsidRPr="00324D17" w14:paraId="437466A9" w14:textId="77777777" w:rsidTr="00301222">
        <w:tc>
          <w:tcPr>
            <w:tcW w:w="1002" w:type="dxa"/>
            <w:tcBorders>
              <w:top w:val="nil"/>
              <w:bottom w:val="nil"/>
            </w:tcBorders>
          </w:tcPr>
          <w:p w14:paraId="507372A6" w14:textId="77777777" w:rsidR="00301222" w:rsidRPr="00324D17" w:rsidRDefault="00301222" w:rsidP="00DE08B1">
            <w:pPr>
              <w:jc w:val="left"/>
              <w:rPr>
                <w:bCs/>
                <w:sz w:val="20"/>
                <w:szCs w:val="20"/>
              </w:rPr>
            </w:pPr>
            <w:r w:rsidRPr="00324D17">
              <w:rPr>
                <w:bCs/>
                <w:sz w:val="20"/>
                <w:szCs w:val="20"/>
              </w:rPr>
              <w:t>II</w:t>
            </w:r>
          </w:p>
        </w:tc>
        <w:tc>
          <w:tcPr>
            <w:tcW w:w="1954" w:type="dxa"/>
            <w:tcBorders>
              <w:top w:val="nil"/>
              <w:bottom w:val="nil"/>
            </w:tcBorders>
          </w:tcPr>
          <w:p w14:paraId="78023466" w14:textId="760F2B39" w:rsidR="00301222" w:rsidRPr="00324D17" w:rsidRDefault="00301222" w:rsidP="00164149">
            <w:pPr>
              <w:pStyle w:val="tabelNummers"/>
            </w:pPr>
            <w:r w:rsidRPr="00324D17">
              <w:t>600-1</w:t>
            </w:r>
            <w:r w:rsidR="00730E00">
              <w:t>.</w:t>
            </w:r>
            <w:r w:rsidRPr="00324D17">
              <w:t>000</w:t>
            </w:r>
          </w:p>
        </w:tc>
        <w:tc>
          <w:tcPr>
            <w:tcW w:w="1134" w:type="dxa"/>
            <w:tcBorders>
              <w:top w:val="nil"/>
              <w:bottom w:val="nil"/>
            </w:tcBorders>
          </w:tcPr>
          <w:p w14:paraId="07A1350E" w14:textId="77777777" w:rsidR="00301222" w:rsidRPr="00324D17" w:rsidRDefault="00301222" w:rsidP="00164149">
            <w:pPr>
              <w:pStyle w:val="tabelNummers"/>
            </w:pPr>
            <w:r w:rsidRPr="00324D17">
              <w:t>90</w:t>
            </w:r>
          </w:p>
        </w:tc>
        <w:tc>
          <w:tcPr>
            <w:tcW w:w="1007" w:type="dxa"/>
            <w:tcBorders>
              <w:top w:val="nil"/>
              <w:bottom w:val="nil"/>
            </w:tcBorders>
          </w:tcPr>
          <w:p w14:paraId="4E7D0146" w14:textId="77777777" w:rsidR="00301222" w:rsidRPr="00324D17" w:rsidRDefault="00301222" w:rsidP="00777DBA">
            <w:pPr>
              <w:pStyle w:val="tabelNummers"/>
            </w:pPr>
            <w:r w:rsidRPr="00324D17">
              <w:t>9</w:t>
            </w:r>
          </w:p>
        </w:tc>
        <w:tc>
          <w:tcPr>
            <w:tcW w:w="1002" w:type="dxa"/>
            <w:tcBorders>
              <w:top w:val="nil"/>
              <w:bottom w:val="nil"/>
            </w:tcBorders>
          </w:tcPr>
          <w:p w14:paraId="2CA6B432" w14:textId="77777777" w:rsidR="00301222" w:rsidRPr="00324D17" w:rsidRDefault="00301222" w:rsidP="00777DBA">
            <w:pPr>
              <w:pStyle w:val="tabelNummers"/>
            </w:pPr>
            <w:r w:rsidRPr="00324D17">
              <w:t>2,80</w:t>
            </w:r>
          </w:p>
        </w:tc>
        <w:tc>
          <w:tcPr>
            <w:tcW w:w="993" w:type="dxa"/>
            <w:tcBorders>
              <w:top w:val="nil"/>
              <w:bottom w:val="nil"/>
            </w:tcBorders>
          </w:tcPr>
          <w:p w14:paraId="125BACDF" w14:textId="77777777" w:rsidR="00301222" w:rsidRPr="00324D17" w:rsidRDefault="00301222" w:rsidP="00777DBA">
            <w:pPr>
              <w:pStyle w:val="tabelNummers"/>
            </w:pPr>
            <w:r w:rsidRPr="00324D17">
              <w:t>10,50</w:t>
            </w:r>
          </w:p>
        </w:tc>
        <w:tc>
          <w:tcPr>
            <w:tcW w:w="985" w:type="dxa"/>
            <w:tcBorders>
              <w:top w:val="nil"/>
              <w:bottom w:val="nil"/>
            </w:tcBorders>
          </w:tcPr>
          <w:p w14:paraId="62039E28" w14:textId="77777777" w:rsidR="00301222" w:rsidRPr="00324D17" w:rsidRDefault="00301222" w:rsidP="00777DBA">
            <w:pPr>
              <w:pStyle w:val="tabelNummers"/>
            </w:pPr>
            <w:r w:rsidRPr="00324D17">
              <w:t>4,50</w:t>
            </w:r>
          </w:p>
        </w:tc>
        <w:tc>
          <w:tcPr>
            <w:tcW w:w="985" w:type="dxa"/>
            <w:tcBorders>
              <w:top w:val="nil"/>
              <w:bottom w:val="nil"/>
            </w:tcBorders>
          </w:tcPr>
          <w:p w14:paraId="3FD758BF" w14:textId="77777777" w:rsidR="00301222" w:rsidRPr="00324D17" w:rsidRDefault="00301222" w:rsidP="00777DBA">
            <w:pPr>
              <w:pStyle w:val="tabelNummers"/>
            </w:pPr>
            <w:r w:rsidRPr="00324D17">
              <w:t>5,50</w:t>
            </w:r>
          </w:p>
        </w:tc>
      </w:tr>
      <w:tr w:rsidR="00174991" w:rsidRPr="00324D17" w14:paraId="34226EF7" w14:textId="77777777" w:rsidTr="00301222">
        <w:tc>
          <w:tcPr>
            <w:tcW w:w="1002" w:type="dxa"/>
            <w:tcBorders>
              <w:top w:val="nil"/>
              <w:bottom w:val="nil"/>
            </w:tcBorders>
          </w:tcPr>
          <w:p w14:paraId="639341FA" w14:textId="77777777" w:rsidR="00301222" w:rsidRPr="00324D17" w:rsidRDefault="00301222" w:rsidP="00DE08B1">
            <w:pPr>
              <w:jc w:val="left"/>
              <w:rPr>
                <w:bCs/>
                <w:sz w:val="20"/>
                <w:szCs w:val="20"/>
              </w:rPr>
            </w:pPr>
            <w:r w:rsidRPr="00324D17">
              <w:rPr>
                <w:bCs/>
                <w:sz w:val="20"/>
                <w:szCs w:val="20"/>
              </w:rPr>
              <w:t>III</w:t>
            </w:r>
          </w:p>
        </w:tc>
        <w:tc>
          <w:tcPr>
            <w:tcW w:w="1954" w:type="dxa"/>
            <w:tcBorders>
              <w:top w:val="nil"/>
              <w:bottom w:val="nil"/>
            </w:tcBorders>
          </w:tcPr>
          <w:p w14:paraId="2356F2D5" w14:textId="77777777" w:rsidR="00301222" w:rsidRPr="00324D17" w:rsidRDefault="00301222" w:rsidP="00164149">
            <w:pPr>
              <w:pStyle w:val="tabelNummers"/>
            </w:pPr>
            <w:r w:rsidRPr="00324D17">
              <w:t>300-500</w:t>
            </w:r>
          </w:p>
        </w:tc>
        <w:tc>
          <w:tcPr>
            <w:tcW w:w="1134" w:type="dxa"/>
            <w:tcBorders>
              <w:top w:val="nil"/>
              <w:bottom w:val="nil"/>
            </w:tcBorders>
          </w:tcPr>
          <w:p w14:paraId="59AE9524" w14:textId="77777777" w:rsidR="00301222" w:rsidRPr="00324D17" w:rsidRDefault="00301222" w:rsidP="00164149">
            <w:pPr>
              <w:pStyle w:val="tabelNummers"/>
            </w:pPr>
            <w:r w:rsidRPr="00324D17">
              <w:t>55</w:t>
            </w:r>
          </w:p>
        </w:tc>
        <w:tc>
          <w:tcPr>
            <w:tcW w:w="1007" w:type="dxa"/>
            <w:tcBorders>
              <w:top w:val="nil"/>
              <w:bottom w:val="nil"/>
            </w:tcBorders>
          </w:tcPr>
          <w:p w14:paraId="199C7606" w14:textId="77777777" w:rsidR="00301222" w:rsidRPr="00324D17" w:rsidRDefault="00301222" w:rsidP="00777DBA">
            <w:pPr>
              <w:pStyle w:val="tabelNummers"/>
            </w:pPr>
            <w:r w:rsidRPr="00324D17">
              <w:t>7</w:t>
            </w:r>
          </w:p>
        </w:tc>
        <w:tc>
          <w:tcPr>
            <w:tcW w:w="1002" w:type="dxa"/>
            <w:tcBorders>
              <w:top w:val="nil"/>
              <w:bottom w:val="nil"/>
            </w:tcBorders>
          </w:tcPr>
          <w:p w14:paraId="226885E5" w14:textId="77777777" w:rsidR="00301222" w:rsidRPr="00324D17" w:rsidRDefault="00301222" w:rsidP="00777DBA">
            <w:pPr>
              <w:pStyle w:val="tabelNummers"/>
            </w:pPr>
            <w:r w:rsidRPr="00324D17">
              <w:t>2,50</w:t>
            </w:r>
          </w:p>
        </w:tc>
        <w:tc>
          <w:tcPr>
            <w:tcW w:w="993" w:type="dxa"/>
            <w:tcBorders>
              <w:top w:val="nil"/>
              <w:bottom w:val="nil"/>
            </w:tcBorders>
          </w:tcPr>
          <w:p w14:paraId="1EE56122" w14:textId="77777777" w:rsidR="00301222" w:rsidRPr="00324D17" w:rsidRDefault="00301222" w:rsidP="00777DBA">
            <w:pPr>
              <w:pStyle w:val="tabelNummers"/>
            </w:pPr>
            <w:r w:rsidRPr="00324D17">
              <w:t>8</w:t>
            </w:r>
          </w:p>
        </w:tc>
        <w:tc>
          <w:tcPr>
            <w:tcW w:w="985" w:type="dxa"/>
            <w:tcBorders>
              <w:top w:val="nil"/>
              <w:bottom w:val="nil"/>
            </w:tcBorders>
          </w:tcPr>
          <w:p w14:paraId="60CC1F01" w14:textId="77777777" w:rsidR="00301222" w:rsidRPr="00324D17" w:rsidRDefault="00301222" w:rsidP="00777DBA">
            <w:pPr>
              <w:pStyle w:val="tabelNummers"/>
            </w:pPr>
            <w:r w:rsidRPr="00324D17">
              <w:t>3,50</w:t>
            </w:r>
          </w:p>
        </w:tc>
        <w:tc>
          <w:tcPr>
            <w:tcW w:w="985" w:type="dxa"/>
            <w:tcBorders>
              <w:top w:val="nil"/>
              <w:bottom w:val="nil"/>
            </w:tcBorders>
          </w:tcPr>
          <w:p w14:paraId="11CE5869" w14:textId="77777777" w:rsidR="00301222" w:rsidRPr="00324D17" w:rsidRDefault="00301222" w:rsidP="00777DBA">
            <w:pPr>
              <w:pStyle w:val="tabelNummers"/>
            </w:pPr>
            <w:r w:rsidRPr="00324D17">
              <w:t>4,50</w:t>
            </w:r>
          </w:p>
        </w:tc>
      </w:tr>
      <w:tr w:rsidR="00174991" w:rsidRPr="00324D17" w14:paraId="5CAA9BE7" w14:textId="77777777" w:rsidTr="00301222">
        <w:tc>
          <w:tcPr>
            <w:tcW w:w="1002" w:type="dxa"/>
            <w:tcBorders>
              <w:top w:val="nil"/>
              <w:bottom w:val="nil"/>
            </w:tcBorders>
          </w:tcPr>
          <w:p w14:paraId="2807C3C3" w14:textId="77777777" w:rsidR="00301222" w:rsidRPr="00324D17" w:rsidRDefault="00301222" w:rsidP="00DE08B1">
            <w:pPr>
              <w:jc w:val="left"/>
              <w:rPr>
                <w:bCs/>
                <w:sz w:val="20"/>
                <w:szCs w:val="20"/>
              </w:rPr>
            </w:pPr>
            <w:r w:rsidRPr="00324D17">
              <w:rPr>
                <w:bCs/>
                <w:sz w:val="20"/>
                <w:szCs w:val="20"/>
              </w:rPr>
              <w:t>IV</w:t>
            </w:r>
          </w:p>
        </w:tc>
        <w:tc>
          <w:tcPr>
            <w:tcW w:w="1954" w:type="dxa"/>
            <w:tcBorders>
              <w:top w:val="nil"/>
              <w:bottom w:val="nil"/>
            </w:tcBorders>
          </w:tcPr>
          <w:p w14:paraId="4CEDD500" w14:textId="77777777" w:rsidR="00301222" w:rsidRPr="00324D17" w:rsidRDefault="00301222" w:rsidP="00164149">
            <w:pPr>
              <w:pStyle w:val="tabelNummers"/>
            </w:pPr>
            <w:r w:rsidRPr="00324D17">
              <w:t>100-200</w:t>
            </w:r>
          </w:p>
        </w:tc>
        <w:tc>
          <w:tcPr>
            <w:tcW w:w="1134" w:type="dxa"/>
            <w:tcBorders>
              <w:top w:val="nil"/>
              <w:bottom w:val="nil"/>
            </w:tcBorders>
          </w:tcPr>
          <w:p w14:paraId="5B112D93" w14:textId="77777777" w:rsidR="00301222" w:rsidRPr="00324D17" w:rsidRDefault="00301222" w:rsidP="00164149">
            <w:pPr>
              <w:pStyle w:val="tabelNummers"/>
            </w:pPr>
            <w:r w:rsidRPr="00324D17">
              <w:t>40</w:t>
            </w:r>
          </w:p>
        </w:tc>
        <w:tc>
          <w:tcPr>
            <w:tcW w:w="1007" w:type="dxa"/>
            <w:tcBorders>
              <w:top w:val="nil"/>
              <w:bottom w:val="nil"/>
            </w:tcBorders>
          </w:tcPr>
          <w:p w14:paraId="3D0E52AB" w14:textId="77777777" w:rsidR="00301222" w:rsidRPr="00324D17" w:rsidRDefault="00301222" w:rsidP="00777DBA">
            <w:pPr>
              <w:pStyle w:val="tabelNummers"/>
            </w:pPr>
            <w:r w:rsidRPr="00324D17">
              <w:t>6</w:t>
            </w:r>
          </w:p>
        </w:tc>
        <w:tc>
          <w:tcPr>
            <w:tcW w:w="1002" w:type="dxa"/>
            <w:tcBorders>
              <w:top w:val="nil"/>
              <w:bottom w:val="nil"/>
            </w:tcBorders>
          </w:tcPr>
          <w:p w14:paraId="69864408" w14:textId="77777777" w:rsidR="00301222" w:rsidRPr="00324D17" w:rsidRDefault="00301222" w:rsidP="00777DBA">
            <w:pPr>
              <w:pStyle w:val="tabelNummers"/>
            </w:pPr>
            <w:r w:rsidRPr="00324D17">
              <w:t>2,30</w:t>
            </w:r>
          </w:p>
        </w:tc>
        <w:tc>
          <w:tcPr>
            <w:tcW w:w="993" w:type="dxa"/>
            <w:tcBorders>
              <w:top w:val="nil"/>
              <w:bottom w:val="nil"/>
            </w:tcBorders>
          </w:tcPr>
          <w:p w14:paraId="5EECE5E8" w14:textId="77777777" w:rsidR="00301222" w:rsidRPr="00324D17" w:rsidRDefault="00301222" w:rsidP="00777DBA">
            <w:pPr>
              <w:pStyle w:val="tabelNummers"/>
            </w:pPr>
            <w:r w:rsidRPr="00324D17">
              <w:t>6,50</w:t>
            </w:r>
          </w:p>
        </w:tc>
        <w:tc>
          <w:tcPr>
            <w:tcW w:w="985" w:type="dxa"/>
            <w:tcBorders>
              <w:top w:val="nil"/>
              <w:bottom w:val="nil"/>
            </w:tcBorders>
          </w:tcPr>
          <w:p w14:paraId="413CF0EA" w14:textId="77777777" w:rsidR="00301222" w:rsidRPr="00324D17" w:rsidRDefault="00301222" w:rsidP="00777DBA">
            <w:pPr>
              <w:pStyle w:val="tabelNummers"/>
            </w:pPr>
            <w:r w:rsidRPr="00324D17">
              <w:t>2,50</w:t>
            </w:r>
          </w:p>
        </w:tc>
        <w:tc>
          <w:tcPr>
            <w:tcW w:w="985" w:type="dxa"/>
            <w:tcBorders>
              <w:top w:val="nil"/>
              <w:bottom w:val="nil"/>
            </w:tcBorders>
          </w:tcPr>
          <w:p w14:paraId="59F30F9B" w14:textId="77777777" w:rsidR="00301222" w:rsidRPr="00324D17" w:rsidRDefault="00301222" w:rsidP="00777DBA">
            <w:pPr>
              <w:pStyle w:val="tabelNummers"/>
            </w:pPr>
            <w:r w:rsidRPr="00324D17">
              <w:t>3,50</w:t>
            </w:r>
          </w:p>
        </w:tc>
      </w:tr>
      <w:tr w:rsidR="00174991" w:rsidRPr="00324D17" w14:paraId="1B9A01DE" w14:textId="77777777" w:rsidTr="00301222">
        <w:tc>
          <w:tcPr>
            <w:tcW w:w="1002" w:type="dxa"/>
            <w:tcBorders>
              <w:top w:val="nil"/>
            </w:tcBorders>
          </w:tcPr>
          <w:p w14:paraId="182BCAA8" w14:textId="77777777" w:rsidR="00301222" w:rsidRPr="00324D17" w:rsidRDefault="00301222" w:rsidP="00DE08B1">
            <w:pPr>
              <w:jc w:val="left"/>
              <w:rPr>
                <w:bCs/>
                <w:sz w:val="20"/>
                <w:szCs w:val="20"/>
              </w:rPr>
            </w:pPr>
            <w:r w:rsidRPr="00324D17">
              <w:rPr>
                <w:bCs/>
                <w:sz w:val="20"/>
                <w:szCs w:val="20"/>
              </w:rPr>
              <w:t>V</w:t>
            </w:r>
          </w:p>
        </w:tc>
        <w:tc>
          <w:tcPr>
            <w:tcW w:w="1954" w:type="dxa"/>
            <w:tcBorders>
              <w:top w:val="nil"/>
            </w:tcBorders>
          </w:tcPr>
          <w:p w14:paraId="630A4B6C" w14:textId="77777777" w:rsidR="00301222" w:rsidRPr="00324D17" w:rsidRDefault="00301222" w:rsidP="00164149">
            <w:pPr>
              <w:pStyle w:val="tabelNummers"/>
            </w:pPr>
            <w:r w:rsidRPr="00324D17">
              <w:t>40-80</w:t>
            </w:r>
          </w:p>
        </w:tc>
        <w:tc>
          <w:tcPr>
            <w:tcW w:w="1134" w:type="dxa"/>
            <w:tcBorders>
              <w:top w:val="nil"/>
            </w:tcBorders>
          </w:tcPr>
          <w:p w14:paraId="1CFC5783" w14:textId="77777777" w:rsidR="00301222" w:rsidRPr="00324D17" w:rsidRDefault="00301222" w:rsidP="00164149">
            <w:pPr>
              <w:pStyle w:val="tabelNummers"/>
            </w:pPr>
            <w:r w:rsidRPr="00324D17">
              <w:t>25</w:t>
            </w:r>
          </w:p>
        </w:tc>
        <w:tc>
          <w:tcPr>
            <w:tcW w:w="1007" w:type="dxa"/>
            <w:tcBorders>
              <w:top w:val="nil"/>
            </w:tcBorders>
          </w:tcPr>
          <w:p w14:paraId="17B5F7F0" w14:textId="77777777" w:rsidR="00301222" w:rsidRPr="00324D17" w:rsidRDefault="00301222" w:rsidP="00777DBA">
            <w:pPr>
              <w:pStyle w:val="tabelNummers"/>
            </w:pPr>
            <w:r w:rsidRPr="00324D17">
              <w:t>3</w:t>
            </w:r>
          </w:p>
        </w:tc>
        <w:tc>
          <w:tcPr>
            <w:tcW w:w="1002" w:type="dxa"/>
            <w:tcBorders>
              <w:top w:val="nil"/>
            </w:tcBorders>
          </w:tcPr>
          <w:p w14:paraId="3AF56045" w14:textId="77777777" w:rsidR="00301222" w:rsidRPr="00324D17" w:rsidRDefault="00301222" w:rsidP="00777DBA">
            <w:pPr>
              <w:pStyle w:val="tabelNummers"/>
            </w:pPr>
            <w:r w:rsidRPr="00324D17">
              <w:t>2,00</w:t>
            </w:r>
          </w:p>
        </w:tc>
        <w:tc>
          <w:tcPr>
            <w:tcW w:w="993" w:type="dxa"/>
            <w:tcBorders>
              <w:top w:val="nil"/>
            </w:tcBorders>
          </w:tcPr>
          <w:p w14:paraId="727B05BD" w14:textId="77777777" w:rsidR="00301222" w:rsidRPr="00324D17" w:rsidRDefault="00301222" w:rsidP="00777DBA">
            <w:pPr>
              <w:pStyle w:val="tabelNummers"/>
            </w:pPr>
            <w:r w:rsidRPr="00324D17">
              <w:t>5,50</w:t>
            </w:r>
          </w:p>
        </w:tc>
        <w:tc>
          <w:tcPr>
            <w:tcW w:w="985" w:type="dxa"/>
            <w:tcBorders>
              <w:top w:val="nil"/>
            </w:tcBorders>
          </w:tcPr>
          <w:p w14:paraId="74981938" w14:textId="77777777" w:rsidR="00301222" w:rsidRPr="00324D17" w:rsidRDefault="00301222" w:rsidP="00777DBA">
            <w:pPr>
              <w:pStyle w:val="tabelNummers"/>
            </w:pPr>
            <w:r w:rsidRPr="00324D17">
              <w:t>*</w:t>
            </w:r>
          </w:p>
        </w:tc>
        <w:tc>
          <w:tcPr>
            <w:tcW w:w="985" w:type="dxa"/>
            <w:tcBorders>
              <w:top w:val="nil"/>
            </w:tcBorders>
          </w:tcPr>
          <w:p w14:paraId="0A0C7966" w14:textId="77777777" w:rsidR="00301222" w:rsidRPr="00324D17" w:rsidRDefault="00301222" w:rsidP="00777DBA">
            <w:pPr>
              <w:pStyle w:val="tabelNummers"/>
            </w:pPr>
            <w:r w:rsidRPr="00324D17">
              <w:t>2,50</w:t>
            </w:r>
          </w:p>
        </w:tc>
      </w:tr>
    </w:tbl>
    <w:p w14:paraId="7E4663E2" w14:textId="70171102" w:rsidR="00301222" w:rsidRDefault="00301222" w:rsidP="00DE08B1">
      <w:pPr>
        <w:jc w:val="left"/>
        <w:rPr>
          <w:bCs/>
          <w:szCs w:val="24"/>
        </w:rPr>
      </w:pPr>
    </w:p>
    <w:p w14:paraId="732A7D1D" w14:textId="13100F14" w:rsidR="00301222" w:rsidRPr="00BA667B" w:rsidRDefault="007844A8" w:rsidP="00DE08B1">
      <w:pPr>
        <w:jc w:val="left"/>
        <w:rPr>
          <w:bCs/>
          <w:iCs/>
          <w:szCs w:val="24"/>
        </w:rPr>
      </w:pPr>
      <w:r w:rsidRPr="00E13102">
        <w:rPr>
          <w:bCs/>
          <w:i/>
          <w:iCs/>
          <w:szCs w:val="24"/>
        </w:rPr>
        <w:t xml:space="preserve">Tabel </w:t>
      </w:r>
      <w:r w:rsidR="00730E00" w:rsidRPr="00D319B0">
        <w:rPr>
          <w:bCs/>
          <w:i/>
          <w:iCs/>
          <w:szCs w:val="24"/>
        </w:rPr>
        <w:t>19</w:t>
      </w:r>
      <w:r w:rsidR="00D158EB" w:rsidRPr="00D319B0">
        <w:rPr>
          <w:bCs/>
          <w:szCs w:val="24"/>
        </w:rPr>
        <w:t>:</w:t>
      </w:r>
      <w:r w:rsidR="00301222" w:rsidRPr="00D319B0">
        <w:rPr>
          <w:bCs/>
          <w:szCs w:val="24"/>
        </w:rPr>
        <w:t xml:space="preserve"> </w:t>
      </w:r>
      <w:r w:rsidR="00301222" w:rsidRPr="000F466C">
        <w:rPr>
          <w:bCs/>
          <w:i/>
          <w:szCs w:val="24"/>
        </w:rPr>
        <w:t>Voorstel normalisatie vaarwegafmetingen 1932.</w:t>
      </w:r>
      <w:r w:rsidR="00B56068" w:rsidRPr="00E13102">
        <w:rPr>
          <w:rStyle w:val="EndnoteReference"/>
          <w:bCs/>
          <w:iCs/>
          <w:szCs w:val="24"/>
        </w:rPr>
        <w:endnoteReference w:id="105"/>
      </w:r>
      <w:r w:rsidR="003725C6">
        <w:rPr>
          <w:bCs/>
          <w:iCs/>
          <w:szCs w:val="24"/>
        </w:rPr>
        <w:br/>
      </w:r>
      <w:r w:rsidR="00301222" w:rsidRPr="00174991">
        <w:rPr>
          <w:bCs/>
          <w:sz w:val="20"/>
          <w:szCs w:val="20"/>
        </w:rPr>
        <w:t xml:space="preserve">A: Kanalen, waaraan </w:t>
      </w:r>
      <w:r w:rsidR="00A42483" w:rsidRPr="00174991">
        <w:rPr>
          <w:bCs/>
          <w:sz w:val="20"/>
          <w:szCs w:val="20"/>
        </w:rPr>
        <w:t>een open vaarweg parallel loopt;</w:t>
      </w:r>
      <w:r w:rsidR="0037120B">
        <w:rPr>
          <w:bCs/>
          <w:sz w:val="20"/>
          <w:szCs w:val="20"/>
        </w:rPr>
        <w:t xml:space="preserve"> </w:t>
      </w:r>
      <w:r w:rsidR="00301222" w:rsidRPr="00174991">
        <w:rPr>
          <w:bCs/>
          <w:sz w:val="20"/>
          <w:szCs w:val="20"/>
        </w:rPr>
        <w:t>B: Kanalen, waaraan geen open vaarweg paralle</w:t>
      </w:r>
      <w:r w:rsidR="00A42483" w:rsidRPr="00174991">
        <w:rPr>
          <w:bCs/>
          <w:sz w:val="20"/>
          <w:szCs w:val="20"/>
        </w:rPr>
        <w:t>l loopt;</w:t>
      </w:r>
      <w:r w:rsidR="00A42483" w:rsidRPr="00CA1E7D">
        <w:rPr>
          <w:bCs/>
          <w:sz w:val="20"/>
          <w:szCs w:val="20"/>
        </w:rPr>
        <w:t xml:space="preserve"> </w:t>
      </w:r>
      <w:r w:rsidR="00A42483" w:rsidRPr="00174991">
        <w:rPr>
          <w:bCs/>
          <w:sz w:val="20"/>
          <w:szCs w:val="20"/>
        </w:rPr>
        <w:t>*</w:t>
      </w:r>
      <w:r w:rsidR="00301222" w:rsidRPr="00174991">
        <w:rPr>
          <w:bCs/>
          <w:sz w:val="20"/>
          <w:szCs w:val="20"/>
        </w:rPr>
        <w:t xml:space="preserve"> Afhankelijk van de plaatselijke omstandigheden met een maximum van 2,50 m.</w:t>
      </w:r>
    </w:p>
    <w:p w14:paraId="407A5B16" w14:textId="30A8D88E" w:rsidR="00301222" w:rsidRDefault="00301222" w:rsidP="00DE08B1">
      <w:pPr>
        <w:jc w:val="left"/>
        <w:rPr>
          <w:bCs/>
        </w:rPr>
      </w:pPr>
    </w:p>
    <w:p w14:paraId="5888953A" w14:textId="77777777" w:rsidR="00924C8B" w:rsidRDefault="00924C8B" w:rsidP="00DE08B1">
      <w:pPr>
        <w:jc w:val="left"/>
        <w:rPr>
          <w:bCs/>
        </w:rPr>
      </w:pPr>
    </w:p>
    <w:p w14:paraId="5B6B025D" w14:textId="6DECB141" w:rsidR="00301222" w:rsidRPr="004A2C55" w:rsidRDefault="00301222" w:rsidP="004A2C55">
      <w:pPr>
        <w:pStyle w:val="Heading2"/>
      </w:pPr>
      <w:r w:rsidRPr="004A2C55">
        <w:rPr>
          <w:rStyle w:val="Heading3Char"/>
          <w:rFonts w:asciiTheme="majorHAnsi" w:hAnsiTheme="majorHAnsi"/>
          <w:b w:val="0"/>
          <w:color w:val="4472C4" w:themeColor="accent1"/>
          <w:sz w:val="26"/>
          <w:szCs w:val="26"/>
        </w:rPr>
        <w:t xml:space="preserve">Conflict met </w:t>
      </w:r>
      <w:r w:rsidRPr="004A2C55">
        <w:t>België</w:t>
      </w:r>
    </w:p>
    <w:p w14:paraId="50BA4AAF" w14:textId="77777777" w:rsidR="004F57BE" w:rsidRDefault="004F57BE" w:rsidP="00DE08B1">
      <w:pPr>
        <w:jc w:val="left"/>
      </w:pPr>
    </w:p>
    <w:p w14:paraId="16614A7C" w14:textId="69D2A2BE" w:rsidR="00CA7970" w:rsidRDefault="00301222" w:rsidP="00DE08B1">
      <w:pPr>
        <w:jc w:val="left"/>
      </w:pPr>
      <w:r>
        <w:t>De scheepvaartverbindingen van Antwerpen naar zee en via de Zeeuwse wateren naar de Rijn gaven in de negentiende eeuw voortdurend aanleiding tot wr</w:t>
      </w:r>
      <w:r w:rsidR="005A6818">
        <w:t>ijvingen met België.</w:t>
      </w:r>
      <w:r>
        <w:t xml:space="preserve"> Het Nederlands-Belgische scheidingsverdrag van 1839 garandeerde België op beide routes een vrije doorvaart, terwijl het loodswezen, de betonning en het onderhoud op de Westerschelde onder gemeenschappelijk toezicht stonden. Tussen 1863 en 1867 ontstond een ernstig conflict, toen Nederland voor de aanleg van een spoorweg </w:t>
      </w:r>
      <w:r w:rsidR="005B1C6B">
        <w:t xml:space="preserve">naar Zeeland </w:t>
      </w:r>
      <w:r>
        <w:t xml:space="preserve">het Kreekrak afdamde en als compensatie daarvoor het Kanaal door Zuid-Beveland bouwde. België </w:t>
      </w:r>
      <w:r>
        <w:lastRenderedPageBreak/>
        <w:t>beschouwde dit kanaal, vanwege de langere vaarroute, de begrensde afmetingen en de veelvuldige vertragingen bij de sluizen, niet als een volwaardige verbinding.</w:t>
      </w:r>
      <w:r w:rsidR="005A6818" w:rsidRPr="005A6818">
        <w:rPr>
          <w:rStyle w:val="EndnoteReference"/>
        </w:rPr>
        <w:endnoteReference w:id="106"/>
      </w:r>
    </w:p>
    <w:p w14:paraId="042008DD" w14:textId="26CA8879" w:rsidR="00924C8B" w:rsidRDefault="00301222" w:rsidP="004F57BE">
      <w:pPr>
        <w:ind w:firstLine="708"/>
        <w:jc w:val="left"/>
      </w:pPr>
      <w:r>
        <w:t xml:space="preserve">Het conflict escaleerde toen België, gesteund door de geallieerden, </w:t>
      </w:r>
      <w:r w:rsidR="00574A7A">
        <w:t xml:space="preserve">direct </w:t>
      </w:r>
      <w:r>
        <w:t>na de Eerste Wereldoorlog meer zeggenschap over de Westerschelde en een betere scheepvaartverbinding naar de Rijn eiste. Onder zware druk kwam in 1925 een ontwerpverdrag tot stand, waarbij de Westerschelde onder gemeenschappelijk Nederlands-Belgisch toezicht zou komen, terwijl België het recht kreeg om een kanaal door Noord-Brabant van Antwerpen naar Moerdijk te bouwen. Dit verdrag</w:t>
      </w:r>
      <w:r w:rsidR="00FE384A">
        <w:t>, dat de concurrentiepositie van Antwerpen ten opzichte van Rotterdam en Amsterdam zou versterken,</w:t>
      </w:r>
      <w:r>
        <w:t xml:space="preserve"> wekte in Nederland grote beroering. Voor- en tegenstanders stonden lijnrecht tegenover elkaar, Amsterdam en Rotterdam verzetten zich fel. De Tweede Kamer accepteerde het verdrag, de Eerste Kamer verwierp het in 1927 met grote meerderheid</w:t>
      </w:r>
      <w:r w:rsidR="00363B48">
        <w:t xml:space="preserve">, </w:t>
      </w:r>
      <w:r w:rsidR="00B54DC3">
        <w:t>waarna minister</w:t>
      </w:r>
      <w:r w:rsidR="005A0C37">
        <w:t xml:space="preserve"> van Buitenlandse Zaken</w:t>
      </w:r>
      <w:r w:rsidR="00FA6A59">
        <w:t xml:space="preserve"> jhr. mr. dr. H.</w:t>
      </w:r>
      <w:r w:rsidR="00B54DC3">
        <w:t xml:space="preserve">A. van </w:t>
      </w:r>
      <w:proofErr w:type="spellStart"/>
      <w:r w:rsidR="00B54DC3">
        <w:t>Karnebeek</w:t>
      </w:r>
      <w:proofErr w:type="spellEnd"/>
      <w:r w:rsidR="00B54DC3">
        <w:t xml:space="preserve"> aftrad.</w:t>
      </w:r>
      <w:r w:rsidR="004F57BE">
        <w:br/>
      </w:r>
      <w:r w:rsidR="004F57BE">
        <w:br/>
      </w:r>
      <w:r w:rsidR="00B54DC3">
        <w:t xml:space="preserve"> </w:t>
      </w:r>
      <w:r w:rsidR="00363B48">
        <w:t xml:space="preserve"> </w:t>
      </w:r>
    </w:p>
    <w:p w14:paraId="18F3B252" w14:textId="033E3265" w:rsidR="00FE384A" w:rsidRDefault="00FE384A" w:rsidP="00924C8B">
      <w:pPr>
        <w:pStyle w:val="Heading2"/>
      </w:pPr>
      <w:r>
        <w:t>Kleine vaarwegen</w:t>
      </w:r>
    </w:p>
    <w:p w14:paraId="5CD6D91D" w14:textId="77777777" w:rsidR="00924C8B" w:rsidRDefault="00924C8B" w:rsidP="00DE08B1">
      <w:pPr>
        <w:jc w:val="left"/>
      </w:pPr>
    </w:p>
    <w:p w14:paraId="580CB619" w14:textId="4B3CD3BC" w:rsidR="00FE384A" w:rsidRDefault="00FE384A" w:rsidP="00DE08B1">
      <w:pPr>
        <w:jc w:val="left"/>
        <w:rPr>
          <w:bCs/>
        </w:rPr>
      </w:pPr>
      <w:r>
        <w:t xml:space="preserve">Kranten en scheepvaartcongressen in deze periode wezen voortdurend op tekortkomingen van de kleine vaarwegen. </w:t>
      </w:r>
      <w:r w:rsidR="006D6A15">
        <w:t>Vele</w:t>
      </w:r>
      <w:r w:rsidR="007844A8">
        <w:t xml:space="preserve"> </w:t>
      </w:r>
      <w:r>
        <w:rPr>
          <w:bCs/>
        </w:rPr>
        <w:t xml:space="preserve">waren </w:t>
      </w:r>
      <w:r w:rsidRPr="00671F2F">
        <w:rPr>
          <w:bCs/>
        </w:rPr>
        <w:t>te krap</w:t>
      </w:r>
      <w:r w:rsidR="00B54DC3">
        <w:rPr>
          <w:bCs/>
        </w:rPr>
        <w:t xml:space="preserve"> en de beheerders hadden geen geld om ze te verbeteren. </w:t>
      </w:r>
      <w:r>
        <w:rPr>
          <w:bCs/>
        </w:rPr>
        <w:t xml:space="preserve">Verder waren er </w:t>
      </w:r>
      <w:r w:rsidR="00180922">
        <w:rPr>
          <w:bCs/>
        </w:rPr>
        <w:t xml:space="preserve">een groot aantal </w:t>
      </w:r>
      <w:r>
        <w:rPr>
          <w:bCs/>
        </w:rPr>
        <w:t xml:space="preserve"> klachten, omdat vaarwegbeheerders – uit angst voor beschadiging van de kanaaloevers – de vaarmogelijkheden voor gemotoriseerde vaartuigen beperkten. </w:t>
      </w:r>
      <w:r w:rsidRPr="00B432E8">
        <w:rPr>
          <w:bCs/>
        </w:rPr>
        <w:t xml:space="preserve">Zo was </w:t>
      </w:r>
      <w:r>
        <w:rPr>
          <w:bCs/>
        </w:rPr>
        <w:t xml:space="preserve">motorgebruik </w:t>
      </w:r>
      <w:r w:rsidRPr="00B432E8">
        <w:rPr>
          <w:bCs/>
        </w:rPr>
        <w:t xml:space="preserve">op de </w:t>
      </w:r>
      <w:proofErr w:type="spellStart"/>
      <w:r w:rsidRPr="00B432E8">
        <w:rPr>
          <w:bCs/>
        </w:rPr>
        <w:t>Hoogeveense</w:t>
      </w:r>
      <w:proofErr w:type="spellEnd"/>
      <w:r w:rsidRPr="00B432E8">
        <w:rPr>
          <w:bCs/>
        </w:rPr>
        <w:t xml:space="preserve"> Vaart verboden</w:t>
      </w:r>
      <w:r>
        <w:rPr>
          <w:bCs/>
        </w:rPr>
        <w:t xml:space="preserve"> en </w:t>
      </w:r>
      <w:r w:rsidRPr="00B432E8">
        <w:rPr>
          <w:bCs/>
        </w:rPr>
        <w:t xml:space="preserve">op de Overijsselse kanalen alleen op schepen </w:t>
      </w:r>
      <w:r>
        <w:rPr>
          <w:bCs/>
        </w:rPr>
        <w:t xml:space="preserve">tot </w:t>
      </w:r>
      <w:r w:rsidRPr="00B432E8">
        <w:rPr>
          <w:bCs/>
        </w:rPr>
        <w:t xml:space="preserve">dertig ton toegestaan. </w:t>
      </w:r>
      <w:r w:rsidRPr="00B776FE">
        <w:rPr>
          <w:bCs/>
        </w:rPr>
        <w:t>In Friesland</w:t>
      </w:r>
      <w:r w:rsidR="00B776FE">
        <w:rPr>
          <w:bCs/>
        </w:rPr>
        <w:t xml:space="preserve"> moesten gemotoriseerde schepen op </w:t>
      </w:r>
      <w:r w:rsidR="00180922">
        <w:rPr>
          <w:bCs/>
        </w:rPr>
        <w:t>veel</w:t>
      </w:r>
      <w:r w:rsidR="004C493F">
        <w:rPr>
          <w:bCs/>
        </w:rPr>
        <w:t xml:space="preserve"> </w:t>
      </w:r>
      <w:r w:rsidR="00B776FE">
        <w:rPr>
          <w:bCs/>
        </w:rPr>
        <w:t xml:space="preserve">vaarwegen twee keer zoveel tol betalen als zeilschepen, terwijl stoomschepen op een aantal vaarwegen niet waren toegestaan. In Groningen mochten gemotoriseerde schepen op </w:t>
      </w:r>
      <w:r w:rsidR="00180922">
        <w:rPr>
          <w:bCs/>
        </w:rPr>
        <w:t xml:space="preserve">verschillende </w:t>
      </w:r>
      <w:r w:rsidR="00B776FE">
        <w:rPr>
          <w:bCs/>
        </w:rPr>
        <w:t>vaarwegen niet sneller dan 3 km/uur varen.</w:t>
      </w:r>
      <w:r>
        <w:rPr>
          <w:rStyle w:val="EndnoteReference"/>
          <w:bCs/>
        </w:rPr>
        <w:endnoteReference w:id="107"/>
      </w:r>
      <w:r>
        <w:rPr>
          <w:bCs/>
        </w:rPr>
        <w:t xml:space="preserve"> </w:t>
      </w:r>
    </w:p>
    <w:p w14:paraId="09B66138" w14:textId="08EAADA1" w:rsidR="006F5048" w:rsidRDefault="00574A7A" w:rsidP="00DE08B1">
      <w:pPr>
        <w:jc w:val="left"/>
        <w:rPr>
          <w:color w:val="A66500"/>
        </w:rPr>
      </w:pPr>
      <w:r>
        <w:rPr>
          <w:bCs/>
        </w:rPr>
        <w:t>D</w:t>
      </w:r>
      <w:r w:rsidR="00FE384A">
        <w:rPr>
          <w:bCs/>
        </w:rPr>
        <w:t xml:space="preserve">e </w:t>
      </w:r>
      <w:proofErr w:type="spellStart"/>
      <w:r w:rsidR="00FE384A">
        <w:rPr>
          <w:bCs/>
        </w:rPr>
        <w:t>rijksvaarwegen</w:t>
      </w:r>
      <w:proofErr w:type="spellEnd"/>
      <w:r w:rsidR="00FE384A">
        <w:rPr>
          <w:bCs/>
        </w:rPr>
        <w:t xml:space="preserve"> </w:t>
      </w:r>
      <w:r>
        <w:rPr>
          <w:bCs/>
        </w:rPr>
        <w:t xml:space="preserve">waren na </w:t>
      </w:r>
      <w:r w:rsidR="00FE384A">
        <w:rPr>
          <w:bCs/>
        </w:rPr>
        <w:t xml:space="preserve">1900 </w:t>
      </w:r>
      <w:r>
        <w:rPr>
          <w:bCs/>
        </w:rPr>
        <w:t xml:space="preserve">tolvrij. </w:t>
      </w:r>
      <w:r w:rsidR="00FE384A">
        <w:rPr>
          <w:bCs/>
        </w:rPr>
        <w:t xml:space="preserve">Op veel andere vaarwegen vormden hoge tolheffingen voor schippers en reders een bron van ergernis, temeer omdat de beheerders de tolinkomsten op veel plaatsen naast de scheepvaart ook voor andere doeleinden gebruikten. </w:t>
      </w:r>
      <w:r w:rsidR="00FE384A">
        <w:t xml:space="preserve">Zo </w:t>
      </w:r>
      <w:r w:rsidR="00FE384A" w:rsidRPr="00F346BD">
        <w:rPr>
          <w:bCs/>
        </w:rPr>
        <w:t xml:space="preserve">bracht de binnenvaart </w:t>
      </w:r>
      <w:r w:rsidR="00FE384A">
        <w:rPr>
          <w:bCs/>
        </w:rPr>
        <w:t xml:space="preserve">in Rotterdam </w:t>
      </w:r>
      <w:r w:rsidR="00FE384A" w:rsidRPr="00F346BD">
        <w:rPr>
          <w:bCs/>
        </w:rPr>
        <w:t>in het eerste kwartaal van 1925 achttien procent van de stedelijke belasting</w:t>
      </w:r>
      <w:r w:rsidR="00FE384A">
        <w:rPr>
          <w:bCs/>
        </w:rPr>
        <w:t xml:space="preserve">en </w:t>
      </w:r>
      <w:r w:rsidR="00FE384A" w:rsidRPr="00F346BD">
        <w:rPr>
          <w:bCs/>
        </w:rPr>
        <w:t>op.</w:t>
      </w:r>
      <w:r w:rsidR="00FE384A">
        <w:rPr>
          <w:bCs/>
        </w:rPr>
        <w:t xml:space="preserve"> Krappe afmetingen, hoge tolheffingen en gebrekkig onderhoud verzwakte</w:t>
      </w:r>
      <w:r w:rsidR="001D2E01">
        <w:rPr>
          <w:bCs/>
        </w:rPr>
        <w:t>n</w:t>
      </w:r>
      <w:r w:rsidR="00FE384A">
        <w:rPr>
          <w:bCs/>
        </w:rPr>
        <w:t xml:space="preserve"> op veel kleine vaarwegen de concurrentiepositie van de binnenvaart tegenover de vrachtauto, vooral in de drie noordelijke provincies.</w:t>
      </w:r>
      <w:r w:rsidR="00FE384A">
        <w:rPr>
          <w:rStyle w:val="EndnoteReference"/>
          <w:bCs/>
        </w:rPr>
        <w:endnoteReference w:id="108"/>
      </w:r>
    </w:p>
    <w:p w14:paraId="34F4454E" w14:textId="77777777" w:rsidR="006B4EDA" w:rsidRDefault="006B4EDA" w:rsidP="00DE08B1">
      <w:pPr>
        <w:jc w:val="left"/>
        <w:rPr>
          <w:bCs/>
        </w:rPr>
      </w:pPr>
    </w:p>
    <w:p w14:paraId="2E7B8380" w14:textId="77777777" w:rsidR="009D5307" w:rsidRDefault="009D5307" w:rsidP="00DE08B1">
      <w:pPr>
        <w:jc w:val="left"/>
        <w:rPr>
          <w:bCs/>
        </w:rPr>
      </w:pPr>
    </w:p>
    <w:p w14:paraId="4ACF4C7C" w14:textId="7F3394EF" w:rsidR="00766818" w:rsidRPr="005367F9" w:rsidRDefault="00766818" w:rsidP="006F5048">
      <w:pPr>
        <w:pStyle w:val="Heading2"/>
      </w:pPr>
      <w:r w:rsidRPr="005367F9">
        <w:t>Het vaarwegenbeleid van het Rijk</w:t>
      </w:r>
    </w:p>
    <w:p w14:paraId="7D9E9317" w14:textId="77777777" w:rsidR="006F5048" w:rsidRDefault="006F5048" w:rsidP="00577B54">
      <w:pPr>
        <w:jc w:val="left"/>
        <w:rPr>
          <w:bCs/>
        </w:rPr>
      </w:pPr>
    </w:p>
    <w:p w14:paraId="2A98EB1B" w14:textId="76897679" w:rsidR="00766818" w:rsidRPr="00C14107" w:rsidRDefault="00766818" w:rsidP="00577B54">
      <w:pPr>
        <w:jc w:val="left"/>
        <w:rPr>
          <w:bCs/>
          <w:highlight w:val="yellow"/>
        </w:rPr>
      </w:pPr>
      <w:r w:rsidRPr="00444C6B">
        <w:rPr>
          <w:bCs/>
        </w:rPr>
        <w:t xml:space="preserve">Hoewel de </w:t>
      </w:r>
      <w:r w:rsidR="006B7F18">
        <w:rPr>
          <w:bCs/>
        </w:rPr>
        <w:t>R</w:t>
      </w:r>
      <w:r w:rsidRPr="00444C6B">
        <w:rPr>
          <w:bCs/>
        </w:rPr>
        <w:t>ijksoverheid het vaarwegenbeleid niet formeel in een nota vastlegde, waren er toch een aantal uitgangspunten</w:t>
      </w:r>
      <w:r w:rsidR="006B3B1E" w:rsidRPr="00444C6B">
        <w:rPr>
          <w:bCs/>
        </w:rPr>
        <w:t xml:space="preserve"> die </w:t>
      </w:r>
      <w:r w:rsidR="006B7F18">
        <w:rPr>
          <w:bCs/>
        </w:rPr>
        <w:t>zij</w:t>
      </w:r>
      <w:r w:rsidRPr="00444C6B">
        <w:rPr>
          <w:bCs/>
        </w:rPr>
        <w:t xml:space="preserve"> vrij consequent hanteerde</w:t>
      </w:r>
      <w:r w:rsidR="009C1921" w:rsidRPr="00444C6B">
        <w:rPr>
          <w:bCs/>
        </w:rPr>
        <w:t>.</w:t>
      </w:r>
      <w:r w:rsidR="00577B54" w:rsidRPr="00444C6B">
        <w:rPr>
          <w:bCs/>
        </w:rPr>
        <w:t xml:space="preserve"> </w:t>
      </w:r>
      <w:r w:rsidR="0074017D" w:rsidRPr="00444C6B">
        <w:rPr>
          <w:bCs/>
        </w:rPr>
        <w:t xml:space="preserve">De </w:t>
      </w:r>
      <w:r w:rsidRPr="00444C6B">
        <w:rPr>
          <w:bCs/>
        </w:rPr>
        <w:t xml:space="preserve">eerste prioriteit </w:t>
      </w:r>
      <w:r w:rsidR="0074017D" w:rsidRPr="00444C6B">
        <w:rPr>
          <w:bCs/>
        </w:rPr>
        <w:t xml:space="preserve">was </w:t>
      </w:r>
      <w:r w:rsidRPr="00444C6B">
        <w:rPr>
          <w:bCs/>
        </w:rPr>
        <w:t>dat de Nederlandse energievoorziening onafhankelijk moest worden gemaakt van buitenlandse steenkolen. Daartoe moest Zuid-Limburg goed</w:t>
      </w:r>
      <w:r w:rsidR="004E7BBE" w:rsidRPr="00444C6B">
        <w:rPr>
          <w:bCs/>
        </w:rPr>
        <w:t>e</w:t>
      </w:r>
      <w:r w:rsidRPr="00444C6B">
        <w:rPr>
          <w:bCs/>
        </w:rPr>
        <w:t xml:space="preserve"> scheepvaartverbindingen</w:t>
      </w:r>
      <w:r w:rsidRPr="001437EC">
        <w:rPr>
          <w:bCs/>
        </w:rPr>
        <w:t xml:space="preserve"> met de rest van Nederland krijgen. Dit leidde tot de </w:t>
      </w:r>
      <w:r w:rsidRPr="004453B3">
        <w:rPr>
          <w:bCs/>
        </w:rPr>
        <w:t>aanleg van de Maasroute en het Kanaal Wessem-Nederweert.</w:t>
      </w:r>
      <w:r w:rsidR="00577B54">
        <w:rPr>
          <w:bCs/>
        </w:rPr>
        <w:t xml:space="preserve"> </w:t>
      </w:r>
      <w:r w:rsidRPr="00577B54">
        <w:rPr>
          <w:bCs/>
        </w:rPr>
        <w:t xml:space="preserve">De tweede doelstelling was dat de positie van Rotterdam en Amsterdam tegenover hun buitenlandse concurrenten moest worden versterkt. Dit leidde tot de aanleg van </w:t>
      </w:r>
      <w:r w:rsidRPr="00577B54">
        <w:rPr>
          <w:bCs/>
        </w:rPr>
        <w:lastRenderedPageBreak/>
        <w:t>het Amsterdam-Rijnkanaal en de verwerping van het traktaat met België.</w:t>
      </w:r>
      <w:r w:rsidR="00577B54">
        <w:rPr>
          <w:bCs/>
        </w:rPr>
        <w:t xml:space="preserve"> </w:t>
      </w:r>
      <w:r w:rsidRPr="00577B54">
        <w:rPr>
          <w:bCs/>
        </w:rPr>
        <w:t>De derde doelstelling was om alle landsdelen met goede vaarwegen te ontsluiten. Daartoe werden een groot aantal verbindingen, waaronder het Twentekanaal en de Fries-Groningse kanalen, aangelegd.</w:t>
      </w:r>
      <w:r w:rsidR="00577B54">
        <w:rPr>
          <w:bCs/>
        </w:rPr>
        <w:t xml:space="preserve"> </w:t>
      </w:r>
      <w:r w:rsidRPr="00577B54">
        <w:rPr>
          <w:bCs/>
        </w:rPr>
        <w:t xml:space="preserve">Een vierde stelregel was dat de </w:t>
      </w:r>
      <w:r w:rsidR="00B60055" w:rsidRPr="00577B54">
        <w:rPr>
          <w:bCs/>
        </w:rPr>
        <w:t xml:space="preserve">nieuwe </w:t>
      </w:r>
      <w:r w:rsidRPr="00577B54">
        <w:rPr>
          <w:bCs/>
        </w:rPr>
        <w:t>hoofdverbindingen grote afmetingen kregen. Nieuwe verbindingen waren steeds toegankelijk voor 1</w:t>
      </w:r>
      <w:r w:rsidR="00315A89">
        <w:rPr>
          <w:bCs/>
        </w:rPr>
        <w:t>.</w:t>
      </w:r>
      <w:r w:rsidRPr="00577B54">
        <w:rPr>
          <w:bCs/>
        </w:rPr>
        <w:t>000 à 2</w:t>
      </w:r>
      <w:r w:rsidR="00315A89">
        <w:rPr>
          <w:bCs/>
        </w:rPr>
        <w:t>.</w:t>
      </w:r>
      <w:r w:rsidRPr="00577B54">
        <w:rPr>
          <w:bCs/>
        </w:rPr>
        <w:t>000-tons schepen, terwijl uitbouw tot 2</w:t>
      </w:r>
      <w:r w:rsidR="00315A89">
        <w:rPr>
          <w:bCs/>
        </w:rPr>
        <w:t>.</w:t>
      </w:r>
      <w:r w:rsidRPr="00577B54">
        <w:rPr>
          <w:bCs/>
        </w:rPr>
        <w:t xml:space="preserve">000 ton gemakkelijk moest kunnen worden gerealiseerd. Een vijfde uitgangspunt was dat de hoofdverbindingen steeds door het Rijk werden aangelegd en beheerd. Alleen op de Fries-Groningse </w:t>
      </w:r>
      <w:r w:rsidRPr="00C14107">
        <w:rPr>
          <w:bCs/>
        </w:rPr>
        <w:t>hoofdverbindingen bleef het beheer in provinciale handen, hoewel het Rijk wel naar overname had gestreefd.</w:t>
      </w:r>
      <w:r w:rsidR="00577B54" w:rsidRPr="00C14107">
        <w:rPr>
          <w:bCs/>
        </w:rPr>
        <w:t xml:space="preserve"> </w:t>
      </w:r>
      <w:r w:rsidRPr="00C14107">
        <w:rPr>
          <w:bCs/>
        </w:rPr>
        <w:t>Een zesde stelregel was dat het Rijk bij de verbetering van de ho</w:t>
      </w:r>
      <w:r w:rsidR="00315A89" w:rsidRPr="00C14107">
        <w:rPr>
          <w:bCs/>
        </w:rPr>
        <w:t>ofdverbindingen meestal twee</w:t>
      </w:r>
      <w:r w:rsidR="00C14107" w:rsidRPr="00C14107">
        <w:rPr>
          <w:bCs/>
        </w:rPr>
        <w:t xml:space="preserve"> </w:t>
      </w:r>
      <w:r w:rsidRPr="00C14107">
        <w:rPr>
          <w:bCs/>
        </w:rPr>
        <w:t xml:space="preserve">derde van de </w:t>
      </w:r>
      <w:r w:rsidR="00315A89" w:rsidRPr="00C14107">
        <w:rPr>
          <w:bCs/>
        </w:rPr>
        <w:t>kosten betaalde en de regio een</w:t>
      </w:r>
      <w:r w:rsidR="00C14107" w:rsidRPr="00C14107">
        <w:rPr>
          <w:bCs/>
        </w:rPr>
        <w:t xml:space="preserve"> </w:t>
      </w:r>
      <w:r w:rsidRPr="00C14107">
        <w:rPr>
          <w:bCs/>
        </w:rPr>
        <w:t>derde. Bij de verbetering van belangrijke regionale verbindingen</w:t>
      </w:r>
      <w:r w:rsidRPr="00577B54">
        <w:rPr>
          <w:bCs/>
        </w:rPr>
        <w:t xml:space="preserve"> gold het omgekeerd</w:t>
      </w:r>
      <w:r w:rsidR="0074017D" w:rsidRPr="00577B54">
        <w:rPr>
          <w:bCs/>
        </w:rPr>
        <w:t>e</w:t>
      </w:r>
      <w:r w:rsidRPr="00577B54">
        <w:rPr>
          <w:bCs/>
        </w:rPr>
        <w:t>.</w:t>
      </w:r>
      <w:r w:rsidR="00577B54">
        <w:rPr>
          <w:bCs/>
        </w:rPr>
        <w:t xml:space="preserve"> </w:t>
      </w:r>
      <w:r w:rsidRPr="00577B54">
        <w:rPr>
          <w:bCs/>
        </w:rPr>
        <w:t xml:space="preserve">Een zevende stelregel was dat </w:t>
      </w:r>
      <w:proofErr w:type="spellStart"/>
      <w:r w:rsidRPr="00577B54">
        <w:rPr>
          <w:bCs/>
        </w:rPr>
        <w:t>rijksvaarwegen</w:t>
      </w:r>
      <w:proofErr w:type="spellEnd"/>
      <w:r w:rsidRPr="00577B54">
        <w:rPr>
          <w:bCs/>
        </w:rPr>
        <w:t xml:space="preserve"> tolvrij waren.</w:t>
      </w:r>
      <w:r w:rsidR="005367F9">
        <w:rPr>
          <w:rStyle w:val="EndnoteReference"/>
        </w:rPr>
        <w:endnoteReference w:id="109"/>
      </w:r>
    </w:p>
    <w:p w14:paraId="478021E1" w14:textId="5B119EE2" w:rsidR="00766818" w:rsidRPr="00F43058" w:rsidRDefault="00766818" w:rsidP="004E7BBE">
      <w:pPr>
        <w:ind w:firstLine="708"/>
        <w:jc w:val="left"/>
        <w:rPr>
          <w:bCs/>
        </w:rPr>
      </w:pPr>
      <w:r w:rsidRPr="00F43058">
        <w:rPr>
          <w:bCs/>
        </w:rPr>
        <w:t xml:space="preserve">Omdat het Rijk </w:t>
      </w:r>
      <w:r>
        <w:rPr>
          <w:bCs/>
        </w:rPr>
        <w:t xml:space="preserve">naast de hoofdverbindingen ook </w:t>
      </w:r>
      <w:r w:rsidRPr="00F43058">
        <w:rPr>
          <w:bCs/>
        </w:rPr>
        <w:t>kleine vaarwegen zoals de Drentse Hoofdvaart</w:t>
      </w:r>
      <w:r>
        <w:rPr>
          <w:bCs/>
        </w:rPr>
        <w:t xml:space="preserve"> en </w:t>
      </w:r>
      <w:r w:rsidRPr="00F43058">
        <w:rPr>
          <w:bCs/>
        </w:rPr>
        <w:t xml:space="preserve">de Vecht </w:t>
      </w:r>
      <w:r>
        <w:rPr>
          <w:bCs/>
        </w:rPr>
        <w:t>b</w:t>
      </w:r>
      <w:r w:rsidRPr="00F43058">
        <w:rPr>
          <w:bCs/>
        </w:rPr>
        <w:t xml:space="preserve">eheerde, bestond er onzekerheid over de vraag waar de rijkstaken nu eigenlijk ophielden. Vandaar dat in de Tweede Kamer en op de jaarvergaderingen van </w:t>
      </w:r>
      <w:proofErr w:type="spellStart"/>
      <w:r w:rsidRPr="00F43058">
        <w:rPr>
          <w:bCs/>
        </w:rPr>
        <w:t>Schuttevaêr</w:t>
      </w:r>
      <w:proofErr w:type="spellEnd"/>
      <w:r w:rsidRPr="00F43058">
        <w:rPr>
          <w:bCs/>
        </w:rPr>
        <w:t xml:space="preserve"> met enige regelmaat de vraag aan de orde kwam of het Rijk het beheer op gebrekkige vaarwegen zoals de Drentse kanalen of de Overijsselse kanalen kon overnemen</w:t>
      </w:r>
      <w:r>
        <w:rPr>
          <w:bCs/>
        </w:rPr>
        <w:t xml:space="preserve">. </w:t>
      </w:r>
      <w:r w:rsidRPr="00F43058">
        <w:rPr>
          <w:bCs/>
        </w:rPr>
        <w:t>De minister wees er dan</w:t>
      </w:r>
      <w:r>
        <w:rPr>
          <w:bCs/>
        </w:rPr>
        <w:t xml:space="preserve"> steevast</w:t>
      </w:r>
      <w:r w:rsidRPr="00F43058">
        <w:rPr>
          <w:bCs/>
        </w:rPr>
        <w:t xml:space="preserve"> op dat dit geen staatstaak was.</w:t>
      </w:r>
      <w:r w:rsidR="005E4764">
        <w:rPr>
          <w:bCs/>
        </w:rPr>
        <w:br/>
      </w:r>
    </w:p>
    <w:p w14:paraId="73DA8F1C" w14:textId="792FC886" w:rsidR="00100223" w:rsidRDefault="00100223" w:rsidP="00DE08B1">
      <w:pPr>
        <w:jc w:val="left"/>
      </w:pPr>
    </w:p>
    <w:p w14:paraId="392CA821" w14:textId="2B94BA16" w:rsidR="00766818" w:rsidRDefault="00DA5A20" w:rsidP="00DE08B1">
      <w:pPr>
        <w:pStyle w:val="Heading2"/>
        <w:jc w:val="left"/>
      </w:pPr>
      <w:r>
        <w:t>11</w:t>
      </w:r>
      <w:r w:rsidR="00766818">
        <w:t xml:space="preserve"> </w:t>
      </w:r>
      <w:r>
        <w:t>De vaarweg</w:t>
      </w:r>
      <w:r w:rsidR="00DD78CC">
        <w:t>en</w:t>
      </w:r>
      <w:r>
        <w:t xml:space="preserve"> na de Tweede Wereldoorlog</w:t>
      </w:r>
      <w:r w:rsidR="005E4764">
        <w:br/>
      </w:r>
    </w:p>
    <w:p w14:paraId="71F309AE" w14:textId="41FEA903" w:rsidR="00C135C1" w:rsidRDefault="00C135C1" w:rsidP="00DE08B1">
      <w:pPr>
        <w:jc w:val="left"/>
      </w:pPr>
      <w:r>
        <w:rPr>
          <w:bCs/>
        </w:rPr>
        <w:t xml:space="preserve">Het Nederlandse vaarwegennet </w:t>
      </w:r>
      <w:r w:rsidR="00A71EC3">
        <w:rPr>
          <w:bCs/>
        </w:rPr>
        <w:t>raakte in</w:t>
      </w:r>
      <w:r>
        <w:rPr>
          <w:bCs/>
        </w:rPr>
        <w:t xml:space="preserve"> de Tweede Wereldoorlog </w:t>
      </w:r>
      <w:r w:rsidR="00A71EC3">
        <w:rPr>
          <w:bCs/>
        </w:rPr>
        <w:t>zwaar gehavend</w:t>
      </w:r>
      <w:r>
        <w:rPr>
          <w:bCs/>
        </w:rPr>
        <w:t xml:space="preserve">. Opgeblazen en stukgeschoten bruggen, </w:t>
      </w:r>
      <w:r w:rsidR="00A82510">
        <w:rPr>
          <w:bCs/>
        </w:rPr>
        <w:t xml:space="preserve">defecte sluizen, mijnen en </w:t>
      </w:r>
      <w:r>
        <w:rPr>
          <w:bCs/>
        </w:rPr>
        <w:t>scheepswrakken versperden op veel plaatsen de doorvaart. De havens van Rotterdam en Amsterdam waren grotendeels verwoest. Vaarwegbeheerders, aannemers en de marine gingen onmiddellijk aan de slag om weer doorgaand verkeer mogelijk te maken.</w:t>
      </w:r>
      <w:r w:rsidRPr="00FD41E7">
        <w:rPr>
          <w:bCs/>
        </w:rPr>
        <w:t xml:space="preserve"> </w:t>
      </w:r>
      <w:r>
        <w:rPr>
          <w:bCs/>
        </w:rPr>
        <w:t xml:space="preserve">Eind 1945 waren alle hoofdroutes </w:t>
      </w:r>
      <w:r w:rsidR="008D5677">
        <w:rPr>
          <w:bCs/>
        </w:rPr>
        <w:t xml:space="preserve">opnieuw </w:t>
      </w:r>
      <w:r>
        <w:rPr>
          <w:bCs/>
        </w:rPr>
        <w:t>bevaarbaar, hoewel op veel plaatsen</w:t>
      </w:r>
      <w:r w:rsidR="00A93ACD">
        <w:rPr>
          <w:bCs/>
        </w:rPr>
        <w:t xml:space="preserve"> nog</w:t>
      </w:r>
      <w:r>
        <w:rPr>
          <w:bCs/>
        </w:rPr>
        <w:t xml:space="preserve"> met ernstige belemmeringen.</w:t>
      </w:r>
      <w:r>
        <w:rPr>
          <w:rStyle w:val="EndnoteReference"/>
          <w:bCs/>
        </w:rPr>
        <w:endnoteReference w:id="110"/>
      </w:r>
    </w:p>
    <w:p w14:paraId="5F55E653" w14:textId="09E6B815" w:rsidR="00C135C1" w:rsidRPr="0006445B" w:rsidRDefault="0067117C" w:rsidP="0067117C">
      <w:pPr>
        <w:jc w:val="left"/>
      </w:pPr>
      <w:r>
        <w:rPr>
          <w:bCs/>
        </w:rPr>
        <w:tab/>
      </w:r>
      <w:r w:rsidR="00C135C1">
        <w:rPr>
          <w:bCs/>
        </w:rPr>
        <w:t>In de naoorlogse uitbouw van het vaarwegennet kunnen drie fasen worden onderscheiden.</w:t>
      </w:r>
      <w:r>
        <w:rPr>
          <w:bCs/>
        </w:rPr>
        <w:t xml:space="preserve"> </w:t>
      </w:r>
      <w:r w:rsidR="00C135C1" w:rsidRPr="0067117C">
        <w:rPr>
          <w:bCs/>
        </w:rPr>
        <w:t xml:space="preserve">De eerste fase </w:t>
      </w:r>
      <w:r w:rsidR="008B2B9D" w:rsidRPr="0067117C">
        <w:rPr>
          <w:bCs/>
        </w:rPr>
        <w:t xml:space="preserve">was </w:t>
      </w:r>
      <w:r w:rsidR="008D5677" w:rsidRPr="0067117C">
        <w:rPr>
          <w:bCs/>
        </w:rPr>
        <w:t xml:space="preserve">één </w:t>
      </w:r>
      <w:r w:rsidR="00C135C1" w:rsidRPr="0067117C">
        <w:rPr>
          <w:bCs/>
        </w:rPr>
        <w:t xml:space="preserve">van grootschalige verbetering (1950-1979). In deze </w:t>
      </w:r>
      <w:r w:rsidR="00A07CAA" w:rsidRPr="0067117C">
        <w:rPr>
          <w:bCs/>
        </w:rPr>
        <w:t xml:space="preserve">periode </w:t>
      </w:r>
      <w:r w:rsidR="00C135C1" w:rsidRPr="0067117C">
        <w:rPr>
          <w:bCs/>
        </w:rPr>
        <w:t>bestond er vertrouwen in de toekomst van de binnenvaart</w:t>
      </w:r>
      <w:r w:rsidR="00A07CAA" w:rsidRPr="0067117C">
        <w:rPr>
          <w:bCs/>
        </w:rPr>
        <w:t xml:space="preserve"> en werd fors in </w:t>
      </w:r>
      <w:r w:rsidR="00575BA7" w:rsidRPr="0067117C">
        <w:rPr>
          <w:bCs/>
        </w:rPr>
        <w:t>het vaarwegennet g</w:t>
      </w:r>
      <w:r w:rsidR="00A07CAA" w:rsidRPr="0067117C">
        <w:rPr>
          <w:bCs/>
        </w:rPr>
        <w:t xml:space="preserve">eïnvesteerd. Nooit </w:t>
      </w:r>
      <w:r w:rsidR="00575BA7" w:rsidRPr="0067117C">
        <w:rPr>
          <w:bCs/>
        </w:rPr>
        <w:t>vonden in de vaarwegen m</w:t>
      </w:r>
      <w:r w:rsidR="00A07CAA" w:rsidRPr="0067117C">
        <w:rPr>
          <w:bCs/>
        </w:rPr>
        <w:t xml:space="preserve">eer </w:t>
      </w:r>
      <w:r w:rsidR="00575BA7" w:rsidRPr="0067117C">
        <w:rPr>
          <w:bCs/>
        </w:rPr>
        <w:t xml:space="preserve">veranderingen plaats </w:t>
      </w:r>
      <w:r w:rsidR="00A07CAA" w:rsidRPr="0067117C">
        <w:rPr>
          <w:bCs/>
        </w:rPr>
        <w:t xml:space="preserve">dan </w:t>
      </w:r>
      <w:r w:rsidR="008D5677" w:rsidRPr="0067117C">
        <w:rPr>
          <w:bCs/>
        </w:rPr>
        <w:t>in deze tijd</w:t>
      </w:r>
      <w:r w:rsidR="00A07CAA" w:rsidRPr="0067117C">
        <w:rPr>
          <w:bCs/>
        </w:rPr>
        <w:t xml:space="preserve">. </w:t>
      </w:r>
      <w:r w:rsidR="00C135C1" w:rsidRPr="0067117C">
        <w:rPr>
          <w:bCs/>
        </w:rPr>
        <w:t xml:space="preserve">De tweede fase was </w:t>
      </w:r>
      <w:r w:rsidR="008D5677" w:rsidRPr="0067117C">
        <w:rPr>
          <w:bCs/>
        </w:rPr>
        <w:t xml:space="preserve">één </w:t>
      </w:r>
      <w:r w:rsidR="00C135C1" w:rsidRPr="0067117C">
        <w:rPr>
          <w:bCs/>
        </w:rPr>
        <w:t>van malaise (1979-19</w:t>
      </w:r>
      <w:r w:rsidR="003D757B" w:rsidRPr="0067117C">
        <w:rPr>
          <w:bCs/>
        </w:rPr>
        <w:t>90</w:t>
      </w:r>
      <w:r w:rsidR="00C135C1" w:rsidRPr="0067117C">
        <w:rPr>
          <w:bCs/>
        </w:rPr>
        <w:t xml:space="preserve">). </w:t>
      </w:r>
      <w:r w:rsidR="00575BA7" w:rsidRPr="0067117C">
        <w:rPr>
          <w:bCs/>
        </w:rPr>
        <w:t xml:space="preserve">De </w:t>
      </w:r>
      <w:r w:rsidR="00C135C1" w:rsidRPr="0067117C">
        <w:rPr>
          <w:bCs/>
        </w:rPr>
        <w:t xml:space="preserve">Nederlandse economie </w:t>
      </w:r>
      <w:r w:rsidR="00575BA7" w:rsidRPr="0067117C">
        <w:rPr>
          <w:bCs/>
        </w:rPr>
        <w:t xml:space="preserve">verkeerde </w:t>
      </w:r>
      <w:r w:rsidR="00C135C1" w:rsidRPr="0067117C">
        <w:rPr>
          <w:bCs/>
        </w:rPr>
        <w:t>in een depressie</w:t>
      </w:r>
      <w:r w:rsidR="00575BA7" w:rsidRPr="0067117C">
        <w:rPr>
          <w:bCs/>
        </w:rPr>
        <w:t xml:space="preserve">, de </w:t>
      </w:r>
      <w:r w:rsidR="00C135C1" w:rsidRPr="0067117C">
        <w:rPr>
          <w:bCs/>
        </w:rPr>
        <w:t>Staat moest ingrijpend bezuinigen</w:t>
      </w:r>
      <w:r w:rsidR="00575BA7" w:rsidRPr="0067117C">
        <w:rPr>
          <w:bCs/>
        </w:rPr>
        <w:t xml:space="preserve">, </w:t>
      </w:r>
      <w:r w:rsidR="00C135C1" w:rsidRPr="0067117C">
        <w:rPr>
          <w:bCs/>
        </w:rPr>
        <w:t>de Deltawerken kostten veel meer dan oorspronkelijk gepland</w:t>
      </w:r>
      <w:r w:rsidR="00575BA7" w:rsidRPr="0067117C">
        <w:rPr>
          <w:bCs/>
        </w:rPr>
        <w:t xml:space="preserve">, de </w:t>
      </w:r>
      <w:r w:rsidR="00C135C1" w:rsidRPr="0067117C">
        <w:rPr>
          <w:bCs/>
        </w:rPr>
        <w:t xml:space="preserve">vrachtauto </w:t>
      </w:r>
      <w:r w:rsidR="00575BA7" w:rsidRPr="0067117C">
        <w:rPr>
          <w:bCs/>
        </w:rPr>
        <w:t xml:space="preserve">had </w:t>
      </w:r>
      <w:r w:rsidR="00C135C1" w:rsidRPr="0067117C">
        <w:rPr>
          <w:bCs/>
        </w:rPr>
        <w:t xml:space="preserve">het vervoer op de kleine vaarwegen overgenomen en het binnenvaartvervoer </w:t>
      </w:r>
      <w:r w:rsidR="00575BA7" w:rsidRPr="0067117C">
        <w:rPr>
          <w:bCs/>
        </w:rPr>
        <w:t xml:space="preserve">groeide </w:t>
      </w:r>
      <w:r w:rsidR="00C135C1" w:rsidRPr="0067117C">
        <w:rPr>
          <w:bCs/>
        </w:rPr>
        <w:t>niet meer. Onder deze omstandigheden werd nauwelijks in het vaarwegennet geïnvesteerd. De derde fase was die van de verruiming van de hoofdvaarwegen (19</w:t>
      </w:r>
      <w:r w:rsidR="003D757B" w:rsidRPr="0067117C">
        <w:rPr>
          <w:bCs/>
        </w:rPr>
        <w:t>90</w:t>
      </w:r>
      <w:r w:rsidR="00C135C1" w:rsidRPr="0067117C">
        <w:rPr>
          <w:bCs/>
        </w:rPr>
        <w:t xml:space="preserve">-heden). In deze fase vormde het milieu een </w:t>
      </w:r>
      <w:r w:rsidR="008D5677" w:rsidRPr="0067117C">
        <w:rPr>
          <w:bCs/>
        </w:rPr>
        <w:t xml:space="preserve">steeds </w:t>
      </w:r>
      <w:r w:rsidR="00C135C1" w:rsidRPr="0067117C">
        <w:rPr>
          <w:bCs/>
        </w:rPr>
        <w:t>belangrijke</w:t>
      </w:r>
      <w:r w:rsidR="008D5677" w:rsidRPr="0067117C">
        <w:rPr>
          <w:bCs/>
        </w:rPr>
        <w:t>r</w:t>
      </w:r>
      <w:r w:rsidR="00C135C1" w:rsidRPr="0067117C">
        <w:rPr>
          <w:bCs/>
        </w:rPr>
        <w:t xml:space="preserve"> factor in het regeringsbeleid. Omdat </w:t>
      </w:r>
      <w:r w:rsidR="00F82F40" w:rsidRPr="0067117C">
        <w:rPr>
          <w:bCs/>
        </w:rPr>
        <w:t xml:space="preserve">binnenschepen </w:t>
      </w:r>
      <w:r w:rsidR="00C135C1" w:rsidRPr="0067117C">
        <w:rPr>
          <w:bCs/>
        </w:rPr>
        <w:t>minder energie gebruiken dan vrachtauto’s begon de regering de binnenvaart te steunen.</w:t>
      </w:r>
      <w:r w:rsidR="00C135C1" w:rsidRPr="00FC281E">
        <w:t xml:space="preserve"> </w:t>
      </w:r>
      <w:r w:rsidR="003D757B">
        <w:t>Vanaf 1</w:t>
      </w:r>
      <w:r w:rsidR="00C135C1" w:rsidRPr="00FC281E">
        <w:t>990 nam het budget voor de aanleg en het onderhoud van de hoofdverbindingen –</w:t>
      </w:r>
      <w:r w:rsidR="00F82F40">
        <w:t xml:space="preserve"> </w:t>
      </w:r>
      <w:r w:rsidR="00C135C1" w:rsidRPr="00FC281E">
        <w:t>de zogenaamde hoofdvaarwegen – sterk toe.</w:t>
      </w:r>
      <w:r w:rsidR="0006445B">
        <w:t xml:space="preserve"> </w:t>
      </w:r>
      <w:r w:rsidR="0006445B" w:rsidRPr="00F7117B">
        <w:t>Bijlage 1 geeft</w:t>
      </w:r>
      <w:r w:rsidR="0006445B">
        <w:t xml:space="preserve"> een overzicht van alle projecten die na de Tweede Wereldoorlog tot stand kwamen.</w:t>
      </w:r>
      <w:r w:rsidR="00C135C1">
        <w:rPr>
          <w:rStyle w:val="EndnoteReference"/>
        </w:rPr>
        <w:endnoteReference w:id="111"/>
      </w:r>
      <w:r w:rsidR="00C135C1">
        <w:t xml:space="preserve">  </w:t>
      </w:r>
    </w:p>
    <w:p w14:paraId="4CB718E9" w14:textId="04ACE3A3" w:rsidR="00C135C1" w:rsidRDefault="00C135C1" w:rsidP="00DE08B1">
      <w:pPr>
        <w:jc w:val="left"/>
      </w:pPr>
    </w:p>
    <w:p w14:paraId="77A59969" w14:textId="77777777" w:rsidR="008C413B" w:rsidRDefault="008C413B" w:rsidP="00DE08B1">
      <w:pPr>
        <w:jc w:val="left"/>
      </w:pPr>
    </w:p>
    <w:p w14:paraId="70079832" w14:textId="101500F3" w:rsidR="00C135C1" w:rsidRDefault="00C135C1" w:rsidP="001D5F8B">
      <w:pPr>
        <w:pStyle w:val="Heading2"/>
        <w:jc w:val="left"/>
      </w:pPr>
      <w:r>
        <w:t>Grootschalige verbetering (1950-1979)</w:t>
      </w:r>
      <w:r w:rsidR="001D5F8B">
        <w:br/>
      </w:r>
    </w:p>
    <w:p w14:paraId="5143219D" w14:textId="7AB45980" w:rsidR="00F82F40" w:rsidRDefault="001E7D44" w:rsidP="00DE08B1">
      <w:pPr>
        <w:jc w:val="left"/>
      </w:pPr>
      <w:r>
        <w:t xml:space="preserve">Na de oorlog werden eerst de verbindingen voltooid, waarmee al in de jaren dertig was begonnen: de Fries-Groningse kanalen en het Amsterdam-Rijnkanaal. </w:t>
      </w:r>
      <w:r w:rsidR="003E112A">
        <w:t xml:space="preserve">Daarop volgden de Rijnkanalisatie (1951-1971), de verbetering van de Maasroute (1956-1977), </w:t>
      </w:r>
      <w:r w:rsidR="003E112A" w:rsidRPr="006320D9">
        <w:t xml:space="preserve">het </w:t>
      </w:r>
      <w:proofErr w:type="spellStart"/>
      <w:r w:rsidR="003E112A" w:rsidRPr="006320D9">
        <w:t>Hartelkanaal</w:t>
      </w:r>
      <w:proofErr w:type="spellEnd"/>
      <w:r w:rsidR="003E112A" w:rsidRPr="006320D9">
        <w:t xml:space="preserve"> (1962-1968),</w:t>
      </w:r>
      <w:r w:rsidR="003E112A">
        <w:t xml:space="preserve"> de Schelde-Rijnverbinding (1963-1975) en verschillende </w:t>
      </w:r>
      <w:r w:rsidR="003E112A" w:rsidRPr="000F4E02">
        <w:t xml:space="preserve">projecten om de vaarwegen van Rotterdam en Amsterdam naar Duitsland </w:t>
      </w:r>
      <w:r w:rsidR="003E112A">
        <w:t xml:space="preserve">aan te passen aan het snel toenemende vervoer </w:t>
      </w:r>
      <w:r w:rsidR="003E112A" w:rsidRPr="000F4E02">
        <w:t>(1969-1981).</w:t>
      </w:r>
      <w:r w:rsidR="003E112A">
        <w:rPr>
          <w:rStyle w:val="EndnoteReference"/>
        </w:rPr>
        <w:endnoteReference w:id="112"/>
      </w:r>
    </w:p>
    <w:p w14:paraId="6286D3F6" w14:textId="261B8ACD" w:rsidR="004C2B5E" w:rsidRDefault="00F35B8F" w:rsidP="0019518E">
      <w:pPr>
        <w:ind w:firstLine="708"/>
        <w:jc w:val="left"/>
        <w:rPr>
          <w:bCs/>
        </w:rPr>
      </w:pPr>
      <w:r>
        <w:t xml:space="preserve">De Rijnkanalisatie </w:t>
      </w:r>
      <w:r w:rsidR="00ED5A0E">
        <w:t xml:space="preserve">had tot </w:t>
      </w:r>
      <w:r w:rsidR="00137E9D">
        <w:t>hoofd</w:t>
      </w:r>
      <w:r w:rsidR="00ED5A0E">
        <w:t xml:space="preserve">doel </w:t>
      </w:r>
      <w:r>
        <w:t xml:space="preserve">om </w:t>
      </w:r>
      <w:r w:rsidR="008B3D63">
        <w:t>de watervoorziening voor de noordelijke provin</w:t>
      </w:r>
      <w:r>
        <w:t>cies</w:t>
      </w:r>
      <w:r w:rsidR="008B3D63">
        <w:t xml:space="preserve"> </w:t>
      </w:r>
      <w:r w:rsidR="008C413B">
        <w:t xml:space="preserve">te </w:t>
      </w:r>
      <w:r w:rsidR="008B3D63">
        <w:t>verbeteren</w:t>
      </w:r>
      <w:r w:rsidR="00137E9D">
        <w:t xml:space="preserve"> door </w:t>
      </w:r>
      <w:r>
        <w:t>meer zoetwater vanuit de Rijn naar het IJsselmeer te leiden. Een tweede doel was om de vaardiepte</w:t>
      </w:r>
      <w:r w:rsidR="00137E9D">
        <w:t xml:space="preserve"> </w:t>
      </w:r>
      <w:r w:rsidR="00C135C1" w:rsidRPr="00C9609D">
        <w:rPr>
          <w:bCs/>
        </w:rPr>
        <w:t xml:space="preserve">op de </w:t>
      </w:r>
      <w:r w:rsidR="00C135C1">
        <w:rPr>
          <w:bCs/>
        </w:rPr>
        <w:t xml:space="preserve">rivieren </w:t>
      </w:r>
      <w:r w:rsidR="00C135C1" w:rsidRPr="00C9609D">
        <w:rPr>
          <w:bCs/>
        </w:rPr>
        <w:t>Neder-Rijn, Lek, IJssel en het Pannerdens Kanaal bij lage rivierafvoer</w:t>
      </w:r>
      <w:r w:rsidR="006320D9">
        <w:rPr>
          <w:bCs/>
        </w:rPr>
        <w:t>en</w:t>
      </w:r>
      <w:r w:rsidR="00C135C1" w:rsidRPr="00C9609D">
        <w:rPr>
          <w:bCs/>
        </w:rPr>
        <w:t xml:space="preserve"> te vergroten.</w:t>
      </w:r>
      <w:r w:rsidR="00C135C1">
        <w:rPr>
          <w:bCs/>
        </w:rPr>
        <w:t xml:space="preserve"> Daartoe werden in de Neder-Rijn en de Lek drie grote stuwen met bijbehorende schutsluizen gebouwd. </w:t>
      </w:r>
      <w:r w:rsidR="00C135C1" w:rsidRPr="00C9609D">
        <w:rPr>
          <w:bCs/>
        </w:rPr>
        <w:t xml:space="preserve">Op de IJssel nam de </w:t>
      </w:r>
      <w:r w:rsidR="00137E9D">
        <w:rPr>
          <w:bCs/>
        </w:rPr>
        <w:t xml:space="preserve">minimum </w:t>
      </w:r>
      <w:r w:rsidR="00C135C1" w:rsidRPr="00C9609D">
        <w:rPr>
          <w:bCs/>
        </w:rPr>
        <w:t xml:space="preserve">vaardiepte </w:t>
      </w:r>
      <w:r w:rsidR="00C135C1">
        <w:rPr>
          <w:bCs/>
        </w:rPr>
        <w:t xml:space="preserve">met </w:t>
      </w:r>
      <w:r w:rsidR="00C135C1" w:rsidRPr="00C9609D">
        <w:rPr>
          <w:bCs/>
        </w:rPr>
        <w:t>bijna een meter toe.</w:t>
      </w:r>
      <w:r w:rsidR="004C2B5E">
        <w:rPr>
          <w:rStyle w:val="EndnoteReference"/>
          <w:bCs/>
        </w:rPr>
        <w:endnoteReference w:id="113"/>
      </w:r>
      <w:r w:rsidR="004C2B5E">
        <w:rPr>
          <w:bCs/>
        </w:rPr>
        <w:t xml:space="preserve"> </w:t>
      </w:r>
    </w:p>
    <w:p w14:paraId="71C5F00D" w14:textId="1822B409" w:rsidR="00C135C1" w:rsidRDefault="003E76DC" w:rsidP="00040925">
      <w:pPr>
        <w:ind w:firstLine="708"/>
        <w:jc w:val="left"/>
        <w:rPr>
          <w:bCs/>
        </w:rPr>
      </w:pPr>
      <w:r>
        <w:rPr>
          <w:bCs/>
        </w:rPr>
        <w:t>Na de oorlog vormde d</w:t>
      </w:r>
      <w:r w:rsidR="00137E9D">
        <w:rPr>
          <w:bCs/>
        </w:rPr>
        <w:t xml:space="preserve">e Maasroute het grootste knelpunt op het Nederlandse vaarwegennet. Ieder sluizencomplex beschikte slechts over één schutkolk en deze sluizen konden het toegenomen </w:t>
      </w:r>
      <w:r w:rsidR="005B4C32">
        <w:rPr>
          <w:bCs/>
        </w:rPr>
        <w:t xml:space="preserve">steenkolenvervoer niet meer verwerken. </w:t>
      </w:r>
      <w:r w:rsidR="00C135C1">
        <w:rPr>
          <w:bCs/>
        </w:rPr>
        <w:t xml:space="preserve">Schepen moesten bij iedere sluis vaak een halve dag wachten. </w:t>
      </w:r>
      <w:r w:rsidR="00C135C1" w:rsidRPr="000F4E02">
        <w:rPr>
          <w:bCs/>
        </w:rPr>
        <w:t xml:space="preserve">Tussen 1956 en 1977 bouwde </w:t>
      </w:r>
      <w:r w:rsidR="000F4E02" w:rsidRPr="000F4E02">
        <w:rPr>
          <w:bCs/>
        </w:rPr>
        <w:t xml:space="preserve">het Rijk </w:t>
      </w:r>
      <w:r w:rsidR="00C135C1" w:rsidRPr="000F4E02">
        <w:rPr>
          <w:bCs/>
        </w:rPr>
        <w:t>naast iedere bestaande sluis twee nieuwe schutkolken</w:t>
      </w:r>
      <w:r w:rsidR="000F4E02" w:rsidRPr="000F4E02">
        <w:rPr>
          <w:bCs/>
        </w:rPr>
        <w:t>.</w:t>
      </w:r>
      <w:r w:rsidR="00C135C1">
        <w:rPr>
          <w:rStyle w:val="EndnoteReference"/>
          <w:bCs/>
        </w:rPr>
        <w:endnoteReference w:id="114"/>
      </w:r>
      <w:r w:rsidR="00C135C1">
        <w:rPr>
          <w:bCs/>
        </w:rPr>
        <w:t xml:space="preserve"> </w:t>
      </w:r>
    </w:p>
    <w:p w14:paraId="53D6E2B1" w14:textId="5F027E46" w:rsidR="009779F8" w:rsidRPr="00FA50F9" w:rsidRDefault="00C135C1" w:rsidP="00FA50F9">
      <w:pPr>
        <w:ind w:firstLine="708"/>
        <w:jc w:val="left"/>
      </w:pPr>
      <w:r>
        <w:rPr>
          <w:bCs/>
        </w:rPr>
        <w:t xml:space="preserve">In 1963 sloten Nederland en België het Schelde-Rijnverdrag, dat de eeuwenoude problemen </w:t>
      </w:r>
      <w:r w:rsidR="004C2B5E">
        <w:rPr>
          <w:bCs/>
        </w:rPr>
        <w:t xml:space="preserve">tussen beide landen </w:t>
      </w:r>
      <w:r>
        <w:rPr>
          <w:bCs/>
        </w:rPr>
        <w:t xml:space="preserve">over de grensoverschrijdende vaarwegen oploste. Nederland verplichtte zich om de Schelde-Rijnverbinding aan te leggen, België betaalde negentig procent van de kosten. De nieuwe vaarweg kreeg ruime afmetingen, geschikt voor </w:t>
      </w:r>
      <w:proofErr w:type="spellStart"/>
      <w:r>
        <w:rPr>
          <w:bCs/>
        </w:rPr>
        <w:t>vierbaksduwvaart</w:t>
      </w:r>
      <w:proofErr w:type="spellEnd"/>
      <w:r>
        <w:rPr>
          <w:bCs/>
        </w:rPr>
        <w:t>. De verbinding werd in 1975 voltooid met de opening van de Kreekraksluizen. Uiteindelijk zou</w:t>
      </w:r>
      <w:r w:rsidR="00D5726C">
        <w:rPr>
          <w:bCs/>
        </w:rPr>
        <w:t xml:space="preserve">den beide landen </w:t>
      </w:r>
      <w:r>
        <w:rPr>
          <w:bCs/>
        </w:rPr>
        <w:t>van de nieuwe verbinding profiteren.</w:t>
      </w:r>
      <w:r w:rsidRPr="0022546D">
        <w:rPr>
          <w:rStyle w:val="EndnoteReference"/>
          <w:bCs/>
        </w:rPr>
        <w:endnoteReference w:id="115"/>
      </w:r>
    </w:p>
    <w:p w14:paraId="234F08C1" w14:textId="3CB2D98C" w:rsidR="009779F8" w:rsidRPr="00FD48CD" w:rsidRDefault="009779F8" w:rsidP="00FD48CD">
      <w:pPr>
        <w:jc w:val="left"/>
        <w:rPr>
          <w:color w:val="FF0000"/>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CB20FD">
        <w:rPr>
          <w:color w:val="FF0000"/>
        </w:rPr>
        <w:t>63</w:t>
      </w:r>
      <w:r>
        <w:rPr>
          <w:color w:val="FF0000"/>
        </w:rPr>
        <w:t>-</w:t>
      </w:r>
      <w:r w:rsidRPr="00121CAC">
        <w:rPr>
          <w:color w:val="FF0000"/>
        </w:rPr>
        <w:t>50</w:t>
      </w:r>
      <w:r>
        <w:rPr>
          <w:color w:val="FF0000"/>
        </w:rPr>
        <w:t>_</w:t>
      </w:r>
      <w:r w:rsidRPr="00121CAC">
        <w:rPr>
          <w:color w:val="FF0000"/>
        </w:rPr>
        <w:t>Hartelsluizen</w:t>
      </w:r>
      <w:r>
        <w:rPr>
          <w:color w:val="FF0000"/>
        </w:rPr>
        <w:t>beter</w:t>
      </w:r>
      <w:r w:rsidRPr="00121CAC">
        <w:rPr>
          <w:color w:val="FF0000"/>
        </w:rPr>
        <w:t>.jpg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r>
        <w:t xml:space="preserve"> </w:t>
      </w:r>
      <w:r w:rsidR="00040925">
        <w:tab/>
      </w:r>
    </w:p>
    <w:p w14:paraId="5FD3B0A0" w14:textId="3620CC6C" w:rsidR="008D388E" w:rsidRPr="008C03B0" w:rsidRDefault="00B7529A" w:rsidP="008C03B0">
      <w:pPr>
        <w:ind w:firstLine="708"/>
        <w:jc w:val="left"/>
        <w:rPr>
          <w:bCs/>
        </w:rPr>
      </w:pPr>
      <w:r>
        <w:t xml:space="preserve">Door het toenemende verkeer met duweenheden en de schaalvergroting van de overige schepen ontstonden op de vaarweg van Rotterdam naar Duitsland verschillende knelpunten, waarvan de spoorbrug bij Dordrecht met zijn nauwe draaibrug en zijn lange wachttijden, het krappe rivierensplitsingspunt Noord-Beneden Merwede-Oude Maas </w:t>
      </w:r>
      <w:r w:rsidR="00D1382D">
        <w:t xml:space="preserve">bij Dordrecht </w:t>
      </w:r>
      <w:r>
        <w:t xml:space="preserve">waar veel aanvaringen met sleepeenheden plaatsvonden en de Waalbocht bij Nijmegen met zijn smalle vaargeul de belangrijkste waren. Deze knelpunten werden geleidelijk opgeruimd. </w:t>
      </w:r>
      <w:r w:rsidR="008D388E">
        <w:t xml:space="preserve">In 1968 kwam het </w:t>
      </w:r>
      <w:proofErr w:type="spellStart"/>
      <w:r w:rsidR="008D388E">
        <w:t>Hartelkanaal</w:t>
      </w:r>
      <w:proofErr w:type="spellEnd"/>
      <w:r w:rsidR="008D388E">
        <w:t xml:space="preserve"> gereed, dat het nieuwe haven- en industriegebied Europoort bij Rotterdam voor de binnenvaart ontsloot. </w:t>
      </w:r>
      <w:r w:rsidR="002D5405">
        <w:t xml:space="preserve">Dit kanaal werd aangelegd als veiligheidsvoorziening om zee- en binnenvaart van elkaar te scheiden. In principe had de binnenvaart dit gebied ook via de Nieuwe Waterweg kunnen bereiken. </w:t>
      </w:r>
      <w:r w:rsidR="002D5405">
        <w:rPr>
          <w:bCs/>
        </w:rPr>
        <w:t xml:space="preserve">De beide knelpunten </w:t>
      </w:r>
      <w:r>
        <w:rPr>
          <w:bCs/>
        </w:rPr>
        <w:t xml:space="preserve">bij Dordrecht werden in 1970 aangepakt. </w:t>
      </w:r>
      <w:r w:rsidR="002D5405" w:rsidRPr="00E5030F">
        <w:rPr>
          <w:bCs/>
        </w:rPr>
        <w:t xml:space="preserve">Aan het eind van de periode </w:t>
      </w:r>
      <w:r w:rsidR="002D5405">
        <w:rPr>
          <w:bCs/>
        </w:rPr>
        <w:t xml:space="preserve">was </w:t>
      </w:r>
      <w:r w:rsidR="002D5405" w:rsidRPr="00E5030F">
        <w:rPr>
          <w:bCs/>
        </w:rPr>
        <w:t xml:space="preserve">de </w:t>
      </w:r>
      <w:r>
        <w:rPr>
          <w:bCs/>
        </w:rPr>
        <w:t xml:space="preserve">alleen </w:t>
      </w:r>
      <w:r w:rsidR="002D5405" w:rsidRPr="00E5030F">
        <w:rPr>
          <w:bCs/>
        </w:rPr>
        <w:t xml:space="preserve">Waalbocht </w:t>
      </w:r>
      <w:r>
        <w:rPr>
          <w:bCs/>
        </w:rPr>
        <w:t>nog niet verbeterd</w:t>
      </w:r>
      <w:r w:rsidR="002D5405">
        <w:rPr>
          <w:bCs/>
        </w:rPr>
        <w:t>.</w:t>
      </w:r>
      <w:r w:rsidR="002D5405">
        <w:rPr>
          <w:rStyle w:val="EndnoteReference"/>
          <w:bCs/>
        </w:rPr>
        <w:endnoteReference w:id="116"/>
      </w:r>
      <w:r w:rsidR="002D5405">
        <w:t xml:space="preserve">  </w:t>
      </w:r>
      <w:r w:rsidR="008D388E">
        <w:t xml:space="preserve">  </w:t>
      </w:r>
    </w:p>
    <w:p w14:paraId="2F3D632C" w14:textId="2811C7EF" w:rsidR="00C135C1" w:rsidRDefault="00C135C1" w:rsidP="00040925">
      <w:pPr>
        <w:ind w:firstLine="708"/>
        <w:jc w:val="left"/>
        <w:rPr>
          <w:bCs/>
        </w:rPr>
      </w:pPr>
      <w:r>
        <w:rPr>
          <w:bCs/>
        </w:rPr>
        <w:t xml:space="preserve">Toen </w:t>
      </w:r>
      <w:r w:rsidR="00170E3C">
        <w:rPr>
          <w:bCs/>
        </w:rPr>
        <w:t xml:space="preserve">eenmaal bekend werd dat </w:t>
      </w:r>
      <w:r>
        <w:rPr>
          <w:bCs/>
        </w:rPr>
        <w:t>Antwerpen een duwvaar</w:t>
      </w:r>
      <w:r w:rsidR="00237556">
        <w:rPr>
          <w:bCs/>
        </w:rPr>
        <w:t>t</w:t>
      </w:r>
      <w:r>
        <w:rPr>
          <w:bCs/>
        </w:rPr>
        <w:t>verbinding met de Rijn</w:t>
      </w:r>
      <w:r w:rsidR="00170E3C">
        <w:rPr>
          <w:bCs/>
        </w:rPr>
        <w:t xml:space="preserve"> zou krijgen, </w:t>
      </w:r>
      <w:r>
        <w:rPr>
          <w:bCs/>
        </w:rPr>
        <w:t xml:space="preserve">kon Amsterdam niet achterblijven. Onder zware politieke druk vanuit de hoofdstad en </w:t>
      </w:r>
      <w:r>
        <w:rPr>
          <w:bCs/>
        </w:rPr>
        <w:lastRenderedPageBreak/>
        <w:t>de Tweede Kamer werd tussen 1965 en 1981 ook het Amsterdam-Rijnkanaal voor duwvaart geschikt gemaakt.</w:t>
      </w:r>
      <w:r>
        <w:rPr>
          <w:rStyle w:val="EndnoteReference"/>
          <w:bCs/>
        </w:rPr>
        <w:endnoteReference w:id="117"/>
      </w:r>
    </w:p>
    <w:p w14:paraId="61125B1C" w14:textId="715D3498" w:rsidR="00C135C1" w:rsidRDefault="00D1382D" w:rsidP="003C59AD">
      <w:pPr>
        <w:ind w:firstLine="708"/>
        <w:jc w:val="left"/>
        <w:rPr>
          <w:bCs/>
        </w:rPr>
      </w:pPr>
      <w:r w:rsidRPr="00D1382D">
        <w:t>Daarnaast leidden de uitvoering van de Zuiderzeewerken en de Deltawerken tot grote veranderingen.</w:t>
      </w:r>
      <w:r>
        <w:rPr>
          <w:b/>
          <w:bCs/>
        </w:rPr>
        <w:t xml:space="preserve"> </w:t>
      </w:r>
      <w:r>
        <w:t xml:space="preserve">Beide projecten </w:t>
      </w:r>
      <w:r w:rsidR="00476EC8">
        <w:t xml:space="preserve">brachten </w:t>
      </w:r>
      <w:r w:rsidR="00F47DFA">
        <w:t xml:space="preserve">voor de binnenvaart </w:t>
      </w:r>
      <w:r w:rsidR="00476EC8">
        <w:t xml:space="preserve">zowel voor- als nadelen. Het belangrijkste nadeel was dat beide gebieden </w:t>
      </w:r>
      <w:r w:rsidR="00822F82">
        <w:t xml:space="preserve">voor </w:t>
      </w:r>
      <w:r w:rsidR="00476EC8">
        <w:t xml:space="preserve">de waterhuishouding in compartimenten werden verdeeld, die door dammen en sluizen van elkaar werden gescheiden. </w:t>
      </w:r>
      <w:r w:rsidR="00C135C1">
        <w:rPr>
          <w:bCs/>
        </w:rPr>
        <w:t xml:space="preserve">Iedere keer wanneer een schip een sluis passeert ontstaat tijdverlies. In het Deltagebied vormden de </w:t>
      </w:r>
      <w:proofErr w:type="spellStart"/>
      <w:r w:rsidR="00C135C1">
        <w:rPr>
          <w:bCs/>
        </w:rPr>
        <w:t>Volkeraksluizen</w:t>
      </w:r>
      <w:proofErr w:type="spellEnd"/>
      <w:r w:rsidR="00C135C1">
        <w:rPr>
          <w:bCs/>
        </w:rPr>
        <w:t xml:space="preserve"> (1967), de Kreekraksluizen (1975) en de Krammersluizen (1987) de belangrijkste sluiscomplexen</w:t>
      </w:r>
      <w:r w:rsidR="00822F82">
        <w:rPr>
          <w:bCs/>
        </w:rPr>
        <w:t xml:space="preserve">, in het vroegere </w:t>
      </w:r>
      <w:r w:rsidR="00C135C1">
        <w:rPr>
          <w:bCs/>
        </w:rPr>
        <w:t xml:space="preserve">Zuiderzeegebied </w:t>
      </w:r>
      <w:r w:rsidR="00503694">
        <w:rPr>
          <w:bCs/>
        </w:rPr>
        <w:t xml:space="preserve">de </w:t>
      </w:r>
      <w:r w:rsidR="00C135C1">
        <w:rPr>
          <w:bCs/>
        </w:rPr>
        <w:t>Houtribsluizen</w:t>
      </w:r>
      <w:r w:rsidR="00476EC8">
        <w:rPr>
          <w:bCs/>
        </w:rPr>
        <w:t xml:space="preserve"> (1975)</w:t>
      </w:r>
      <w:r w:rsidR="00822F82">
        <w:rPr>
          <w:bCs/>
        </w:rPr>
        <w:t>.</w:t>
      </w:r>
      <w:r w:rsidR="00C135C1">
        <w:rPr>
          <w:rStyle w:val="EndnoteReference"/>
          <w:bCs/>
        </w:rPr>
        <w:endnoteReference w:id="118"/>
      </w:r>
      <w:r w:rsidR="00C135C1">
        <w:rPr>
          <w:bCs/>
        </w:rPr>
        <w:t xml:space="preserve"> </w:t>
      </w:r>
    </w:p>
    <w:p w14:paraId="0FE03F2B" w14:textId="3883D5F4" w:rsidR="00503694" w:rsidRDefault="00503694" w:rsidP="00DE08B1">
      <w:pPr>
        <w:jc w:val="left"/>
        <w:rPr>
          <w:bCs/>
        </w:rPr>
      </w:pPr>
    </w:p>
    <w:p w14:paraId="34B3CE07" w14:textId="77777777" w:rsidR="008C413B" w:rsidRDefault="008C413B" w:rsidP="00DE08B1">
      <w:pPr>
        <w:jc w:val="left"/>
        <w:rPr>
          <w:bCs/>
        </w:rPr>
      </w:pPr>
    </w:p>
    <w:p w14:paraId="42287FED" w14:textId="2E4152A7" w:rsidR="00503694" w:rsidRDefault="00503694" w:rsidP="008C413B">
      <w:pPr>
        <w:pStyle w:val="Heading2"/>
        <w:jc w:val="left"/>
      </w:pPr>
      <w:bookmarkStart w:id="64" w:name="_Hlk85552452"/>
      <w:r>
        <w:t>De verruiming van de hoofdvaarwegen (19</w:t>
      </w:r>
      <w:r w:rsidR="003D757B">
        <w:t>90</w:t>
      </w:r>
      <w:r>
        <w:t xml:space="preserve">-2020)  </w:t>
      </w:r>
      <w:r w:rsidR="008C413B">
        <w:br/>
      </w:r>
      <w:r>
        <w:t xml:space="preserve">                       </w:t>
      </w:r>
    </w:p>
    <w:bookmarkEnd w:id="64"/>
    <w:p w14:paraId="46E0F0B6" w14:textId="77777777" w:rsidR="00F54F0B" w:rsidRDefault="002309DA" w:rsidP="00917B32">
      <w:pPr>
        <w:jc w:val="left"/>
        <w:rPr>
          <w:bCs/>
        </w:rPr>
      </w:pPr>
      <w:r w:rsidRPr="00FE0E52">
        <w:rPr>
          <w:bCs/>
        </w:rPr>
        <w:t xml:space="preserve">Het enige grote project dat in </w:t>
      </w:r>
      <w:r>
        <w:rPr>
          <w:bCs/>
        </w:rPr>
        <w:t>de malaise</w:t>
      </w:r>
      <w:r w:rsidRPr="00FE0E52">
        <w:rPr>
          <w:bCs/>
        </w:rPr>
        <w:t>periode</w:t>
      </w:r>
      <w:r>
        <w:rPr>
          <w:bCs/>
        </w:rPr>
        <w:t xml:space="preserve"> (1978-19</w:t>
      </w:r>
      <w:r w:rsidR="003D757B">
        <w:rPr>
          <w:bCs/>
        </w:rPr>
        <w:t>90</w:t>
      </w:r>
      <w:r>
        <w:rPr>
          <w:bCs/>
        </w:rPr>
        <w:t>)</w:t>
      </w:r>
      <w:r w:rsidRPr="00FE0E52">
        <w:rPr>
          <w:bCs/>
        </w:rPr>
        <w:t xml:space="preserve"> startte, was de verruiming van het Kanaal door Zuid-Beveland </w:t>
      </w:r>
      <w:r w:rsidRPr="007B2D68">
        <w:rPr>
          <w:bCs/>
        </w:rPr>
        <w:t xml:space="preserve">voor </w:t>
      </w:r>
      <w:proofErr w:type="spellStart"/>
      <w:r w:rsidRPr="007B2D68">
        <w:rPr>
          <w:bCs/>
        </w:rPr>
        <w:t>vierbaksduwvaart</w:t>
      </w:r>
      <w:proofErr w:type="spellEnd"/>
      <w:r w:rsidRPr="007B2D68">
        <w:rPr>
          <w:bCs/>
        </w:rPr>
        <w:t xml:space="preserve"> (1982-1993). Na het gereedkomen van dit kanaal was de hele vaarroute van Rotterdam naar Gent voor</w:t>
      </w:r>
      <w:r w:rsidRPr="00FE0E52">
        <w:rPr>
          <w:bCs/>
        </w:rPr>
        <w:t xml:space="preserve"> vierbaks</w:t>
      </w:r>
      <w:r w:rsidR="00C0531B">
        <w:rPr>
          <w:bCs/>
        </w:rPr>
        <w:t>-</w:t>
      </w:r>
      <w:r>
        <w:rPr>
          <w:bCs/>
        </w:rPr>
        <w:softHyphen/>
      </w:r>
      <w:r w:rsidRPr="00FE0E52">
        <w:rPr>
          <w:bCs/>
        </w:rPr>
        <w:t>duw</w:t>
      </w:r>
      <w:r w:rsidR="00B950A1">
        <w:rPr>
          <w:bCs/>
        </w:rPr>
        <w:t>eenheden</w:t>
      </w:r>
      <w:r w:rsidRPr="00FE0E52">
        <w:rPr>
          <w:bCs/>
        </w:rPr>
        <w:t xml:space="preserve"> bevaarbaar.</w:t>
      </w:r>
      <w:r>
        <w:rPr>
          <w:rStyle w:val="EndnoteReference"/>
          <w:bCs/>
        </w:rPr>
        <w:endnoteReference w:id="119"/>
      </w:r>
    </w:p>
    <w:p w14:paraId="585EA40D" w14:textId="5310CEF8" w:rsidR="00380091" w:rsidRDefault="00F47DFA" w:rsidP="00F54F0B">
      <w:pPr>
        <w:ind w:firstLine="708"/>
        <w:jc w:val="left"/>
        <w:rPr>
          <w:bCs/>
        </w:rPr>
      </w:pPr>
      <w:r>
        <w:rPr>
          <w:bCs/>
        </w:rPr>
        <w:t xml:space="preserve">Na 1990 </w:t>
      </w:r>
      <w:r w:rsidR="00B950A1">
        <w:rPr>
          <w:bCs/>
        </w:rPr>
        <w:t xml:space="preserve">kreeg de verdere verbetering van de vaarroute van Rotterdam naar Duitsland voorrang. </w:t>
      </w:r>
      <w:r w:rsidR="00F75ECE">
        <w:rPr>
          <w:bCs/>
        </w:rPr>
        <w:t>Jarenlang vormde hier de Waalbocht bij Nijmegen met zijn smalle vaargeul, die ontmoetingen tussen afvarende duwstellen en andere schepen bij laagwater onmogelijk maakte, het voornaamste knelpunt. Aanvankelijk wilde Rijkswaterstaat deze bocht afsnijden, maar milieubelangen blokkeerden deze oplossing. Uiteindelijk leidde uitgebreid waterloopkundig en nautisch onderzoek tot een oplossing.</w:t>
      </w:r>
      <w:r w:rsidR="00F75ECE" w:rsidRPr="00F75ECE">
        <w:rPr>
          <w:bCs/>
        </w:rPr>
        <w:t xml:space="preserve"> </w:t>
      </w:r>
      <w:r w:rsidR="00F75ECE">
        <w:rPr>
          <w:bCs/>
        </w:rPr>
        <w:t xml:space="preserve">Nadat in 1983 al een hinderlijke pijler van de spoorbrug middenin de vaargeul was opgeruimd, kon deze vijf jaar later aanzienlijk worden verbreed. Daarna konden duwstellen elkaar bij laagwater ongehinderd ontmoeten. </w:t>
      </w:r>
      <w:r w:rsidR="00F75ECE" w:rsidRPr="00B55200">
        <w:rPr>
          <w:bCs/>
        </w:rPr>
        <w:t xml:space="preserve">In 2012 was op de Waal </w:t>
      </w:r>
      <w:r w:rsidR="00F75ECE">
        <w:rPr>
          <w:bCs/>
        </w:rPr>
        <w:t xml:space="preserve">bij laagwater bijna </w:t>
      </w:r>
      <w:r w:rsidR="00F75ECE" w:rsidRPr="00B55200">
        <w:rPr>
          <w:bCs/>
        </w:rPr>
        <w:t>overal een minimale vaargeulbreedte van 150 meter en een minimale diepte van 2,80 meter beschikbaar.</w:t>
      </w:r>
      <w:r w:rsidR="00F75ECE" w:rsidRPr="00B55200">
        <w:rPr>
          <w:rStyle w:val="EndnoteReference"/>
          <w:bCs/>
        </w:rPr>
        <w:endnoteReference w:id="120"/>
      </w:r>
    </w:p>
    <w:p w14:paraId="273D0514" w14:textId="513A4D4F" w:rsidR="006065CD" w:rsidRPr="0035025E" w:rsidRDefault="006065CD" w:rsidP="00396053">
      <w:pPr>
        <w:jc w:val="left"/>
        <w:rPr>
          <w:bCs/>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Pr>
          <w:rFonts w:eastAsia="Times New Roman" w:cs="Times New Roman"/>
          <w:color w:val="FF0000"/>
          <w:szCs w:val="24"/>
          <w:lang w:eastAsia="nl-NL"/>
        </w:rPr>
        <w:t>6</w:t>
      </w:r>
      <w:r w:rsidR="00A07160">
        <w:rPr>
          <w:rFonts w:eastAsia="Times New Roman" w:cs="Times New Roman"/>
          <w:color w:val="FF0000"/>
          <w:szCs w:val="24"/>
          <w:lang w:eastAsia="nl-NL"/>
        </w:rPr>
        <w:t>4</w:t>
      </w:r>
      <w:r>
        <w:rPr>
          <w:rFonts w:eastAsia="Times New Roman" w:cs="Times New Roman"/>
          <w:color w:val="FF0000"/>
          <w:szCs w:val="24"/>
          <w:lang w:eastAsia="nl-NL"/>
        </w:rPr>
        <w:t>-53_d</w:t>
      </w:r>
      <w:r>
        <w:rPr>
          <w:rFonts w:cstheme="minorHAnsi"/>
          <w:color w:val="FF0000"/>
        </w:rPr>
        <w:t>emonstratie.jpg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7843A2C9" w14:textId="0F5BB187" w:rsidR="00B950A1" w:rsidRDefault="00C97626" w:rsidP="00917B32">
      <w:pPr>
        <w:ind w:firstLine="708"/>
        <w:jc w:val="left"/>
        <w:rPr>
          <w:bCs/>
        </w:rPr>
      </w:pPr>
      <w:r>
        <w:rPr>
          <w:bCs/>
        </w:rPr>
        <w:t xml:space="preserve">Later kwamen de andere hoofdvaarwegen aan de beurt. </w:t>
      </w:r>
      <w:r>
        <w:t>Eerst lag het accent op het scheppen van goedkopere vervoersmogelijkheden voor massagoederen. Veel vaarwegen werden verruimd zodat grotere vrachtschepen of duwstellen konden worden ingezet.</w:t>
      </w:r>
      <w:r>
        <w:rPr>
          <w:bCs/>
        </w:rPr>
        <w:t xml:space="preserve"> </w:t>
      </w:r>
      <w:r>
        <w:t xml:space="preserve">Vervolgens verschoof het accent naar verbetering van de mogelijkheden voor het containervervoer. Daarbij werden bruggen verhoogd en de bedieningstijden van sluizen en bruggen verlengd, zodat vaartuigen meer containers konden meenemen en een sneller en betrouwbaarder tijdschema konden aanhouden. De enige nieuwe verbindingen </w:t>
      </w:r>
      <w:r w:rsidR="00A2642E">
        <w:t xml:space="preserve">die in deze periode tot stand kwamen waren het Maximakanaal (2015), een hoofdvaarweg die het scheepvaartverkeer rondom Den Bosch leidt, en het </w:t>
      </w:r>
      <w:r w:rsidR="00A2642E">
        <w:rPr>
          <w:bCs/>
        </w:rPr>
        <w:t xml:space="preserve">Koning Willem-Alexanderkanaal in Drenthe (2013), in ons land de enige verbinding die specifiek voor de recreatievaart werd aangelegd. </w:t>
      </w:r>
      <w:r w:rsidR="00A2642E">
        <w:t>In 2020 waren bijna alle hoofdvaarwegen voor grote binnenschepen van tenminste 2</w:t>
      </w:r>
      <w:r w:rsidR="00E82FC8">
        <w:t>.</w:t>
      </w:r>
      <w:r w:rsidR="00A2642E">
        <w:t>000 ton toegankelijk.</w:t>
      </w:r>
      <w:r w:rsidR="00A2642E">
        <w:rPr>
          <w:rStyle w:val="EndnoteReference"/>
          <w:bCs/>
        </w:rPr>
        <w:endnoteReference w:id="121"/>
      </w:r>
    </w:p>
    <w:p w14:paraId="5638E316" w14:textId="2F937D22" w:rsidR="005B5EBC" w:rsidRDefault="00314511" w:rsidP="00DE08B1">
      <w:pPr>
        <w:jc w:val="left"/>
      </w:pPr>
      <w:r>
        <w:br/>
      </w:r>
    </w:p>
    <w:p w14:paraId="36F9BAD6" w14:textId="60E8506C" w:rsidR="0097559A" w:rsidRPr="00B55200" w:rsidRDefault="0097559A" w:rsidP="000D4C87">
      <w:pPr>
        <w:pStyle w:val="Heading2"/>
        <w:jc w:val="left"/>
      </w:pPr>
      <w:r>
        <w:lastRenderedPageBreak/>
        <w:t>Sluiting kleine kanalen</w:t>
      </w:r>
      <w:r w:rsidR="00314511">
        <w:br/>
      </w:r>
    </w:p>
    <w:p w14:paraId="25817737" w14:textId="467889E9" w:rsidR="0097559A" w:rsidRDefault="00C52F89" w:rsidP="00DE08B1">
      <w:pPr>
        <w:jc w:val="left"/>
        <w:rPr>
          <w:bCs/>
        </w:rPr>
      </w:pPr>
      <w:r>
        <w:rPr>
          <w:bCs/>
        </w:rPr>
        <w:t>Door t</w:t>
      </w:r>
      <w:r w:rsidR="0097559A">
        <w:rPr>
          <w:bCs/>
        </w:rPr>
        <w:t xml:space="preserve">oenemende concurrentie van </w:t>
      </w:r>
      <w:r w:rsidR="00216C7E">
        <w:rPr>
          <w:bCs/>
        </w:rPr>
        <w:t xml:space="preserve">de vrachtauto’s </w:t>
      </w:r>
      <w:r>
        <w:rPr>
          <w:bCs/>
        </w:rPr>
        <w:t xml:space="preserve">verdween het </w:t>
      </w:r>
      <w:r w:rsidR="003225FA">
        <w:rPr>
          <w:bCs/>
        </w:rPr>
        <w:t xml:space="preserve">goederenvervoer op kleine vaarwegen tussen 1950 en 1970 geleidelijk. </w:t>
      </w:r>
      <w:r w:rsidR="00DD6C20">
        <w:rPr>
          <w:bCs/>
        </w:rPr>
        <w:t xml:space="preserve">Tegelijk daarmee verloren </w:t>
      </w:r>
      <w:r w:rsidR="002C1395">
        <w:rPr>
          <w:bCs/>
        </w:rPr>
        <w:t>de beheerders van d</w:t>
      </w:r>
      <w:r w:rsidR="00DD6C20">
        <w:rPr>
          <w:bCs/>
        </w:rPr>
        <w:t xml:space="preserve">eze vaarwegen </w:t>
      </w:r>
      <w:r w:rsidR="00654187" w:rsidRPr="00DD6C20">
        <w:rPr>
          <w:bCs/>
        </w:rPr>
        <w:t>hun tolinkomsten.</w:t>
      </w:r>
      <w:r w:rsidR="00654187">
        <w:rPr>
          <w:bCs/>
        </w:rPr>
        <w:t xml:space="preserve"> </w:t>
      </w:r>
      <w:r w:rsidR="0097559A">
        <w:rPr>
          <w:bCs/>
        </w:rPr>
        <w:t xml:space="preserve">Dit leidde tot de vraag of het economisch verantwoord was om dergelijke verbindingen in stand te houden. </w:t>
      </w:r>
      <w:r w:rsidR="0097559A" w:rsidRPr="00620ACF">
        <w:rPr>
          <w:bCs/>
        </w:rPr>
        <w:t>Een groot aantal, zoals het Apeldoorns Kanaal, de Dedemsvaart, de Overijsselse kanalen, het Oranjekanaal</w:t>
      </w:r>
      <w:r w:rsidR="0097559A">
        <w:rPr>
          <w:bCs/>
        </w:rPr>
        <w:t xml:space="preserve"> </w:t>
      </w:r>
      <w:r w:rsidR="0097559A" w:rsidRPr="00620ACF">
        <w:rPr>
          <w:bCs/>
        </w:rPr>
        <w:t xml:space="preserve">en het Kanaal door Voorne, werd </w:t>
      </w:r>
      <w:r w:rsidR="0097559A">
        <w:rPr>
          <w:bCs/>
        </w:rPr>
        <w:t xml:space="preserve">voor de scheepvaart </w:t>
      </w:r>
      <w:r w:rsidR="0097559A" w:rsidRPr="00620ACF">
        <w:rPr>
          <w:bCs/>
        </w:rPr>
        <w:t>gesloten</w:t>
      </w:r>
      <w:r w:rsidR="0097559A">
        <w:rPr>
          <w:bCs/>
        </w:rPr>
        <w:t xml:space="preserve"> </w:t>
      </w:r>
      <w:r w:rsidR="0097559A" w:rsidRPr="000D4C87">
        <w:rPr>
          <w:bCs/>
        </w:rPr>
        <w:t>(zie bijlage 2).</w:t>
      </w:r>
      <w:r w:rsidR="0097559A">
        <w:rPr>
          <w:bCs/>
        </w:rPr>
        <w:t xml:space="preserve"> </w:t>
      </w:r>
      <w:r w:rsidR="0097559A" w:rsidRPr="00620ACF">
        <w:rPr>
          <w:bCs/>
        </w:rPr>
        <w:t>Sommige werden gedempt, maar de meeste behielden een functie voor de waterhuishouding.</w:t>
      </w:r>
      <w:r w:rsidR="0097559A" w:rsidRPr="000D50BA">
        <w:rPr>
          <w:bCs/>
        </w:rPr>
        <w:t xml:space="preserve"> </w:t>
      </w:r>
      <w:r w:rsidR="0097559A" w:rsidRPr="00654187">
        <w:rPr>
          <w:bCs/>
        </w:rPr>
        <w:t>In het begin van de jaren zeventig zag het er naar uit dat veel oude kanalen hun oorspronkelijke karakter zouden verliezen.</w:t>
      </w:r>
    </w:p>
    <w:p w14:paraId="5A49A600" w14:textId="177E0837" w:rsidR="005A1461" w:rsidRPr="0035025E" w:rsidRDefault="0097559A" w:rsidP="005A1461">
      <w:pPr>
        <w:jc w:val="left"/>
        <w:rPr>
          <w:bCs/>
        </w:rPr>
      </w:pPr>
      <w:r>
        <w:rPr>
          <w:bCs/>
        </w:rPr>
        <w:t xml:space="preserve">In 1976 presenteerde de ANWB de brochure </w:t>
      </w:r>
      <w:r w:rsidRPr="00620ACF">
        <w:rPr>
          <w:bCs/>
        </w:rPr>
        <w:t>‘Oude kanalen’</w:t>
      </w:r>
      <w:r>
        <w:rPr>
          <w:bCs/>
        </w:rPr>
        <w:t xml:space="preserve">. </w:t>
      </w:r>
      <w:r w:rsidR="00DD6C20">
        <w:rPr>
          <w:bCs/>
        </w:rPr>
        <w:t xml:space="preserve">Volgens </w:t>
      </w:r>
      <w:r>
        <w:rPr>
          <w:bCs/>
        </w:rPr>
        <w:t xml:space="preserve">deze publicatie </w:t>
      </w:r>
      <w:r w:rsidR="00DD6C20">
        <w:rPr>
          <w:bCs/>
        </w:rPr>
        <w:t xml:space="preserve">behielden </w:t>
      </w:r>
      <w:r w:rsidRPr="00620ACF">
        <w:rPr>
          <w:bCs/>
        </w:rPr>
        <w:t xml:space="preserve">oude kanalen ook </w:t>
      </w:r>
      <w:r>
        <w:rPr>
          <w:bCs/>
        </w:rPr>
        <w:t xml:space="preserve">na het verdwijnen van </w:t>
      </w:r>
      <w:r w:rsidRPr="00620ACF">
        <w:rPr>
          <w:bCs/>
        </w:rPr>
        <w:t>de beroepsvaart een belangrijke functie</w:t>
      </w:r>
      <w:r>
        <w:rPr>
          <w:bCs/>
        </w:rPr>
        <w:t>. Ze hadden een grote landschappelijke en cultuurhistorische waarde, waren van belang voor de land- en waterrecreatie en konden de aantrekkelijkheid van een streek aanzienlijk vergroten.</w:t>
      </w:r>
      <w:r w:rsidRPr="007B66D2">
        <w:rPr>
          <w:bCs/>
        </w:rPr>
        <w:t xml:space="preserve"> </w:t>
      </w:r>
      <w:r w:rsidRPr="00620ACF">
        <w:rPr>
          <w:bCs/>
        </w:rPr>
        <w:t>De</w:t>
      </w:r>
      <w:r w:rsidR="00654187">
        <w:rPr>
          <w:bCs/>
        </w:rPr>
        <w:t>ze</w:t>
      </w:r>
      <w:r w:rsidRPr="00620ACF">
        <w:rPr>
          <w:bCs/>
        </w:rPr>
        <w:t xml:space="preserve"> brochure opende velen de ogen voor het dreigende verlies aan cultuurgoed en vormde een keerpunt in de ontwikkeling. Na het verschijnen gingen bijna geen kanalen meer dicht.</w:t>
      </w:r>
      <w:r>
        <w:rPr>
          <w:bCs/>
        </w:rPr>
        <w:t xml:space="preserve"> In 1988 was het Kanaal Deventer</w:t>
      </w:r>
      <w:r w:rsidR="00654187">
        <w:rPr>
          <w:bCs/>
        </w:rPr>
        <w:t>-Raalte</w:t>
      </w:r>
      <w:r>
        <w:rPr>
          <w:bCs/>
        </w:rPr>
        <w:t xml:space="preserve"> na een lange politieke strijd het laatste kanaal dat voor de scheepvaart werd gesloten.</w:t>
      </w:r>
      <w:r w:rsidR="000D4C87" w:rsidRPr="000D4C87">
        <w:rPr>
          <w:rStyle w:val="EndnoteReference"/>
        </w:rPr>
        <w:endnoteReference w:id="122"/>
      </w:r>
      <w:bookmarkStart w:id="66" w:name="_Hlk168233364"/>
      <w:r w:rsidR="00920024">
        <w:br/>
      </w:r>
      <w:bookmarkEnd w:id="66"/>
      <w:r w:rsidR="005A1461" w:rsidRPr="005211BE">
        <w:rPr>
          <w:rFonts w:ascii="Calibri" w:eastAsia="Times New Roman" w:hAnsi="Calibri" w:cs="Calibri"/>
          <w:color w:val="FF0000"/>
          <w:szCs w:val="24"/>
          <w:shd w:val="clear" w:color="auto" w:fill="FFFFFF"/>
          <w:lang w:eastAsia="nl-NL"/>
        </w:rPr>
        <w:t>@i@</w:t>
      </w:r>
      <w:r w:rsidR="005A1461" w:rsidRPr="005211BE">
        <w:rPr>
          <w:rFonts w:eastAsia="Times New Roman" w:cs="Times New Roman"/>
          <w:color w:val="FF0000"/>
          <w:szCs w:val="24"/>
          <w:lang w:eastAsia="nl-NL"/>
        </w:rPr>
        <w:t>[[[</w:t>
      </w:r>
      <w:r w:rsidR="008105FB">
        <w:rPr>
          <w:rFonts w:eastAsia="Times New Roman" w:cs="Times New Roman"/>
          <w:color w:val="FF0000"/>
          <w:szCs w:val="24"/>
          <w:lang w:eastAsia="nl-NL"/>
        </w:rPr>
        <w:t>6</w:t>
      </w:r>
      <w:r w:rsidR="00A07160">
        <w:rPr>
          <w:rFonts w:eastAsia="Times New Roman" w:cs="Times New Roman"/>
          <w:color w:val="FF0000"/>
          <w:szCs w:val="24"/>
          <w:lang w:eastAsia="nl-NL"/>
        </w:rPr>
        <w:t>5</w:t>
      </w:r>
      <w:r w:rsidR="008105FB">
        <w:rPr>
          <w:rFonts w:eastAsia="Times New Roman" w:cs="Times New Roman"/>
          <w:color w:val="FF0000"/>
          <w:szCs w:val="24"/>
          <w:lang w:eastAsia="nl-NL"/>
        </w:rPr>
        <w:t>-</w:t>
      </w:r>
      <w:r w:rsidR="005A1461">
        <w:rPr>
          <w:color w:val="ED0000"/>
        </w:rPr>
        <w:t>66a_nwSluitingDeventer-Raalte.jpg</w:t>
      </w:r>
      <w:r w:rsidR="005A1461" w:rsidRPr="005211BE">
        <w:rPr>
          <w:rFonts w:cstheme="minorHAnsi"/>
          <w:color w:val="FF0000"/>
        </w:rPr>
        <w:t>]]]</w:t>
      </w:r>
      <w:r w:rsidR="005A1461" w:rsidRPr="005211BE">
        <w:rPr>
          <w:rFonts w:ascii="Calibri" w:eastAsia="Times New Roman" w:hAnsi="Calibri" w:cs="Calibri"/>
          <w:color w:val="FF0000"/>
          <w:szCs w:val="24"/>
          <w:shd w:val="clear" w:color="auto" w:fill="FFFFFF"/>
          <w:lang w:eastAsia="nl-NL"/>
        </w:rPr>
        <w:t>@/i@</w:t>
      </w:r>
    </w:p>
    <w:p w14:paraId="1D768FDB" w14:textId="56722DD5" w:rsidR="0097559A" w:rsidRPr="00D6475A" w:rsidRDefault="0097559A" w:rsidP="00DE08B1">
      <w:pPr>
        <w:jc w:val="left"/>
        <w:rPr>
          <w:color w:val="ED0000"/>
        </w:rPr>
      </w:pPr>
    </w:p>
    <w:p w14:paraId="36923617" w14:textId="77777777" w:rsidR="00E52539" w:rsidRDefault="00E52539" w:rsidP="00DE08B1">
      <w:pPr>
        <w:jc w:val="left"/>
      </w:pPr>
    </w:p>
    <w:p w14:paraId="6DB19CD1" w14:textId="513788F8" w:rsidR="00654187" w:rsidRDefault="00654187" w:rsidP="004474B8">
      <w:pPr>
        <w:pStyle w:val="Heading2"/>
      </w:pPr>
      <w:bookmarkStart w:id="67" w:name="_Hlk85552712"/>
      <w:r>
        <w:t>Hoofdvaarwegen</w:t>
      </w:r>
      <w:bookmarkEnd w:id="67"/>
      <w:r w:rsidR="004474B8">
        <w:rPr>
          <w:rFonts w:ascii="Times New Roman" w:hAnsi="Times New Roman"/>
          <w:b/>
          <w:vertAlign w:val="superscript"/>
        </w:rPr>
        <w:br/>
      </w:r>
    </w:p>
    <w:p w14:paraId="4B45E84A" w14:textId="748E960A" w:rsidR="008A5CEC" w:rsidRDefault="00654187" w:rsidP="00DE08B1">
      <w:pPr>
        <w:jc w:val="left"/>
        <w:rPr>
          <w:bCs/>
        </w:rPr>
      </w:pPr>
      <w:r>
        <w:t>In 1976 verscheen de nota</w:t>
      </w:r>
      <w:r w:rsidR="00DB0A68">
        <w:t xml:space="preserve"> ‘Vaarwegen’</w:t>
      </w:r>
      <w:r>
        <w:t>,</w:t>
      </w:r>
      <w:r w:rsidRPr="002521AC">
        <w:rPr>
          <w:bCs/>
        </w:rPr>
        <w:t xml:space="preserve"> </w:t>
      </w:r>
      <w:r>
        <w:rPr>
          <w:bCs/>
        </w:rPr>
        <w:t>een regeringsnota over de doelstellingen van het vaarwegenbeleid</w:t>
      </w:r>
      <w:r w:rsidR="008A5CEC">
        <w:rPr>
          <w:bCs/>
        </w:rPr>
        <w:t xml:space="preserve">, die de basis </w:t>
      </w:r>
      <w:r>
        <w:rPr>
          <w:bCs/>
        </w:rPr>
        <w:t>voor het nationale vaarwegenbeleid in het laatste kwart van de twintigste eeuw</w:t>
      </w:r>
      <w:r w:rsidR="008A5CEC">
        <w:rPr>
          <w:bCs/>
        </w:rPr>
        <w:t xml:space="preserve"> zou vormen</w:t>
      </w:r>
      <w:r>
        <w:rPr>
          <w:bCs/>
        </w:rPr>
        <w:t xml:space="preserve">. </w:t>
      </w:r>
      <w:r w:rsidR="00B710DA">
        <w:rPr>
          <w:bCs/>
        </w:rPr>
        <w:t xml:space="preserve">Eén van de kernpunten </w:t>
      </w:r>
      <w:r w:rsidR="00DB0A68">
        <w:rPr>
          <w:bCs/>
        </w:rPr>
        <w:t xml:space="preserve">in dit beleid was, </w:t>
      </w:r>
      <w:r w:rsidR="00B710DA">
        <w:rPr>
          <w:bCs/>
        </w:rPr>
        <w:t xml:space="preserve">dat de regering de historisch gegroeide taakverdeling tussen het Rijk en de andere vaarwegbeheerders niet langer doelmatig vond. Het Rijk beheerde veel kleine vaarwegen – oorspronkelijk vaak hoofdverbindingen, zoals </w:t>
      </w:r>
      <w:r w:rsidR="004923FF">
        <w:rPr>
          <w:bCs/>
        </w:rPr>
        <w:t xml:space="preserve">het </w:t>
      </w:r>
      <w:proofErr w:type="spellStart"/>
      <w:r w:rsidR="004923FF">
        <w:rPr>
          <w:bCs/>
        </w:rPr>
        <w:t>Noordhollands</w:t>
      </w:r>
      <w:proofErr w:type="spellEnd"/>
      <w:r w:rsidR="004923FF">
        <w:rPr>
          <w:bCs/>
        </w:rPr>
        <w:t xml:space="preserve"> Kanaal</w:t>
      </w:r>
      <w:r w:rsidR="00B710DA">
        <w:rPr>
          <w:bCs/>
        </w:rPr>
        <w:t xml:space="preserve"> – die hun nationale betekenis hadden verloren. Daarom streefde de regering naar een herverdeling van de taken, waarbij het Rijk in de toekomst alleen </w:t>
      </w:r>
      <w:r w:rsidR="00DB0A68">
        <w:rPr>
          <w:bCs/>
        </w:rPr>
        <w:t xml:space="preserve">de verantwoording zou dragen </w:t>
      </w:r>
      <w:r w:rsidR="00B710DA">
        <w:rPr>
          <w:bCs/>
        </w:rPr>
        <w:t>voor de belangrijkste doorgaande vaarwegen, de zogenaamde hoofdvaarwegen, aangevuld met de hoofdverbindingen voor de waterhuishouding. Daartegenover zouden provincies, waterschappen en gemeenten verantwoordelijk zijn voor alle overige verbindingen. Dit alles betekende een ingrijpende herstructurering, waarbij een groot aantal vaarwegen van het Rijk overgingen naar de regio, terwijl het Rijk de vaarweg Lemmer-Delfzijl</w:t>
      </w:r>
      <w:r w:rsidR="003E1A1B">
        <w:rPr>
          <w:bCs/>
        </w:rPr>
        <w:t xml:space="preserve"> overnam van de provincies.</w:t>
      </w:r>
      <w:r w:rsidR="00B710DA">
        <w:rPr>
          <w:bCs/>
        </w:rPr>
        <w:t xml:space="preserve"> </w:t>
      </w:r>
      <w:r w:rsidR="003E1A1B">
        <w:rPr>
          <w:bCs/>
        </w:rPr>
        <w:t>Tegelijk daarmee maakte de regering ook een einde aan eindeloze discussies over de financiering van nieuwbouwprojecten. Voortaan zou iedere beheerder zijn eigen kosten dragen. In 1981 werd definitief besloten welke vaarwegen tot het hoofdvaarwegennet behoorden.</w:t>
      </w:r>
      <w:r w:rsidR="004474B8" w:rsidRPr="004474B8">
        <w:rPr>
          <w:vertAlign w:val="superscript"/>
        </w:rPr>
        <w:endnoteReference w:id="123"/>
      </w:r>
    </w:p>
    <w:p w14:paraId="5915847E" w14:textId="781E8989" w:rsidR="00D068C1" w:rsidRDefault="009528C9" w:rsidP="008105FB">
      <w:pPr>
        <w:jc w:val="left"/>
        <w:rPr>
          <w:bCs/>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Pr>
          <w:rFonts w:eastAsia="Times New Roman" w:cs="Times New Roman"/>
          <w:color w:val="FF0000"/>
          <w:szCs w:val="24"/>
          <w:lang w:eastAsia="nl-NL"/>
        </w:rPr>
        <w:t>6</w:t>
      </w:r>
      <w:r w:rsidR="00A07160">
        <w:rPr>
          <w:rFonts w:eastAsia="Times New Roman" w:cs="Times New Roman"/>
          <w:color w:val="FF0000"/>
          <w:szCs w:val="24"/>
          <w:lang w:eastAsia="nl-NL"/>
        </w:rPr>
        <w:t>6</w:t>
      </w:r>
      <w:r>
        <w:rPr>
          <w:rFonts w:eastAsia="Times New Roman" w:cs="Times New Roman"/>
          <w:color w:val="FF0000"/>
          <w:szCs w:val="24"/>
          <w:lang w:eastAsia="nl-NL"/>
        </w:rPr>
        <w:t>-57a_KAART5</w:t>
      </w:r>
      <w:r>
        <w:rPr>
          <w:rFonts w:cstheme="minorHAnsi"/>
          <w:color w:val="FF0000"/>
        </w:rPr>
        <w:t>.jpg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4F667A37" w14:textId="04F8D524" w:rsidR="008A5CEC" w:rsidRDefault="003E1A1B" w:rsidP="00753E02">
      <w:pPr>
        <w:ind w:firstLine="708"/>
        <w:jc w:val="left"/>
        <w:rPr>
          <w:bCs/>
        </w:rPr>
      </w:pPr>
      <w:r>
        <w:rPr>
          <w:bCs/>
        </w:rPr>
        <w:t xml:space="preserve">De gewenste overdrachten konden pas na langdurig overleg over de financiële gevolgen worden gerealiseerd. In 2000 had het Rijk het beheer over niet-hoofdvaarwegen zoals </w:t>
      </w:r>
      <w:r w:rsidRPr="00FD36E4">
        <w:rPr>
          <w:bCs/>
        </w:rPr>
        <w:t xml:space="preserve">het Kanaal door Walcheren, het Noord-Hollands Kanaal, het Merwedekanaal, het </w:t>
      </w:r>
      <w:r w:rsidRPr="00FD36E4">
        <w:rPr>
          <w:bCs/>
        </w:rPr>
        <w:lastRenderedPageBreak/>
        <w:t xml:space="preserve">Kanaal Almelo-De </w:t>
      </w:r>
      <w:proofErr w:type="spellStart"/>
      <w:r w:rsidRPr="00FD36E4">
        <w:rPr>
          <w:bCs/>
        </w:rPr>
        <w:t>Haandrik</w:t>
      </w:r>
      <w:proofErr w:type="spellEnd"/>
      <w:r w:rsidRPr="00FD36E4">
        <w:rPr>
          <w:bCs/>
        </w:rPr>
        <w:t>, de Drentse Hoofdvaart</w:t>
      </w:r>
      <w:r>
        <w:rPr>
          <w:bCs/>
        </w:rPr>
        <w:t>, het Markkanaal</w:t>
      </w:r>
      <w:r w:rsidRPr="00FD36E4">
        <w:rPr>
          <w:bCs/>
        </w:rPr>
        <w:t xml:space="preserve"> en de Utrechtse Vecht</w:t>
      </w:r>
      <w:r>
        <w:rPr>
          <w:bCs/>
        </w:rPr>
        <w:t xml:space="preserve"> overgedragen aan de provincies.</w:t>
      </w:r>
      <w:r w:rsidRPr="00F7346E">
        <w:rPr>
          <w:bCs/>
        </w:rPr>
        <w:t xml:space="preserve"> </w:t>
      </w:r>
      <w:r w:rsidRPr="00FD36E4">
        <w:rPr>
          <w:bCs/>
        </w:rPr>
        <w:t>Sluitstuk van de operatie was de over</w:t>
      </w:r>
      <w:r>
        <w:rPr>
          <w:bCs/>
        </w:rPr>
        <w:t xml:space="preserve">name door het Rijk </w:t>
      </w:r>
      <w:r w:rsidRPr="00FD36E4">
        <w:rPr>
          <w:bCs/>
        </w:rPr>
        <w:t>van de vaarweg Lemmer-Delfzijl, waarover in 2011 overeenstemming werd bereikt.</w:t>
      </w:r>
    </w:p>
    <w:p w14:paraId="524BC4EB" w14:textId="5B8A294A" w:rsidR="00A363F5" w:rsidRDefault="003E1A1B" w:rsidP="00183139">
      <w:pPr>
        <w:ind w:firstLine="708"/>
        <w:jc w:val="left"/>
      </w:pPr>
      <w:r>
        <w:t>Sedert 1981 is de structuur van het hoofdvaarwegennet enige keren gewijzigd, waardoor nieuwe, grote containerterminals, zoals die in Meppel, Alphen</w:t>
      </w:r>
      <w:r w:rsidR="00EC00F8">
        <w:t xml:space="preserve">, </w:t>
      </w:r>
      <w:r>
        <w:t>Veghel</w:t>
      </w:r>
      <w:r w:rsidR="00EC00F8">
        <w:t xml:space="preserve"> en Tilburg</w:t>
      </w:r>
      <w:r>
        <w:t xml:space="preserve">, via hoofdvaarwegen bereikbaar werden. </w:t>
      </w:r>
      <w:bookmarkStart w:id="68" w:name="_Hlk85553134"/>
      <w:r>
        <w:t>Bovendien bestaat sedert 2011</w:t>
      </w:r>
      <w:r w:rsidRPr="00B67A28">
        <w:rPr>
          <w:bCs/>
        </w:rPr>
        <w:t xml:space="preserve"> – ter ontlasting van het wegennet – een subsidieregeling, </w:t>
      </w:r>
      <w:r>
        <w:rPr>
          <w:bCs/>
        </w:rPr>
        <w:t xml:space="preserve">waardoor het </w:t>
      </w:r>
      <w:r w:rsidRPr="00B67A28">
        <w:rPr>
          <w:bCs/>
        </w:rPr>
        <w:t xml:space="preserve">Rijk de verbetering van niet-hoofdvaarwegen </w:t>
      </w:r>
      <w:r>
        <w:rPr>
          <w:bCs/>
        </w:rPr>
        <w:t xml:space="preserve">ten behoeve van het containervervoer </w:t>
      </w:r>
      <w:r w:rsidRPr="00B67A28">
        <w:rPr>
          <w:bCs/>
        </w:rPr>
        <w:t>kan ondersteunen.</w:t>
      </w:r>
      <w:bookmarkEnd w:id="68"/>
      <w:r w:rsidR="004923FF">
        <w:rPr>
          <w:bCs/>
        </w:rPr>
        <w:t xml:space="preserve"> </w:t>
      </w:r>
      <w:r w:rsidR="00AB532A">
        <w:rPr>
          <w:bCs/>
        </w:rPr>
        <w:t>Daarnaast nam de betekenis van de kleine vaarwegen door de opkomst van de recreatievaart sterk toe.</w:t>
      </w:r>
    </w:p>
    <w:p w14:paraId="077B51CF" w14:textId="77777777" w:rsidR="00A363F5" w:rsidRDefault="00A363F5" w:rsidP="00DE08B1">
      <w:pPr>
        <w:jc w:val="left"/>
      </w:pPr>
    </w:p>
    <w:p w14:paraId="19081070" w14:textId="77777777" w:rsidR="00A363F5" w:rsidRDefault="00A363F5" w:rsidP="00DE08B1">
      <w:pPr>
        <w:jc w:val="left"/>
      </w:pPr>
    </w:p>
    <w:p w14:paraId="6F9D7526" w14:textId="5D3CE459" w:rsidR="0019504D" w:rsidRDefault="0019504D" w:rsidP="00741530">
      <w:pPr>
        <w:pStyle w:val="Heading2"/>
        <w:jc w:val="left"/>
      </w:pPr>
      <w:bookmarkStart w:id="69" w:name="_Hlk85553405"/>
      <w:r>
        <w:t>Standaardisatie van de vaarwegafmetingen</w:t>
      </w:r>
      <w:r w:rsidR="00741530">
        <w:br/>
      </w:r>
    </w:p>
    <w:bookmarkEnd w:id="69"/>
    <w:p w14:paraId="06A41E1B" w14:textId="7AADFA1B" w:rsidR="0019504D" w:rsidRPr="000D524F" w:rsidRDefault="0019504D" w:rsidP="00DE08B1">
      <w:pPr>
        <w:jc w:val="left"/>
        <w:rPr>
          <w:rFonts w:eastAsia="Calibri"/>
          <w:bCs/>
        </w:rPr>
      </w:pPr>
      <w:r w:rsidRPr="000D524F">
        <w:rPr>
          <w:bCs/>
        </w:rPr>
        <w:t xml:space="preserve">Na de Tweede Wereldoorlog ontstond in West-Europa behoefte aan een internationale afstemming van de vaarwegafmetingen. </w:t>
      </w:r>
      <w:r w:rsidRPr="000D524F">
        <w:rPr>
          <w:rFonts w:eastAsia="Calibri"/>
          <w:bCs/>
        </w:rPr>
        <w:t>In 1954 kwam de Commissie van Europese Ministers van Transport (CEMT) met een classificatiesysteem, waarbij de vaarwegen in vijf klassen werden ingedeeld, afhankelijk van hun horizontale afmetingen. Uitgangspunt waren de afmetingen van vijf scheepstypen, die op dat moment in West-Europa vaak voorkwamen: de spits (300 ton), de kempenaar (600 ton), het Dortmund-Eemskanaal schip (1</w:t>
      </w:r>
      <w:r w:rsidR="00C2742F">
        <w:rPr>
          <w:rFonts w:eastAsia="Calibri"/>
          <w:bCs/>
        </w:rPr>
        <w:t>.</w:t>
      </w:r>
      <w:r w:rsidRPr="000D524F">
        <w:rPr>
          <w:rFonts w:eastAsia="Calibri"/>
          <w:bCs/>
        </w:rPr>
        <w:t xml:space="preserve">000 ton), het </w:t>
      </w:r>
      <w:proofErr w:type="spellStart"/>
      <w:r w:rsidRPr="000D524F">
        <w:rPr>
          <w:rFonts w:eastAsia="Calibri"/>
          <w:bCs/>
        </w:rPr>
        <w:t>Rhein</w:t>
      </w:r>
      <w:proofErr w:type="spellEnd"/>
      <w:r w:rsidRPr="000D524F">
        <w:rPr>
          <w:rFonts w:eastAsia="Calibri"/>
          <w:bCs/>
        </w:rPr>
        <w:t>-Hernekanaal schip (1</w:t>
      </w:r>
      <w:r w:rsidR="00C2742F">
        <w:rPr>
          <w:rFonts w:eastAsia="Calibri"/>
          <w:bCs/>
        </w:rPr>
        <w:t>.</w:t>
      </w:r>
      <w:r w:rsidRPr="000D524F">
        <w:rPr>
          <w:rFonts w:eastAsia="Calibri"/>
          <w:bCs/>
        </w:rPr>
        <w:t>350 ton) en het grote Rijnschip (2</w:t>
      </w:r>
      <w:r w:rsidR="00C2742F">
        <w:rPr>
          <w:rFonts w:eastAsia="Calibri"/>
          <w:bCs/>
        </w:rPr>
        <w:t>.</w:t>
      </w:r>
      <w:r w:rsidRPr="000D524F">
        <w:rPr>
          <w:rFonts w:eastAsia="Calibri"/>
          <w:bCs/>
        </w:rPr>
        <w:t>000 ton). De klasse waartoe een vaarweg behoorde, was afhankelijk van het grootste standaardschip dat die vaarweg kon bevaren. De hoogste klasse (klasse V) werd gevormd door het Rijnschip van 2</w:t>
      </w:r>
      <w:r w:rsidR="00C2742F">
        <w:rPr>
          <w:rFonts w:eastAsia="Calibri"/>
          <w:bCs/>
        </w:rPr>
        <w:t>.</w:t>
      </w:r>
      <w:r w:rsidRPr="000D524F">
        <w:rPr>
          <w:rFonts w:eastAsia="Calibri"/>
          <w:bCs/>
        </w:rPr>
        <w:t>000 ton. De CEMT adviseerde het klasse IV schip aan te houden als standaard voor vaarwegen van internationaal belang. Later werd dit schip vaak het Europaschip genoemd.</w:t>
      </w:r>
      <w:r w:rsidRPr="000D524F">
        <w:rPr>
          <w:rStyle w:val="EndnoteReference"/>
          <w:bCs/>
        </w:rPr>
        <w:endnoteReference w:id="124"/>
      </w:r>
    </w:p>
    <w:p w14:paraId="1015C0EB" w14:textId="5AC52139" w:rsidR="008263BB" w:rsidRPr="001263AA" w:rsidRDefault="0019504D" w:rsidP="00FA22EF">
      <w:pPr>
        <w:ind w:firstLine="708"/>
        <w:jc w:val="left"/>
        <w:rPr>
          <w:rFonts w:eastAsia="Calibri"/>
          <w:bCs/>
        </w:rPr>
      </w:pPr>
      <w:r w:rsidRPr="000D524F">
        <w:rPr>
          <w:rFonts w:eastAsia="Calibri"/>
          <w:bCs/>
        </w:rPr>
        <w:t xml:space="preserve">Op Nederlands initiatief breidde de CEMT de classificatie in 1992 uit, zodat deze thans ook duwstellen (klasse </w:t>
      </w:r>
      <w:proofErr w:type="spellStart"/>
      <w:r w:rsidRPr="000D524F">
        <w:rPr>
          <w:rFonts w:eastAsia="Calibri"/>
          <w:bCs/>
        </w:rPr>
        <w:t>Vb</w:t>
      </w:r>
      <w:proofErr w:type="spellEnd"/>
      <w:r w:rsidRPr="000D524F">
        <w:rPr>
          <w:rFonts w:eastAsia="Calibri"/>
          <w:bCs/>
        </w:rPr>
        <w:t xml:space="preserve"> en VI), grote containerschepen (brughoogten) en grote motorschepen (klasse </w:t>
      </w:r>
      <w:proofErr w:type="spellStart"/>
      <w:r w:rsidRPr="000D524F">
        <w:rPr>
          <w:rFonts w:eastAsia="Calibri"/>
          <w:bCs/>
        </w:rPr>
        <w:t>VIb</w:t>
      </w:r>
      <w:proofErr w:type="spellEnd"/>
      <w:r w:rsidRPr="000D524F">
        <w:rPr>
          <w:rFonts w:eastAsia="Calibri"/>
          <w:bCs/>
        </w:rPr>
        <w:t>) omvat. Nauwe samenwerking tussen de Nederlandse en Duitse vaarwegbeheerders leidde ertoe dat de Centrale Commissie voor de Rijnvaart in 1995 besloot om motorschepen met een lengte van 135 meter op de Rijn toe te laten.</w:t>
      </w:r>
      <w:r w:rsidRPr="000D524F">
        <w:rPr>
          <w:rStyle w:val="EndnoteReference"/>
          <w:rFonts w:eastAsia="Calibri"/>
          <w:bCs/>
        </w:rPr>
        <w:endnoteReference w:id="125"/>
      </w:r>
    </w:p>
    <w:p w14:paraId="0EE51041" w14:textId="5BB92F54" w:rsidR="008263BB" w:rsidRPr="00DD71B1" w:rsidRDefault="00A077F2" w:rsidP="00DE08B1">
      <w:pPr>
        <w:jc w:val="left"/>
        <w:rPr>
          <w:bCs/>
          <w:color w:val="FF0000"/>
        </w:rPr>
      </w:pPr>
      <w:r w:rsidRPr="00DD71B1">
        <w:rPr>
          <w:rFonts w:ascii="Calibri" w:eastAsia="Times New Roman" w:hAnsi="Calibri" w:cs="Calibri"/>
          <w:color w:val="FF0000"/>
          <w:szCs w:val="24"/>
          <w:shd w:val="clear" w:color="auto" w:fill="FFFFFF"/>
          <w:lang w:eastAsia="nl-NL"/>
        </w:rPr>
        <w:t>@i@</w:t>
      </w:r>
      <w:r w:rsidRPr="00DD71B1">
        <w:rPr>
          <w:rFonts w:eastAsia="Times New Roman" w:cs="Times New Roman"/>
          <w:color w:val="FF0000"/>
          <w:szCs w:val="24"/>
          <w:lang w:eastAsia="nl-NL"/>
        </w:rPr>
        <w:t>[[[</w:t>
      </w:r>
      <w:r w:rsidRPr="00DD71B1">
        <w:rPr>
          <w:bCs/>
          <w:color w:val="FF0000"/>
        </w:rPr>
        <w:t>6</w:t>
      </w:r>
      <w:r w:rsidR="00A07160" w:rsidRPr="00DD71B1">
        <w:rPr>
          <w:bCs/>
          <w:color w:val="FF0000"/>
        </w:rPr>
        <w:t>7</w:t>
      </w:r>
      <w:r w:rsidRPr="00DD71B1">
        <w:rPr>
          <w:bCs/>
          <w:color w:val="FF0000"/>
        </w:rPr>
        <w:t>-28_SpitsCartier.jpg</w:t>
      </w:r>
      <w:r w:rsidRPr="00DD71B1">
        <w:rPr>
          <w:rFonts w:cstheme="minorHAnsi"/>
          <w:color w:val="FF0000"/>
        </w:rPr>
        <w:t>]]]</w:t>
      </w:r>
      <w:r w:rsidRPr="00DD71B1">
        <w:rPr>
          <w:rFonts w:ascii="Calibri" w:eastAsia="Times New Roman" w:hAnsi="Calibri" w:cs="Calibri"/>
          <w:color w:val="FF0000"/>
          <w:szCs w:val="24"/>
          <w:shd w:val="clear" w:color="auto" w:fill="FFFFFF"/>
          <w:lang w:eastAsia="nl-NL"/>
        </w:rPr>
        <w:t>@/i@</w:t>
      </w:r>
    </w:p>
    <w:p w14:paraId="18134D54" w14:textId="68F7E65E" w:rsidR="00F75CF7" w:rsidRPr="00F75CF7" w:rsidRDefault="00F75CF7" w:rsidP="00F75CF7">
      <w:pPr>
        <w:rPr>
          <w:color w:val="FF0000"/>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A07160">
        <w:rPr>
          <w:color w:val="FF0000"/>
        </w:rPr>
        <w:t>68</w:t>
      </w:r>
      <w:r>
        <w:rPr>
          <w:color w:val="FF0000"/>
        </w:rPr>
        <w:t>-</w:t>
      </w:r>
      <w:r w:rsidRPr="00101DB1">
        <w:rPr>
          <w:color w:val="FF0000"/>
        </w:rPr>
        <w:t>27_Jagrie</w:t>
      </w:r>
      <w:r>
        <w:rPr>
          <w:color w:val="FF0000"/>
        </w:rPr>
        <w:t>.JPG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6AE12619" w14:textId="77777777" w:rsidR="00F75CF7" w:rsidRPr="004A4DEC" w:rsidRDefault="00F75CF7" w:rsidP="00DE08B1">
      <w:pPr>
        <w:jc w:val="left"/>
        <w:rPr>
          <w:color w:val="A66500"/>
        </w:rPr>
      </w:pPr>
    </w:p>
    <w:p w14:paraId="439B6249" w14:textId="77777777" w:rsidR="00F350E6" w:rsidRDefault="00F350E6" w:rsidP="00DE08B1">
      <w:pPr>
        <w:jc w:val="left"/>
      </w:pPr>
    </w:p>
    <w:p w14:paraId="15463AA3" w14:textId="7F247231" w:rsidR="0057018D" w:rsidRDefault="008139C5" w:rsidP="00F350E6">
      <w:pPr>
        <w:pStyle w:val="Heading2"/>
        <w:rPr>
          <w:rFonts w:eastAsia="Calibri"/>
        </w:rPr>
      </w:pPr>
      <w:bookmarkStart w:id="70" w:name="_Hlk85553536"/>
      <w:r>
        <w:rPr>
          <w:rFonts w:eastAsia="Calibri"/>
        </w:rPr>
        <w:t>R</w:t>
      </w:r>
      <w:r w:rsidR="0057018D">
        <w:rPr>
          <w:rFonts w:eastAsia="Calibri"/>
        </w:rPr>
        <w:t>ecreatievaart</w:t>
      </w:r>
    </w:p>
    <w:bookmarkEnd w:id="70"/>
    <w:p w14:paraId="17A8385F" w14:textId="77777777" w:rsidR="00B6264D" w:rsidRDefault="00B6264D" w:rsidP="00DE08B1">
      <w:pPr>
        <w:jc w:val="left"/>
        <w:rPr>
          <w:rFonts w:eastAsia="Calibri"/>
        </w:rPr>
      </w:pPr>
    </w:p>
    <w:p w14:paraId="42443F5B" w14:textId="2C7B779B" w:rsidR="0057018D" w:rsidRDefault="0057018D" w:rsidP="00DE08B1">
      <w:pPr>
        <w:jc w:val="left"/>
        <w:rPr>
          <w:rFonts w:eastAsia="Calibri"/>
        </w:rPr>
      </w:pPr>
      <w:r>
        <w:rPr>
          <w:rFonts w:eastAsia="Calibri"/>
        </w:rPr>
        <w:t xml:space="preserve">Omstreeks 1970 </w:t>
      </w:r>
      <w:r w:rsidR="00864DBC">
        <w:rPr>
          <w:rFonts w:eastAsia="Calibri"/>
        </w:rPr>
        <w:t xml:space="preserve">maakten </w:t>
      </w:r>
      <w:r>
        <w:rPr>
          <w:rFonts w:eastAsia="Calibri"/>
        </w:rPr>
        <w:t xml:space="preserve">vaarwegbeheerders en </w:t>
      </w:r>
      <w:r w:rsidR="00A22585">
        <w:rPr>
          <w:rFonts w:eastAsia="Calibri"/>
        </w:rPr>
        <w:t xml:space="preserve">politieke bewindvoerders </w:t>
      </w:r>
      <w:r w:rsidR="00864DBC">
        <w:rPr>
          <w:rFonts w:eastAsia="Calibri"/>
        </w:rPr>
        <w:t xml:space="preserve">zich grote </w:t>
      </w:r>
      <w:r>
        <w:rPr>
          <w:rFonts w:eastAsia="Calibri"/>
        </w:rPr>
        <w:t xml:space="preserve">zorgen dat het samengaan van beroepsvaart en de snelgroeiende recreatievaart op de hoofdverbindingen </w:t>
      </w:r>
      <w:r w:rsidR="00EC00F8">
        <w:rPr>
          <w:rFonts w:eastAsia="Calibri"/>
        </w:rPr>
        <w:t xml:space="preserve">in de toekomst </w:t>
      </w:r>
      <w:r>
        <w:rPr>
          <w:rFonts w:eastAsia="Calibri"/>
        </w:rPr>
        <w:t xml:space="preserve">ernstige verkeersveiligheidsproblemen zou </w:t>
      </w:r>
      <w:r w:rsidR="00864DBC">
        <w:rPr>
          <w:rFonts w:eastAsia="Calibri"/>
        </w:rPr>
        <w:t>opleveren.</w:t>
      </w:r>
      <w:r>
        <w:rPr>
          <w:rFonts w:eastAsia="Calibri"/>
        </w:rPr>
        <w:t xml:space="preserve"> In de jaren zeventig verviervoudigde het recreatieverkeer. Veel recreanten waren onervaren, weinig bekend met de </w:t>
      </w:r>
      <w:r w:rsidR="00963083">
        <w:rPr>
          <w:rFonts w:eastAsia="Calibri"/>
        </w:rPr>
        <w:t>vaarregels</w:t>
      </w:r>
      <w:r>
        <w:rPr>
          <w:rFonts w:eastAsia="Calibri"/>
        </w:rPr>
        <w:t xml:space="preserve">, en </w:t>
      </w:r>
      <w:r w:rsidR="00864DBC">
        <w:rPr>
          <w:rFonts w:eastAsia="Calibri"/>
        </w:rPr>
        <w:t>zich niet bewust v</w:t>
      </w:r>
      <w:r>
        <w:rPr>
          <w:rFonts w:eastAsia="Calibri"/>
        </w:rPr>
        <w:t>an de gevaren die grote binnenschepen voor hen opleverden. Bovendien dreigden door het snelgroeiende recreatieverkeer bij sluizen en beweegbare bruggen lange wachttijden voor de beroeps- en de recreatievaart te ontstaan.</w:t>
      </w:r>
      <w:r>
        <w:rPr>
          <w:rStyle w:val="EndnoteReference"/>
          <w:rFonts w:eastAsia="Calibri"/>
        </w:rPr>
        <w:endnoteReference w:id="126"/>
      </w:r>
      <w:r>
        <w:rPr>
          <w:rFonts w:eastAsia="Calibri"/>
        </w:rPr>
        <w:t xml:space="preserve"> </w:t>
      </w:r>
    </w:p>
    <w:p w14:paraId="4F3F4C1E" w14:textId="36140BAB" w:rsidR="0057018D" w:rsidRDefault="0057018D" w:rsidP="00F350E6">
      <w:pPr>
        <w:ind w:firstLine="708"/>
        <w:jc w:val="left"/>
        <w:rPr>
          <w:rFonts w:eastAsia="Calibri"/>
        </w:rPr>
      </w:pPr>
      <w:r>
        <w:rPr>
          <w:rFonts w:eastAsia="Calibri"/>
        </w:rPr>
        <w:lastRenderedPageBreak/>
        <w:t xml:space="preserve">De vaarwegbeheerders behandelden de watersporters op de hoofdverbindingen aanvankelijk als ongewenste verkeersdeelnemers. Mocht de pleziervaart ergens gevaren opleveren, dan moest die daar maar worden verboden. Toen bleek dat </w:t>
      </w:r>
      <w:r w:rsidR="00864DBC">
        <w:rPr>
          <w:rFonts w:eastAsia="Calibri"/>
        </w:rPr>
        <w:t xml:space="preserve">deze </w:t>
      </w:r>
      <w:r>
        <w:rPr>
          <w:rFonts w:eastAsia="Calibri"/>
        </w:rPr>
        <w:t xml:space="preserve">aanpak op weerstand stuitte, veranderde het beleid. De Vaarwegennota was de eerste beleidsnota, die de recreatievaart als volwaardig verkeersdeelnemer erkende. </w:t>
      </w:r>
      <w:r w:rsidRPr="003C78FE">
        <w:rPr>
          <w:rFonts w:eastAsia="Calibri"/>
        </w:rPr>
        <w:t xml:space="preserve">Volgens de nota konden </w:t>
      </w:r>
      <w:r>
        <w:rPr>
          <w:rFonts w:eastAsia="Calibri"/>
        </w:rPr>
        <w:t xml:space="preserve">de </w:t>
      </w:r>
      <w:r w:rsidR="00864DBC">
        <w:rPr>
          <w:rFonts w:eastAsia="Calibri"/>
        </w:rPr>
        <w:t xml:space="preserve">toekomstige </w:t>
      </w:r>
      <w:r w:rsidRPr="003C78FE">
        <w:rPr>
          <w:rFonts w:eastAsia="Calibri"/>
        </w:rPr>
        <w:t xml:space="preserve">verkeersproblemen op drie manieren worden opgelost. </w:t>
      </w:r>
      <w:r>
        <w:rPr>
          <w:rFonts w:eastAsia="Calibri"/>
        </w:rPr>
        <w:t xml:space="preserve">Ten eerste </w:t>
      </w:r>
      <w:r w:rsidRPr="003C78FE">
        <w:rPr>
          <w:rFonts w:eastAsia="Calibri"/>
        </w:rPr>
        <w:t>kon de vaart langs secundaire vaarroutes zoals de Utrechtse Vecht</w:t>
      </w:r>
      <w:r>
        <w:rPr>
          <w:rFonts w:eastAsia="Calibri"/>
        </w:rPr>
        <w:t xml:space="preserve"> en de Midden-Hollandroute</w:t>
      </w:r>
      <w:r w:rsidRPr="003C78FE">
        <w:rPr>
          <w:rFonts w:eastAsia="Calibri"/>
        </w:rPr>
        <w:t xml:space="preserve"> aantrekkelijker worden gemaakt, zodat de </w:t>
      </w:r>
      <w:r w:rsidR="00864DBC">
        <w:rPr>
          <w:rFonts w:eastAsia="Calibri"/>
        </w:rPr>
        <w:t xml:space="preserve">watersporters </w:t>
      </w:r>
      <w:r w:rsidRPr="003C78FE">
        <w:rPr>
          <w:rFonts w:eastAsia="Calibri"/>
        </w:rPr>
        <w:t>vaarwegen met drukke beroepsvaart kon</w:t>
      </w:r>
      <w:r w:rsidR="00864DBC">
        <w:rPr>
          <w:rFonts w:eastAsia="Calibri"/>
        </w:rPr>
        <w:t>den</w:t>
      </w:r>
      <w:r w:rsidRPr="003C78FE">
        <w:rPr>
          <w:rFonts w:eastAsia="Calibri"/>
        </w:rPr>
        <w:t xml:space="preserve"> vermijden.</w:t>
      </w:r>
      <w:r>
        <w:rPr>
          <w:rFonts w:eastAsia="Calibri"/>
        </w:rPr>
        <w:t xml:space="preserve"> Ten tweede konden verkeersmaatregelen worden genomen, zoals een verplichting voor de recreatievaart om op sommige rivieren nabij de rechteroever te varen, </w:t>
      </w:r>
      <w:r w:rsidR="00864DBC">
        <w:rPr>
          <w:rFonts w:eastAsia="Calibri"/>
        </w:rPr>
        <w:t>uitrustings</w:t>
      </w:r>
      <w:r>
        <w:rPr>
          <w:rFonts w:eastAsia="Calibri"/>
        </w:rPr>
        <w:t xml:space="preserve">voorschriften voor recreatievaartuigen, of het aanbrengen van extra betonning zodat de recreatievaart buiten de hoofdvaargeul bleef. Ten derde </w:t>
      </w:r>
      <w:r w:rsidRPr="003C78FE">
        <w:rPr>
          <w:rFonts w:eastAsia="Calibri"/>
        </w:rPr>
        <w:t xml:space="preserve">konden in streek- en bestemmingsplannen afspraken over de plaats van nieuwe jachthavens worden gemaakt. </w:t>
      </w:r>
      <w:r w:rsidR="002174CA">
        <w:rPr>
          <w:rFonts w:eastAsia="Calibri"/>
        </w:rPr>
        <w:t>In de praktijk bleek d</w:t>
      </w:r>
      <w:r>
        <w:rPr>
          <w:rFonts w:eastAsia="Calibri"/>
        </w:rPr>
        <w:t>eze</w:t>
      </w:r>
      <w:r w:rsidRPr="003C78FE">
        <w:rPr>
          <w:rFonts w:eastAsia="Calibri"/>
        </w:rPr>
        <w:t xml:space="preserve"> mix van maatregelen voldoende om onoverkomelijke problemen te vermijden.</w:t>
      </w:r>
      <w:r w:rsidRPr="003C78FE">
        <w:rPr>
          <w:rFonts w:eastAsia="Calibri"/>
          <w:vertAlign w:val="superscript"/>
        </w:rPr>
        <w:endnoteReference w:id="127"/>
      </w:r>
      <w:r>
        <w:rPr>
          <w:rFonts w:eastAsia="Calibri"/>
        </w:rPr>
        <w:t xml:space="preserve"> </w:t>
      </w:r>
    </w:p>
    <w:p w14:paraId="4A57EE5E" w14:textId="28FE4C25" w:rsidR="0057018D" w:rsidRDefault="0057018D" w:rsidP="003C1CD0">
      <w:pPr>
        <w:ind w:firstLine="708"/>
        <w:jc w:val="left"/>
        <w:rPr>
          <w:rFonts w:eastAsia="Calibri"/>
        </w:rPr>
      </w:pPr>
      <w:bookmarkStart w:id="71" w:name="_Hlk52886391"/>
      <w:r w:rsidRPr="00101462">
        <w:rPr>
          <w:rFonts w:eastAsia="Calibri"/>
        </w:rPr>
        <w:t xml:space="preserve">Later overleg tussen </w:t>
      </w:r>
      <w:r>
        <w:rPr>
          <w:rFonts w:eastAsia="Calibri"/>
        </w:rPr>
        <w:t xml:space="preserve">vaarwegbeheerders en </w:t>
      </w:r>
      <w:r w:rsidRPr="00101462">
        <w:rPr>
          <w:rFonts w:eastAsia="Calibri"/>
        </w:rPr>
        <w:t xml:space="preserve">watersportorganisaties leidde tot de conclusie </w:t>
      </w:r>
      <w:bookmarkEnd w:id="71"/>
      <w:r w:rsidRPr="00101462">
        <w:rPr>
          <w:rFonts w:eastAsia="Calibri"/>
        </w:rPr>
        <w:t xml:space="preserve">dat </w:t>
      </w:r>
      <w:r w:rsidR="00A22585">
        <w:rPr>
          <w:rFonts w:eastAsia="Calibri"/>
        </w:rPr>
        <w:t xml:space="preserve">de beheerders </w:t>
      </w:r>
      <w:r w:rsidRPr="00101462">
        <w:rPr>
          <w:rFonts w:eastAsia="Calibri"/>
        </w:rPr>
        <w:t xml:space="preserve">hun beleid </w:t>
      </w:r>
      <w:r>
        <w:rPr>
          <w:rFonts w:eastAsia="Calibri"/>
        </w:rPr>
        <w:t xml:space="preserve">op een aantal </w:t>
      </w:r>
      <w:r w:rsidR="002174CA">
        <w:rPr>
          <w:rFonts w:eastAsia="Calibri"/>
        </w:rPr>
        <w:t xml:space="preserve">doorgaande </w:t>
      </w:r>
      <w:r w:rsidRPr="00101462">
        <w:rPr>
          <w:rFonts w:eastAsia="Calibri"/>
        </w:rPr>
        <w:t xml:space="preserve">verbindingsroutes beter moesten coördineren om </w:t>
      </w:r>
      <w:r w:rsidRPr="00032097">
        <w:rPr>
          <w:rFonts w:eastAsia="Calibri"/>
        </w:rPr>
        <w:t>ze voor de recreatievaart aantrekkelijk te maken. Op deze basis kwam in 1985 de nota ‘Beleidsvisie recreatietoervaart in Nederland’ tot stand, waarin een uitgebreid netwerk van hoofdverbindingen – het zogenaamde ‘hoofdtoervaartnet’ met een lengte van 3</w:t>
      </w:r>
      <w:r w:rsidR="000B1A81" w:rsidRPr="00032097">
        <w:rPr>
          <w:rFonts w:eastAsia="Calibri"/>
        </w:rPr>
        <w:t>.</w:t>
      </w:r>
      <w:r w:rsidRPr="00032097">
        <w:rPr>
          <w:rFonts w:eastAsia="Calibri"/>
        </w:rPr>
        <w:t xml:space="preserve">900 kilometer – werd aangewezen, </w:t>
      </w:r>
      <w:r w:rsidR="00B955E4" w:rsidRPr="00032097">
        <w:rPr>
          <w:rFonts w:eastAsia="Calibri"/>
        </w:rPr>
        <w:t xml:space="preserve">dat </w:t>
      </w:r>
      <w:r w:rsidRPr="00032097">
        <w:rPr>
          <w:rFonts w:eastAsia="Calibri"/>
        </w:rPr>
        <w:t>het hele land toeristisch ontslo</w:t>
      </w:r>
      <w:r w:rsidR="00B955E4" w:rsidRPr="00032097">
        <w:rPr>
          <w:rFonts w:eastAsia="Calibri"/>
        </w:rPr>
        <w:t>o</w:t>
      </w:r>
      <w:r w:rsidRPr="00032097">
        <w:rPr>
          <w:rFonts w:eastAsia="Calibri"/>
        </w:rPr>
        <w:t xml:space="preserve">t. Iedere </w:t>
      </w:r>
      <w:r w:rsidR="00B955E4" w:rsidRPr="00032097">
        <w:rPr>
          <w:rFonts w:eastAsia="Calibri"/>
        </w:rPr>
        <w:t>beheerder b</w:t>
      </w:r>
      <w:r w:rsidRPr="00032097">
        <w:rPr>
          <w:rFonts w:eastAsia="Calibri"/>
        </w:rPr>
        <w:t>ehield zijn verantwoordelijkheden, maar samen sloten ze een</w:t>
      </w:r>
      <w:r w:rsidRPr="005E0291">
        <w:rPr>
          <w:rFonts w:eastAsia="Calibri"/>
        </w:rPr>
        <w:t xml:space="preserve"> ‘gentlemen’s agreement’ om hun beleid op elkaar af te stemmen. Het ging hierbij vooral om de bedieningstijden, de afmetingen van vaarwegen, sluizen en bruggen</w:t>
      </w:r>
      <w:r>
        <w:rPr>
          <w:rFonts w:eastAsia="Calibri"/>
        </w:rPr>
        <w:t>,</w:t>
      </w:r>
      <w:r w:rsidRPr="005E0291">
        <w:rPr>
          <w:rFonts w:eastAsia="Calibri"/>
        </w:rPr>
        <w:t xml:space="preserve"> en de aanleg van recreatieve voorzieningen. </w:t>
      </w:r>
      <w:r w:rsidRPr="00101462">
        <w:rPr>
          <w:rFonts w:eastAsia="Calibri"/>
        </w:rPr>
        <w:t xml:space="preserve">Later werd de Beleidsvisie regelmatig aangepast aan de nieuwste ontwikkelingen. </w:t>
      </w:r>
      <w:r w:rsidRPr="005E0291">
        <w:rPr>
          <w:rFonts w:eastAsia="Calibri"/>
        </w:rPr>
        <w:t>Eén van de belangrijkste resultaten is het routeakkoord over de bedieningstijden van de</w:t>
      </w:r>
      <w:r>
        <w:rPr>
          <w:rFonts w:eastAsia="Calibri"/>
        </w:rPr>
        <w:t xml:space="preserve"> </w:t>
      </w:r>
      <w:r w:rsidRPr="00874FD4">
        <w:rPr>
          <w:rFonts w:eastAsia="Calibri"/>
        </w:rPr>
        <w:t>86 beweegbare bruggen en 20 sluizen</w:t>
      </w:r>
      <w:r w:rsidRPr="005E0291">
        <w:rPr>
          <w:rFonts w:eastAsia="Calibri"/>
        </w:rPr>
        <w:t xml:space="preserve"> op de </w:t>
      </w:r>
      <w:r>
        <w:rPr>
          <w:rFonts w:eastAsia="Calibri"/>
        </w:rPr>
        <w:t xml:space="preserve">zogenaamde ‘Staande Mast Route’ van Breskens via Amsterdam naar Delfzijl, waardoor </w:t>
      </w:r>
      <w:r w:rsidRPr="00874FD4">
        <w:rPr>
          <w:rFonts w:eastAsia="Calibri"/>
        </w:rPr>
        <w:t>zeilschepen</w:t>
      </w:r>
      <w:r>
        <w:rPr>
          <w:rFonts w:eastAsia="Calibri"/>
        </w:rPr>
        <w:t xml:space="preserve"> en motorvaartuigen dit traject thans in drie etmalen </w:t>
      </w:r>
      <w:r w:rsidRPr="005E0291">
        <w:rPr>
          <w:rFonts w:eastAsia="Calibri"/>
        </w:rPr>
        <w:t>kunnen afleggen.</w:t>
      </w:r>
      <w:r>
        <w:rPr>
          <w:rStyle w:val="EndnoteReference"/>
          <w:rFonts w:eastAsia="Calibri"/>
        </w:rPr>
        <w:endnoteReference w:id="128"/>
      </w:r>
      <w:r w:rsidRPr="005E0291">
        <w:rPr>
          <w:rFonts w:eastAsia="Calibri"/>
        </w:rPr>
        <w:t xml:space="preserve"> </w:t>
      </w:r>
      <w:r w:rsidRPr="00101462">
        <w:rPr>
          <w:rFonts w:eastAsia="Calibri"/>
        </w:rPr>
        <w:t xml:space="preserve"> </w:t>
      </w:r>
    </w:p>
    <w:p w14:paraId="057CFFE4" w14:textId="1A970D28" w:rsidR="00D23386" w:rsidRDefault="00D23386" w:rsidP="00DE08B1">
      <w:pPr>
        <w:jc w:val="left"/>
      </w:pPr>
    </w:p>
    <w:p w14:paraId="12925550" w14:textId="77777777" w:rsidR="00D128F6" w:rsidRDefault="00D128F6" w:rsidP="00DE08B1">
      <w:pPr>
        <w:jc w:val="left"/>
      </w:pPr>
    </w:p>
    <w:p w14:paraId="4F327AF6" w14:textId="36D2FED7" w:rsidR="00D23386" w:rsidRDefault="009E7CCD" w:rsidP="00DE08B1">
      <w:pPr>
        <w:pStyle w:val="Heading2"/>
        <w:jc w:val="left"/>
      </w:pPr>
      <w:bookmarkStart w:id="72" w:name="_Hlk85553904"/>
      <w:r>
        <w:t>12</w:t>
      </w:r>
      <w:r w:rsidR="00D23386">
        <w:t xml:space="preserve"> </w:t>
      </w:r>
      <w:r>
        <w:t>Verkeersveiligheid</w:t>
      </w:r>
      <w:r>
        <w:br/>
      </w:r>
    </w:p>
    <w:bookmarkEnd w:id="72"/>
    <w:p w14:paraId="1AC03135" w14:textId="77777777" w:rsidR="00602EA6" w:rsidRDefault="00610197" w:rsidP="00F205E9">
      <w:pPr>
        <w:jc w:val="left"/>
      </w:pPr>
      <w:r>
        <w:t xml:space="preserve">Tot dusverre is er nauwelijks </w:t>
      </w:r>
      <w:proofErr w:type="spellStart"/>
      <w:r>
        <w:t>v</w:t>
      </w:r>
      <w:r w:rsidR="00D23386">
        <w:t>ervoershistorisch</w:t>
      </w:r>
      <w:proofErr w:type="spellEnd"/>
      <w:r w:rsidR="00D23386">
        <w:t xml:space="preserve"> onderzoek naar de ontwikkeling van de verkeersveiligheid van de binnenvaart verricht.</w:t>
      </w:r>
      <w:r w:rsidR="00B135CC">
        <w:t xml:space="preserve"> </w:t>
      </w:r>
      <w:r w:rsidR="00D23386">
        <w:t xml:space="preserve">In de Rijnvaart werden al in de negentiende eeuw eisen gesteld aan de ervaring van de Rijnschippers, het vervoer van gevaarlijke stoffen en de kwaliteit en uitrusting van Rijnschepen. In het begin van de twintigste eeuw kwam het </w:t>
      </w:r>
      <w:r w:rsidR="00D23386" w:rsidRPr="00AB6FA0">
        <w:t>Reglement Onderzoek Schepen</w:t>
      </w:r>
      <w:r w:rsidR="00D23386">
        <w:t xml:space="preserve"> op de Rijn (ROSR) tot stand, dat uniforme technische eisen stelde aan vaartuigen, die in het Rijnstroomgebied mogen varen. Naarmate het internationale vervoer toenam, viel een toenemend deel van de Nederlandse vloot onder deze regeling. Bovendien golden op de Rijn uniforme verkeersregels. Deze regelingen werden voortdurend aan nieuwe omstandigheden aangepast.</w:t>
      </w:r>
      <w:r w:rsidR="00D23386">
        <w:rPr>
          <w:rStyle w:val="EndnoteReference"/>
        </w:rPr>
        <w:endnoteReference w:id="129"/>
      </w:r>
    </w:p>
    <w:p w14:paraId="0F2B4EDE" w14:textId="37B44B79" w:rsidR="00D23386" w:rsidRPr="007C6F94" w:rsidRDefault="00D23386" w:rsidP="00602EA6">
      <w:pPr>
        <w:ind w:firstLine="708"/>
        <w:jc w:val="left"/>
      </w:pPr>
      <w:r>
        <w:lastRenderedPageBreak/>
        <w:t xml:space="preserve">In Nederland gaf het </w:t>
      </w:r>
      <w:proofErr w:type="spellStart"/>
      <w:r>
        <w:t>Bi</w:t>
      </w:r>
      <w:r w:rsidRPr="008C2195">
        <w:t>nnenaan</w:t>
      </w:r>
      <w:r>
        <w:t>varingsreglement</w:t>
      </w:r>
      <w:proofErr w:type="spellEnd"/>
      <w:r>
        <w:t xml:space="preserve"> vanaf 1897 uniforme verkeersregels </w:t>
      </w:r>
      <w:r w:rsidR="00573651">
        <w:t xml:space="preserve">op </w:t>
      </w:r>
      <w:r>
        <w:t xml:space="preserve">alle binnenwateren, die niet tot de Rijntakken behoorden. </w:t>
      </w:r>
      <w:r w:rsidR="00F74475">
        <w:t xml:space="preserve">In de jaren twintig bestonden er voor het binnenlandse goederenvervoer geen algemene wettelijke regels voor de </w:t>
      </w:r>
      <w:r w:rsidR="00F74475" w:rsidRPr="007C6F94">
        <w:t>d</w:t>
      </w:r>
      <w:r w:rsidR="007C6F94" w:rsidRPr="007C6F94">
        <w:t>eugde</w:t>
      </w:r>
      <w:r w:rsidR="00F74475" w:rsidRPr="007C6F94">
        <w:t>lijk</w:t>
      </w:r>
      <w:r w:rsidR="00F74475">
        <w:t>heid, de inrichting en de uitrusting van de vaartuigen, de wijze van belading en de vakbekwaamheid van de schippers.</w:t>
      </w:r>
      <w:r w:rsidR="00F74475" w:rsidRPr="00F74475">
        <w:t xml:space="preserve"> </w:t>
      </w:r>
      <w:r w:rsidR="00F74475">
        <w:t xml:space="preserve">Voor het personenvervoer </w:t>
      </w:r>
      <w:r w:rsidR="00F81FF2">
        <w:t xml:space="preserve">bestonden </w:t>
      </w:r>
      <w:r w:rsidR="00F74475">
        <w:t xml:space="preserve">wel voorschriften, maar deze vertoonden volgens toenmalige deskundigen lacunes. </w:t>
      </w:r>
      <w:r w:rsidR="00F81FF2">
        <w:t xml:space="preserve">Verder </w:t>
      </w:r>
      <w:r w:rsidR="00F74475">
        <w:t xml:space="preserve">golden op bijna alle vaarwegen afzonderlijke reglementen met regels voor een doelmatig gebruik, zoals maximale vaartuigafmetingen, toegestane vaarsnelheden en voorschriften ter bescherming van omwonenden tegen branden en explosies. Schippers </w:t>
      </w:r>
      <w:r w:rsidR="003E6C6A">
        <w:t>kenden de</w:t>
      </w:r>
      <w:r w:rsidR="00610197">
        <w:t>ze</w:t>
      </w:r>
      <w:r w:rsidR="003E6C6A">
        <w:t xml:space="preserve"> regels slecht, </w:t>
      </w:r>
      <w:r w:rsidR="00F74475">
        <w:t>terwijl de controle op de naleving beperkt was.</w:t>
      </w:r>
      <w:r>
        <w:rPr>
          <w:rStyle w:val="EndnoteReference"/>
        </w:rPr>
        <w:endnoteReference w:id="130"/>
      </w:r>
      <w:r>
        <w:t xml:space="preserve">    </w:t>
      </w:r>
    </w:p>
    <w:p w14:paraId="6DA676E5" w14:textId="50922E41" w:rsidR="00835CDC" w:rsidRDefault="00D23386" w:rsidP="009174D4">
      <w:pPr>
        <w:ind w:firstLine="708"/>
        <w:jc w:val="left"/>
      </w:pPr>
      <w:r>
        <w:t>In 1925 leidden enige scheepsongevallen met moderne beurtvaartuigen en rederijschepen bij storm op de Zuiderzee, waarbij een deel van de opvarenden omkwam, in de pers en bij de binnenvaartorganisaties tot de vraag of de verkeersveiligheid op het water voldoende was geregeld.</w:t>
      </w:r>
      <w:r w:rsidR="003E6C6A">
        <w:t xml:space="preserve"> Moesten de </w:t>
      </w:r>
      <w:r w:rsidR="00486D36">
        <w:t>R</w:t>
      </w:r>
      <w:r w:rsidR="00486D36" w:rsidRPr="00486D36">
        <w:t>ijksoverheid</w:t>
      </w:r>
      <w:r w:rsidR="003E6C6A" w:rsidRPr="00486D36">
        <w:t>,</w:t>
      </w:r>
      <w:r w:rsidR="003E6C6A">
        <w:t xml:space="preserve"> het bedrijfsleven of de verzekeringsmaatschappijen geen nadere regels stellen? </w:t>
      </w:r>
      <w:r>
        <w:t xml:space="preserve">Een jaar later noemde T.L. Mellema, scheepvaartinspecteur </w:t>
      </w:r>
      <w:r w:rsidR="00B135CC">
        <w:t xml:space="preserve">voor de zeevaart </w:t>
      </w:r>
      <w:r>
        <w:t xml:space="preserve">in het district Delfzijl, als mogelijke oorzaken: </w:t>
      </w:r>
      <w:proofErr w:type="spellStart"/>
      <w:r>
        <w:t>overbelading</w:t>
      </w:r>
      <w:proofErr w:type="spellEnd"/>
      <w:r>
        <w:t xml:space="preserve">, varen met te hoge deklast, varen zonder gesloten luiken, </w:t>
      </w:r>
      <w:proofErr w:type="spellStart"/>
      <w:r>
        <w:t>onderbemanning</w:t>
      </w:r>
      <w:proofErr w:type="spellEnd"/>
      <w:r>
        <w:t>, onkunde van de bemanning, gebrek aan kennis over de aanvaringsregels, ondeugdelijkheid van het schip of de tuigage en gebrekkig onderhoud.</w:t>
      </w:r>
      <w:r>
        <w:rPr>
          <w:rStyle w:val="EndnoteReference"/>
        </w:rPr>
        <w:endnoteReference w:id="131"/>
      </w:r>
      <w:r>
        <w:t xml:space="preserve"> </w:t>
      </w:r>
      <w:bookmarkStart w:id="73" w:name="_Hlk171007549"/>
      <w:r w:rsidR="009174D4">
        <w:t xml:space="preserve">In 1932 maakte een ongeluk met de goed-onderhouden, solide beurtstoomboot </w:t>
      </w:r>
      <w:r w:rsidR="009174D4" w:rsidRPr="009174D4">
        <w:rPr>
          <w:i/>
          <w:iCs/>
        </w:rPr>
        <w:t>Stanfries IV</w:t>
      </w:r>
      <w:r w:rsidR="009174D4">
        <w:t xml:space="preserve"> op de Zuiderzee, waarbij vier opvarenden verdronken, grote indruk</w:t>
      </w:r>
      <w:r w:rsidR="00635133">
        <w:t>.</w:t>
      </w:r>
      <w:r w:rsidR="00635133">
        <w:rPr>
          <w:rStyle w:val="EndnoteReference"/>
        </w:rPr>
        <w:endnoteReference w:id="132"/>
      </w:r>
    </w:p>
    <w:p w14:paraId="4223FB2F" w14:textId="4A888040" w:rsidR="00EF2F3C" w:rsidRPr="001D69B9" w:rsidRDefault="00572093" w:rsidP="00EF2F3C">
      <w:pPr>
        <w:jc w:val="left"/>
        <w:rPr>
          <w:rFonts w:asciiTheme="minorHAnsi" w:eastAsia="Times New Roman" w:hAnsiTheme="minorHAnsi" w:cstheme="minorHAnsi"/>
          <w:color w:val="FF0000"/>
          <w:shd w:val="clear" w:color="auto" w:fill="FFFFFF"/>
          <w:lang w:eastAsia="nl-NL"/>
        </w:rPr>
      </w:pPr>
      <w:r w:rsidRPr="001D69B9">
        <w:rPr>
          <w:rFonts w:asciiTheme="minorHAnsi" w:eastAsia="Times New Roman" w:hAnsiTheme="minorHAnsi" w:cstheme="minorHAnsi"/>
          <w:color w:val="FF0000"/>
          <w:szCs w:val="24"/>
          <w:shd w:val="clear" w:color="auto" w:fill="FFFFFF"/>
          <w:lang w:eastAsia="nl-NL"/>
        </w:rPr>
        <w:t>@i</w:t>
      </w:r>
      <w:r w:rsidRPr="001D69B9">
        <w:rPr>
          <w:rFonts w:asciiTheme="minorHAnsi" w:eastAsia="Times New Roman" w:hAnsiTheme="minorHAnsi" w:cstheme="minorHAnsi"/>
          <w:color w:val="ED0000"/>
          <w:szCs w:val="24"/>
          <w:shd w:val="clear" w:color="auto" w:fill="FFFFFF"/>
          <w:lang w:eastAsia="nl-NL"/>
        </w:rPr>
        <w:t>@</w:t>
      </w:r>
      <w:r w:rsidRPr="001D69B9">
        <w:rPr>
          <w:rFonts w:asciiTheme="minorHAnsi" w:eastAsia="Times New Roman" w:hAnsiTheme="minorHAnsi" w:cstheme="minorHAnsi"/>
          <w:color w:val="ED0000"/>
          <w:szCs w:val="24"/>
          <w:lang w:eastAsia="nl-NL"/>
        </w:rPr>
        <w:t>[[[</w:t>
      </w:r>
      <w:r w:rsidR="00ED21CC" w:rsidRPr="001D69B9">
        <w:rPr>
          <w:rFonts w:asciiTheme="minorHAnsi" w:eastAsia="Times New Roman" w:hAnsiTheme="minorHAnsi" w:cstheme="minorHAnsi"/>
          <w:color w:val="ED0000"/>
          <w:szCs w:val="24"/>
          <w:lang w:eastAsia="nl-NL"/>
        </w:rPr>
        <w:t>69_</w:t>
      </w:r>
      <w:r w:rsidR="00ED21CC" w:rsidRPr="001D69B9">
        <w:rPr>
          <w:rFonts w:asciiTheme="minorHAnsi" w:eastAsia="Times New Roman" w:hAnsiTheme="minorHAnsi" w:cstheme="minorHAnsi"/>
          <w:color w:val="FF0000"/>
          <w:szCs w:val="24"/>
          <w:lang w:eastAsia="nl-NL"/>
        </w:rPr>
        <w:t>StanfriesArtikel.jpg</w:t>
      </w:r>
      <w:r w:rsidRPr="001D69B9">
        <w:rPr>
          <w:rFonts w:asciiTheme="minorHAnsi" w:eastAsia="Times New Roman" w:hAnsiTheme="minorHAnsi" w:cstheme="minorHAnsi"/>
          <w:color w:val="FF0000"/>
          <w:szCs w:val="24"/>
          <w:lang w:eastAsia="nl-NL"/>
        </w:rPr>
        <w:t>]]]</w:t>
      </w:r>
      <w:r w:rsidR="00EF2F3C" w:rsidRPr="001D69B9">
        <w:rPr>
          <w:rFonts w:asciiTheme="minorHAnsi" w:eastAsia="Times New Roman" w:hAnsiTheme="minorHAnsi" w:cstheme="minorHAnsi"/>
          <w:color w:val="FF0000"/>
          <w:szCs w:val="24"/>
          <w:lang w:eastAsia="nl-NL"/>
        </w:rPr>
        <w:t xml:space="preserve"> [[[</w:t>
      </w:r>
      <w:r w:rsidR="00ED21CC" w:rsidRPr="001D69B9">
        <w:rPr>
          <w:rFonts w:asciiTheme="minorHAnsi" w:eastAsia="Times New Roman" w:hAnsiTheme="minorHAnsi" w:cstheme="minorHAnsi"/>
          <w:color w:val="FF0000"/>
          <w:szCs w:val="24"/>
          <w:lang w:eastAsia="nl-NL"/>
        </w:rPr>
        <w:t>70b_StanfriesX.jpg</w:t>
      </w:r>
      <w:r w:rsidR="00EF2F3C" w:rsidRPr="001D69B9">
        <w:rPr>
          <w:rFonts w:asciiTheme="minorHAnsi" w:eastAsia="Times New Roman" w:hAnsiTheme="minorHAnsi" w:cstheme="minorHAnsi"/>
          <w:color w:val="FF0000"/>
          <w:szCs w:val="24"/>
          <w:lang w:eastAsia="nl-NL"/>
        </w:rPr>
        <w:t>]]]</w:t>
      </w:r>
      <w:r w:rsidR="009B1553" w:rsidRPr="001D69B9">
        <w:rPr>
          <w:rFonts w:asciiTheme="minorHAnsi" w:eastAsia="Times New Roman" w:hAnsiTheme="minorHAnsi" w:cstheme="minorHAnsi"/>
          <w:color w:val="FF0000"/>
          <w:szCs w:val="24"/>
          <w:shd w:val="clear" w:color="auto" w:fill="FFFFFF"/>
          <w:lang w:eastAsia="nl-NL"/>
        </w:rPr>
        <w:t>@/i@</w:t>
      </w:r>
    </w:p>
    <w:p w14:paraId="57B56D2F" w14:textId="661C07A2" w:rsidR="008167F8" w:rsidRDefault="008167F8" w:rsidP="00DE08B1">
      <w:pPr>
        <w:jc w:val="left"/>
        <w:rPr>
          <w:rFonts w:ascii="Calibri" w:eastAsia="Times New Roman" w:hAnsi="Calibri" w:cs="Calibri"/>
          <w:color w:val="FF0000"/>
          <w:szCs w:val="24"/>
          <w:shd w:val="clear" w:color="auto" w:fill="FFFFFF"/>
          <w:lang w:eastAsia="nl-NL"/>
        </w:rPr>
      </w:pPr>
    </w:p>
    <w:bookmarkEnd w:id="73"/>
    <w:p w14:paraId="64BA06BB" w14:textId="77777777" w:rsidR="00116BCB" w:rsidRDefault="00116BCB" w:rsidP="00DE08B1">
      <w:pPr>
        <w:jc w:val="left"/>
      </w:pPr>
    </w:p>
    <w:p w14:paraId="0C2866D7" w14:textId="3D0A9AC6" w:rsidR="00D23386" w:rsidRDefault="00D23386" w:rsidP="00664F87">
      <w:pPr>
        <w:pStyle w:val="Heading2"/>
        <w:jc w:val="left"/>
      </w:pPr>
      <w:r>
        <w:t xml:space="preserve">Scheepsongevallen in </w:t>
      </w:r>
      <w:r w:rsidR="00B135CC">
        <w:t xml:space="preserve">1927 en </w:t>
      </w:r>
      <w:r>
        <w:t>1928</w:t>
      </w:r>
      <w:r w:rsidR="00664F87">
        <w:br/>
      </w:r>
    </w:p>
    <w:p w14:paraId="4B0D3EB9" w14:textId="628A5455" w:rsidR="00CC1108" w:rsidRDefault="00CC1108" w:rsidP="00153F56">
      <w:pPr>
        <w:jc w:val="left"/>
        <w:rPr>
          <w:rFonts w:eastAsia="Calibri" w:cs="Times New Roman"/>
          <w:color w:val="000000"/>
        </w:rPr>
      </w:pPr>
      <w:bookmarkStart w:id="74" w:name="_Hlk159484802"/>
      <w:r w:rsidRPr="00CC1108">
        <w:rPr>
          <w:rFonts w:eastAsia="Calibri" w:cs="Times New Roman"/>
          <w:color w:val="000000"/>
        </w:rPr>
        <w:t>Tussen de beide wereldoorlogen bestond in ons land nog geen ongevallenregistratie, waarin gegevens over ongelukken met binnenschepen systematisch werden vastgelegd. Om enig inzicht in de veiligheid van de toenmalige binnenvaart te krijgen moet dus van andere bronnen worden gebruikgemaakt.</w:t>
      </w:r>
      <w:bookmarkEnd w:id="74"/>
      <w:r w:rsidRPr="00CC1108">
        <w:rPr>
          <w:rFonts w:eastAsia="Calibri" w:cs="Times New Roman"/>
          <w:color w:val="000000"/>
        </w:rPr>
        <w:t xml:space="preserve"> </w:t>
      </w:r>
      <w:bookmarkStart w:id="75" w:name="_Hlk159485039"/>
      <w:r w:rsidRPr="00CC1108">
        <w:rPr>
          <w:rFonts w:eastAsia="Calibri" w:cs="Times New Roman"/>
          <w:color w:val="000000"/>
        </w:rPr>
        <w:t xml:space="preserve">Het schippersweekblad </w:t>
      </w:r>
      <w:proofErr w:type="spellStart"/>
      <w:r w:rsidRPr="00CC1108">
        <w:rPr>
          <w:rFonts w:eastAsia="Calibri" w:cs="Times New Roman"/>
          <w:i/>
          <w:iCs/>
          <w:color w:val="000000"/>
        </w:rPr>
        <w:t>Schuttevaêr</w:t>
      </w:r>
      <w:proofErr w:type="spellEnd"/>
      <w:r w:rsidRPr="00CC1108">
        <w:rPr>
          <w:rFonts w:eastAsia="Calibri" w:cs="Times New Roman"/>
          <w:i/>
          <w:iCs/>
          <w:color w:val="000000"/>
        </w:rPr>
        <w:t xml:space="preserve"> </w:t>
      </w:r>
      <w:r w:rsidRPr="00CC1108">
        <w:rPr>
          <w:rFonts w:eastAsia="Calibri" w:cs="Times New Roman"/>
          <w:color w:val="000000"/>
        </w:rPr>
        <w:t>biedt hiervoor de benodigde informatie.</w:t>
      </w:r>
      <w:bookmarkEnd w:id="75"/>
      <w:r w:rsidRPr="00CC1108">
        <w:rPr>
          <w:rFonts w:eastAsia="Calibri" w:cs="Times New Roman"/>
          <w:color w:val="000000"/>
        </w:rPr>
        <w:t xml:space="preserve"> </w:t>
      </w:r>
      <w:bookmarkStart w:id="76" w:name="_Hlk159485643"/>
      <w:r w:rsidR="00140609">
        <w:rPr>
          <w:rFonts w:eastAsia="Calibri" w:cs="Times New Roman"/>
          <w:color w:val="000000"/>
        </w:rPr>
        <w:t>Scheepsongevallen</w:t>
      </w:r>
      <w:r w:rsidR="00173D88" w:rsidRPr="00CC1108">
        <w:rPr>
          <w:rFonts w:eastAsia="Calibri" w:cs="Times New Roman"/>
          <w:color w:val="000000"/>
          <w:vertAlign w:val="superscript"/>
        </w:rPr>
        <w:endnoteReference w:id="133"/>
      </w:r>
      <w:r w:rsidR="00140609">
        <w:rPr>
          <w:rFonts w:eastAsia="Calibri" w:cs="Times New Roman"/>
          <w:color w:val="000000"/>
        </w:rPr>
        <w:t xml:space="preserve"> waren v</w:t>
      </w:r>
      <w:r w:rsidRPr="00CC1108">
        <w:rPr>
          <w:rFonts w:eastAsia="Calibri" w:cs="Times New Roman"/>
          <w:color w:val="000000"/>
        </w:rPr>
        <w:t>oor de lezers van deze krant van groot belang. In een kleine, hechte gemeenschap als de schippersbevolking trokken dergelijke gebeurtenissen veel aandacht, waarbij ieder ongeluk dagenlang uitvoerig werd besproken.</w:t>
      </w:r>
      <w:bookmarkEnd w:id="76"/>
      <w:r w:rsidRPr="00CC1108">
        <w:rPr>
          <w:rFonts w:eastAsia="Calibri" w:cs="Times New Roman"/>
          <w:color w:val="000000"/>
        </w:rPr>
        <w:t xml:space="preserve"> Ook de krant toonde hiervoor veel belangstelling, zowel bij het goederenvervoer, het personenvervoer, de visserij als de recreatievaart. De krant beschikte in iedere havenplaats, ook de kleinere, over eigen informanten en tipgevers, die ieder bijzonder voorval onmiddellijk doorgaven aan de redactie. Zelfs kleine ongevallen als de beschadiging van een scheepsschroef werden soms in de berichtgeving vermeld. Gezien de belangstelling daarvoor van haar lezerskring, het uitgebreide relatienetwerk van informanten en tipgevers, de gedetailleerde wijze van de berichtgeving en het beperkte aantal ernstige scheepsongevallen in deze periode zullen slechts weinig dodelijke ongevallen, dodelijke slachtoffers of gezonken binnenschepen aan de aandacht van de krant zijn ontsnapt. En omgekeerd geven de gezamenlijke berichten van </w:t>
      </w:r>
      <w:proofErr w:type="spellStart"/>
      <w:r w:rsidR="00E41A40" w:rsidRPr="00CC1108">
        <w:rPr>
          <w:rFonts w:eastAsia="Calibri" w:cs="Times New Roman"/>
          <w:i/>
          <w:iCs/>
          <w:color w:val="000000"/>
        </w:rPr>
        <w:t>Schuttevaêr</w:t>
      </w:r>
      <w:proofErr w:type="spellEnd"/>
      <w:r w:rsidRPr="00CC1108">
        <w:rPr>
          <w:rFonts w:eastAsia="Calibri" w:cs="Times New Roman"/>
          <w:i/>
          <w:iCs/>
          <w:color w:val="000000"/>
        </w:rPr>
        <w:t xml:space="preserve"> </w:t>
      </w:r>
      <w:r w:rsidRPr="00CC1108">
        <w:rPr>
          <w:rFonts w:eastAsia="Calibri" w:cs="Times New Roman"/>
          <w:color w:val="000000"/>
        </w:rPr>
        <w:t xml:space="preserve">een overzicht van de grote meerderheid van de </w:t>
      </w:r>
      <w:r w:rsidRPr="00CC1108">
        <w:rPr>
          <w:rFonts w:eastAsia="Calibri" w:cs="Times New Roman"/>
          <w:color w:val="000000"/>
        </w:rPr>
        <w:lastRenderedPageBreak/>
        <w:t xml:space="preserve">ernstige scheepsongevallen, de dodelijke slachtoffers en het aantal gezonken schepen. Deze conclusie is waarschijnlijk, maar kan niet worden bewezen. </w:t>
      </w:r>
    </w:p>
    <w:p w14:paraId="4B2C3B1F" w14:textId="537922D5" w:rsidR="004B7A14" w:rsidRPr="004B7A14" w:rsidRDefault="004B7A14" w:rsidP="00153F56">
      <w:pPr>
        <w:jc w:val="left"/>
        <w:rPr>
          <w:rFonts w:asciiTheme="minorHAnsi" w:eastAsia="Times New Roman" w:hAnsiTheme="minorHAnsi" w:cstheme="minorHAnsi"/>
          <w:color w:val="FF0000"/>
          <w:shd w:val="clear" w:color="auto" w:fill="FFFFFF"/>
          <w:lang w:eastAsia="nl-NL"/>
        </w:rPr>
      </w:pPr>
      <w:r w:rsidRPr="001D69B9">
        <w:rPr>
          <w:rFonts w:asciiTheme="minorHAnsi" w:eastAsia="Times New Roman" w:hAnsiTheme="minorHAnsi" w:cstheme="minorHAnsi"/>
          <w:color w:val="FF0000"/>
          <w:szCs w:val="24"/>
          <w:shd w:val="clear" w:color="auto" w:fill="FFFFFF"/>
          <w:lang w:eastAsia="nl-NL"/>
        </w:rPr>
        <w:t>@i@</w:t>
      </w:r>
      <w:r w:rsidRPr="001D69B9">
        <w:rPr>
          <w:rFonts w:asciiTheme="minorHAnsi" w:eastAsia="Times New Roman" w:hAnsiTheme="minorHAnsi" w:cstheme="minorHAnsi"/>
          <w:color w:val="FF0000"/>
          <w:szCs w:val="24"/>
          <w:lang w:eastAsia="nl-NL"/>
        </w:rPr>
        <w:t>[[[</w:t>
      </w:r>
      <w:r w:rsidRPr="001D69B9">
        <w:rPr>
          <w:rFonts w:asciiTheme="minorHAnsi" w:eastAsia="Times New Roman" w:hAnsiTheme="minorHAnsi" w:cstheme="minorHAnsi"/>
          <w:color w:val="FF0000"/>
          <w:shd w:val="clear" w:color="auto" w:fill="FFFFFF"/>
          <w:lang w:eastAsia="nl-NL"/>
        </w:rPr>
        <w:t>71-</w:t>
      </w:r>
      <w:r w:rsidRPr="001D69B9">
        <w:rPr>
          <w:rFonts w:asciiTheme="minorHAnsi" w:eastAsia="Times New Roman" w:hAnsiTheme="minorHAnsi" w:cstheme="minorHAnsi"/>
          <w:color w:val="FF0000"/>
          <w:lang w:eastAsia="nl-NL"/>
        </w:rPr>
        <w:t>59_</w:t>
      </w:r>
      <w:r w:rsidRPr="001D69B9">
        <w:rPr>
          <w:rFonts w:asciiTheme="minorHAnsi" w:hAnsiTheme="minorHAnsi" w:cstheme="minorHAnsi"/>
          <w:color w:val="FF0000"/>
        </w:rPr>
        <w:t>nood.jpg</w:t>
      </w:r>
      <w:r w:rsidRPr="001D69B9">
        <w:rPr>
          <w:rFonts w:asciiTheme="minorHAnsi" w:eastAsia="Times New Roman" w:hAnsiTheme="minorHAnsi" w:cstheme="minorHAnsi"/>
          <w:color w:val="FF0000"/>
          <w:szCs w:val="24"/>
          <w:lang w:eastAsia="nl-NL"/>
        </w:rPr>
        <w:t>]]]</w:t>
      </w:r>
      <w:r w:rsidRPr="001D69B9">
        <w:rPr>
          <w:rFonts w:asciiTheme="minorHAnsi" w:eastAsia="Times New Roman" w:hAnsiTheme="minorHAnsi" w:cstheme="minorHAnsi"/>
          <w:color w:val="FF0000"/>
          <w:szCs w:val="24"/>
          <w:shd w:val="clear" w:color="auto" w:fill="FFFFFF"/>
          <w:lang w:eastAsia="nl-NL"/>
        </w:rPr>
        <w:t>@/i@</w:t>
      </w:r>
    </w:p>
    <w:p w14:paraId="562C1F1D" w14:textId="77777777" w:rsidR="00CC1108" w:rsidRPr="00CC1108" w:rsidRDefault="00CC1108" w:rsidP="00CA62A1">
      <w:pPr>
        <w:ind w:firstLine="708"/>
        <w:jc w:val="left"/>
        <w:rPr>
          <w:rFonts w:eastAsia="Calibri" w:cs="Times New Roman"/>
          <w:color w:val="000000"/>
        </w:rPr>
      </w:pPr>
      <w:r w:rsidRPr="00CC1108">
        <w:rPr>
          <w:rFonts w:eastAsia="Calibri" w:cs="Times New Roman"/>
          <w:color w:val="000000"/>
        </w:rPr>
        <w:t>De berichten over gewonden waren minder nauwkeurig. Vaak kan de aard van de verwonding achteraf niet meer worden vastgesteld, terwijl waarschijnlijk lang niet alle ziekenhuisopnamen expliciet in de krant werden vermeld. De dekkingsgraad voor het aantal ziekenhuisgewonden is daarom veel lager dan voor het aantal doden.</w:t>
      </w:r>
    </w:p>
    <w:p w14:paraId="75B2888E" w14:textId="03CF7627" w:rsidR="00CC1108" w:rsidRPr="00CC1108" w:rsidRDefault="00CC1108" w:rsidP="001A1F4D">
      <w:pPr>
        <w:ind w:firstLine="708"/>
        <w:jc w:val="left"/>
        <w:rPr>
          <w:rFonts w:eastAsia="Calibri" w:cs="Times New Roman"/>
          <w:color w:val="000000"/>
        </w:rPr>
      </w:pPr>
      <w:r w:rsidRPr="00CC1108">
        <w:rPr>
          <w:rFonts w:eastAsia="Calibri" w:cs="Times New Roman"/>
          <w:color w:val="000000"/>
        </w:rPr>
        <w:t xml:space="preserve">Om meer inzicht in de veiligheid van de toenmalige binnenvaart te krijgen zijn in </w:t>
      </w:r>
      <w:proofErr w:type="spellStart"/>
      <w:r w:rsidRPr="00CC1108">
        <w:rPr>
          <w:rFonts w:eastAsia="Calibri" w:cs="Times New Roman"/>
          <w:i/>
          <w:iCs/>
          <w:color w:val="000000"/>
        </w:rPr>
        <w:t>Schuttevaêr</w:t>
      </w:r>
      <w:proofErr w:type="spellEnd"/>
      <w:r w:rsidRPr="00CC1108">
        <w:rPr>
          <w:rFonts w:eastAsia="Calibri" w:cs="Times New Roman"/>
          <w:i/>
          <w:iCs/>
          <w:color w:val="000000"/>
        </w:rPr>
        <w:t xml:space="preserve"> </w:t>
      </w:r>
      <w:r w:rsidRPr="00CC1108">
        <w:rPr>
          <w:rFonts w:eastAsia="Calibri" w:cs="Times New Roman"/>
          <w:color w:val="000000"/>
        </w:rPr>
        <w:t>alle berichten over scheepsongevallen in de jaren 1927 en 1928 op de Nederlandse vaarwegen opgespoord en geanalyseerd, inclusief de Waddenzee en de Zuiderzee, exclusief de Noordzee. Ongevallen met zeeschepen, vissersschepen en huishoudelijke ongevallen bleven buiten beschouwing. Onderstaande tabel geeft een overzicht van het aantal doden, gezonken schepen, ziekenhuisgewonden en de voornaamste ongevalsoorzaken, zoals die uit de krantenberichten kunnen worden vastgesteld.</w:t>
      </w:r>
      <w:r w:rsidRPr="00CC1108">
        <w:rPr>
          <w:rFonts w:eastAsia="Calibri" w:cs="Times New Roman"/>
          <w:color w:val="000000"/>
          <w:vertAlign w:val="superscript"/>
        </w:rPr>
        <w:endnoteReference w:id="134"/>
      </w:r>
    </w:p>
    <w:p w14:paraId="4509D79D" w14:textId="77777777" w:rsidR="00CC1108" w:rsidRPr="00CC1108" w:rsidRDefault="00CC1108" w:rsidP="00153F56"/>
    <w:p w14:paraId="601655D3" w14:textId="77777777" w:rsidR="00295DEE" w:rsidRDefault="00295DEE" w:rsidP="00DE08B1">
      <w:pPr>
        <w:jc w:val="left"/>
      </w:pPr>
    </w:p>
    <w:tbl>
      <w:tblPr>
        <w:tblStyle w:val="TableGrid"/>
        <w:tblW w:w="0" w:type="auto"/>
        <w:tblLook w:val="04A0" w:firstRow="1" w:lastRow="0" w:firstColumn="1" w:lastColumn="0" w:noHBand="0" w:noVBand="1"/>
      </w:tblPr>
      <w:tblGrid>
        <w:gridCol w:w="2830"/>
        <w:gridCol w:w="1560"/>
        <w:gridCol w:w="1559"/>
        <w:gridCol w:w="1417"/>
        <w:gridCol w:w="1696"/>
      </w:tblGrid>
      <w:tr w:rsidR="00295DEE" w:rsidRPr="00A03D24" w14:paraId="5C310359" w14:textId="77777777" w:rsidTr="0030721E">
        <w:trPr>
          <w:trHeight w:val="567"/>
        </w:trPr>
        <w:tc>
          <w:tcPr>
            <w:tcW w:w="2830" w:type="dxa"/>
            <w:vMerge w:val="restart"/>
          </w:tcPr>
          <w:p w14:paraId="53E758BE" w14:textId="77777777" w:rsidR="00295DEE" w:rsidRPr="00B67B2D" w:rsidRDefault="00295DEE" w:rsidP="00DE08B1">
            <w:pPr>
              <w:jc w:val="left"/>
              <w:rPr>
                <w:b/>
                <w:sz w:val="20"/>
                <w:szCs w:val="20"/>
              </w:rPr>
            </w:pPr>
            <w:r w:rsidRPr="00B67B2D">
              <w:rPr>
                <w:b/>
                <w:sz w:val="20"/>
                <w:szCs w:val="20"/>
              </w:rPr>
              <w:t>Aanleiding ongeval</w:t>
            </w:r>
          </w:p>
        </w:tc>
        <w:tc>
          <w:tcPr>
            <w:tcW w:w="3119" w:type="dxa"/>
            <w:gridSpan w:val="2"/>
          </w:tcPr>
          <w:p w14:paraId="6D4449BC" w14:textId="77777777" w:rsidR="00295DEE" w:rsidRPr="00B67B2D" w:rsidRDefault="00295DEE" w:rsidP="00DE08B1">
            <w:pPr>
              <w:jc w:val="left"/>
              <w:rPr>
                <w:b/>
                <w:sz w:val="20"/>
                <w:szCs w:val="20"/>
              </w:rPr>
            </w:pPr>
            <w:r w:rsidRPr="00B67B2D">
              <w:rPr>
                <w:b/>
                <w:sz w:val="20"/>
                <w:szCs w:val="20"/>
              </w:rPr>
              <w:t>Doden</w:t>
            </w:r>
          </w:p>
        </w:tc>
        <w:tc>
          <w:tcPr>
            <w:tcW w:w="1417" w:type="dxa"/>
            <w:vMerge w:val="restart"/>
          </w:tcPr>
          <w:p w14:paraId="6FCDB3E5" w14:textId="77777777" w:rsidR="00295DEE" w:rsidRPr="00B67B2D" w:rsidRDefault="00295DEE" w:rsidP="00DE08B1">
            <w:pPr>
              <w:jc w:val="left"/>
              <w:rPr>
                <w:b/>
                <w:sz w:val="20"/>
                <w:szCs w:val="20"/>
              </w:rPr>
            </w:pPr>
            <w:r w:rsidRPr="00B67B2D">
              <w:rPr>
                <w:b/>
                <w:sz w:val="20"/>
                <w:szCs w:val="20"/>
              </w:rPr>
              <w:t>Ziekenhuis</w:t>
            </w:r>
            <w:r w:rsidRPr="00B67B2D">
              <w:rPr>
                <w:b/>
                <w:sz w:val="20"/>
                <w:szCs w:val="20"/>
              </w:rPr>
              <w:softHyphen/>
            </w:r>
            <w:r w:rsidRPr="00B67B2D">
              <w:rPr>
                <w:b/>
                <w:sz w:val="20"/>
                <w:szCs w:val="20"/>
              </w:rPr>
              <w:softHyphen/>
              <w:t>opnamen</w:t>
            </w:r>
          </w:p>
        </w:tc>
        <w:tc>
          <w:tcPr>
            <w:tcW w:w="1696" w:type="dxa"/>
            <w:vMerge w:val="restart"/>
          </w:tcPr>
          <w:p w14:paraId="417B491C" w14:textId="77777777" w:rsidR="00295DEE" w:rsidRPr="00B67B2D" w:rsidRDefault="00295DEE" w:rsidP="00DE08B1">
            <w:pPr>
              <w:jc w:val="left"/>
              <w:rPr>
                <w:b/>
                <w:sz w:val="20"/>
                <w:szCs w:val="20"/>
              </w:rPr>
            </w:pPr>
            <w:r w:rsidRPr="00B67B2D">
              <w:rPr>
                <w:b/>
                <w:sz w:val="20"/>
                <w:szCs w:val="20"/>
              </w:rPr>
              <w:t>Gezonken</w:t>
            </w:r>
          </w:p>
          <w:p w14:paraId="31B086D2" w14:textId="77777777" w:rsidR="00295DEE" w:rsidRPr="00B67B2D" w:rsidRDefault="00295DEE" w:rsidP="00DE08B1">
            <w:pPr>
              <w:jc w:val="left"/>
              <w:rPr>
                <w:b/>
                <w:sz w:val="20"/>
                <w:szCs w:val="20"/>
              </w:rPr>
            </w:pPr>
            <w:r w:rsidRPr="00B67B2D">
              <w:rPr>
                <w:b/>
                <w:sz w:val="20"/>
                <w:szCs w:val="20"/>
              </w:rPr>
              <w:t xml:space="preserve"> schip</w:t>
            </w:r>
          </w:p>
        </w:tc>
      </w:tr>
      <w:tr w:rsidR="00295DEE" w:rsidRPr="00A03D24" w14:paraId="0658221D" w14:textId="77777777" w:rsidTr="0030721E">
        <w:tc>
          <w:tcPr>
            <w:tcW w:w="2830" w:type="dxa"/>
            <w:vMerge/>
            <w:tcBorders>
              <w:bottom w:val="single" w:sz="4" w:space="0" w:color="auto"/>
            </w:tcBorders>
          </w:tcPr>
          <w:p w14:paraId="5F5A5E19" w14:textId="77777777" w:rsidR="00295DEE" w:rsidRPr="00A03D24" w:rsidRDefault="00295DEE" w:rsidP="00DE08B1">
            <w:pPr>
              <w:jc w:val="left"/>
              <w:rPr>
                <w:sz w:val="20"/>
                <w:szCs w:val="20"/>
              </w:rPr>
            </w:pPr>
          </w:p>
        </w:tc>
        <w:tc>
          <w:tcPr>
            <w:tcW w:w="1560" w:type="dxa"/>
            <w:tcBorders>
              <w:bottom w:val="single" w:sz="4" w:space="0" w:color="auto"/>
            </w:tcBorders>
          </w:tcPr>
          <w:p w14:paraId="28D8CD16" w14:textId="77777777" w:rsidR="00295DEE" w:rsidRPr="00A03D24" w:rsidRDefault="00295DEE" w:rsidP="00DE08B1">
            <w:pPr>
              <w:jc w:val="left"/>
              <w:rPr>
                <w:sz w:val="20"/>
                <w:szCs w:val="20"/>
              </w:rPr>
            </w:pPr>
            <w:r>
              <w:rPr>
                <w:sz w:val="20"/>
                <w:szCs w:val="20"/>
              </w:rPr>
              <w:t>Verdronken</w:t>
            </w:r>
          </w:p>
        </w:tc>
        <w:tc>
          <w:tcPr>
            <w:tcW w:w="1559" w:type="dxa"/>
            <w:tcBorders>
              <w:bottom w:val="single" w:sz="4" w:space="0" w:color="auto"/>
            </w:tcBorders>
          </w:tcPr>
          <w:p w14:paraId="20407CF7" w14:textId="77777777" w:rsidR="00295DEE" w:rsidRPr="00A03D24" w:rsidRDefault="00295DEE" w:rsidP="00DE08B1">
            <w:pPr>
              <w:jc w:val="left"/>
              <w:rPr>
                <w:sz w:val="20"/>
                <w:szCs w:val="20"/>
              </w:rPr>
            </w:pPr>
            <w:r>
              <w:rPr>
                <w:sz w:val="20"/>
                <w:szCs w:val="20"/>
              </w:rPr>
              <w:t>Totaal</w:t>
            </w:r>
          </w:p>
        </w:tc>
        <w:tc>
          <w:tcPr>
            <w:tcW w:w="1417" w:type="dxa"/>
            <w:vMerge/>
            <w:tcBorders>
              <w:bottom w:val="single" w:sz="4" w:space="0" w:color="auto"/>
            </w:tcBorders>
          </w:tcPr>
          <w:p w14:paraId="6506DD81" w14:textId="77777777" w:rsidR="00295DEE" w:rsidRPr="00A03D24" w:rsidRDefault="00295DEE" w:rsidP="00DE08B1">
            <w:pPr>
              <w:jc w:val="left"/>
              <w:rPr>
                <w:sz w:val="20"/>
                <w:szCs w:val="20"/>
              </w:rPr>
            </w:pPr>
          </w:p>
        </w:tc>
        <w:tc>
          <w:tcPr>
            <w:tcW w:w="1696" w:type="dxa"/>
            <w:vMerge/>
            <w:tcBorders>
              <w:bottom w:val="single" w:sz="4" w:space="0" w:color="auto"/>
            </w:tcBorders>
          </w:tcPr>
          <w:p w14:paraId="536C8C88" w14:textId="77777777" w:rsidR="00295DEE" w:rsidRPr="00A03D24" w:rsidRDefault="00295DEE" w:rsidP="00DE08B1">
            <w:pPr>
              <w:jc w:val="left"/>
              <w:rPr>
                <w:sz w:val="20"/>
                <w:szCs w:val="20"/>
              </w:rPr>
            </w:pPr>
          </w:p>
        </w:tc>
      </w:tr>
      <w:tr w:rsidR="00295DEE" w:rsidRPr="00A03D24" w14:paraId="6264F446" w14:textId="77777777" w:rsidTr="0030721E">
        <w:tc>
          <w:tcPr>
            <w:tcW w:w="2830" w:type="dxa"/>
            <w:tcBorders>
              <w:bottom w:val="nil"/>
            </w:tcBorders>
          </w:tcPr>
          <w:p w14:paraId="7E216ACE" w14:textId="77777777" w:rsidR="00295DEE" w:rsidRPr="00A03D24" w:rsidRDefault="00295DEE" w:rsidP="00DE08B1">
            <w:pPr>
              <w:jc w:val="left"/>
              <w:rPr>
                <w:sz w:val="20"/>
                <w:szCs w:val="20"/>
              </w:rPr>
            </w:pPr>
            <w:r>
              <w:rPr>
                <w:sz w:val="20"/>
                <w:szCs w:val="20"/>
              </w:rPr>
              <w:t>Overboord vallen</w:t>
            </w:r>
          </w:p>
        </w:tc>
        <w:tc>
          <w:tcPr>
            <w:tcW w:w="1560" w:type="dxa"/>
            <w:tcBorders>
              <w:bottom w:val="nil"/>
            </w:tcBorders>
          </w:tcPr>
          <w:p w14:paraId="630B4A7C" w14:textId="77777777" w:rsidR="00295DEE" w:rsidRPr="00A03D24" w:rsidRDefault="00295DEE" w:rsidP="00946FC0">
            <w:pPr>
              <w:pStyle w:val="tabelNummers"/>
            </w:pPr>
            <w:r>
              <w:t>74</w:t>
            </w:r>
          </w:p>
        </w:tc>
        <w:tc>
          <w:tcPr>
            <w:tcW w:w="1559" w:type="dxa"/>
            <w:tcBorders>
              <w:bottom w:val="nil"/>
            </w:tcBorders>
          </w:tcPr>
          <w:p w14:paraId="43355562" w14:textId="77777777" w:rsidR="00295DEE" w:rsidRPr="00A03D24" w:rsidRDefault="00295DEE" w:rsidP="00946FC0">
            <w:pPr>
              <w:pStyle w:val="tabelNummers"/>
            </w:pPr>
            <w:r>
              <w:t>74</w:t>
            </w:r>
          </w:p>
        </w:tc>
        <w:tc>
          <w:tcPr>
            <w:tcW w:w="1417" w:type="dxa"/>
            <w:tcBorders>
              <w:bottom w:val="nil"/>
            </w:tcBorders>
          </w:tcPr>
          <w:p w14:paraId="70195E60" w14:textId="77777777" w:rsidR="00295DEE" w:rsidRPr="00A03D24" w:rsidRDefault="00295DEE" w:rsidP="00946FC0">
            <w:pPr>
              <w:pStyle w:val="tabelNummers"/>
            </w:pPr>
            <w:r>
              <w:t>-</w:t>
            </w:r>
          </w:p>
        </w:tc>
        <w:tc>
          <w:tcPr>
            <w:tcW w:w="1696" w:type="dxa"/>
            <w:tcBorders>
              <w:bottom w:val="nil"/>
            </w:tcBorders>
          </w:tcPr>
          <w:p w14:paraId="1846778C" w14:textId="77777777" w:rsidR="00295DEE" w:rsidRPr="00A03D24" w:rsidRDefault="00295DEE" w:rsidP="00946FC0">
            <w:pPr>
              <w:pStyle w:val="tabelNummers"/>
            </w:pPr>
            <w:r>
              <w:t>-</w:t>
            </w:r>
          </w:p>
        </w:tc>
      </w:tr>
      <w:tr w:rsidR="00295DEE" w:rsidRPr="00A03D24" w14:paraId="38C74832" w14:textId="77777777" w:rsidTr="0030721E">
        <w:tc>
          <w:tcPr>
            <w:tcW w:w="2830" w:type="dxa"/>
            <w:tcBorders>
              <w:top w:val="nil"/>
              <w:bottom w:val="nil"/>
            </w:tcBorders>
          </w:tcPr>
          <w:p w14:paraId="55FC0708" w14:textId="77777777" w:rsidR="00295DEE" w:rsidRPr="00A03D24" w:rsidRDefault="00295DEE" w:rsidP="00DE08B1">
            <w:pPr>
              <w:jc w:val="left"/>
              <w:rPr>
                <w:sz w:val="20"/>
                <w:szCs w:val="20"/>
              </w:rPr>
            </w:pPr>
            <w:r>
              <w:rPr>
                <w:sz w:val="20"/>
                <w:szCs w:val="20"/>
              </w:rPr>
              <w:t>Weersomstandigheden</w:t>
            </w:r>
          </w:p>
        </w:tc>
        <w:tc>
          <w:tcPr>
            <w:tcW w:w="1560" w:type="dxa"/>
            <w:tcBorders>
              <w:top w:val="nil"/>
              <w:bottom w:val="nil"/>
            </w:tcBorders>
          </w:tcPr>
          <w:p w14:paraId="40A6A36F" w14:textId="77777777" w:rsidR="00295DEE" w:rsidRPr="00A03D24" w:rsidRDefault="00295DEE" w:rsidP="00946FC0">
            <w:pPr>
              <w:pStyle w:val="tabelNummers"/>
            </w:pPr>
            <w:r>
              <w:t>20</w:t>
            </w:r>
          </w:p>
        </w:tc>
        <w:tc>
          <w:tcPr>
            <w:tcW w:w="1559" w:type="dxa"/>
            <w:tcBorders>
              <w:top w:val="nil"/>
              <w:bottom w:val="nil"/>
            </w:tcBorders>
          </w:tcPr>
          <w:p w14:paraId="53D8B7E2" w14:textId="77777777" w:rsidR="00295DEE" w:rsidRPr="00A03D24" w:rsidRDefault="00295DEE" w:rsidP="00946FC0">
            <w:pPr>
              <w:pStyle w:val="tabelNummers"/>
            </w:pPr>
            <w:r>
              <w:t>21</w:t>
            </w:r>
          </w:p>
        </w:tc>
        <w:tc>
          <w:tcPr>
            <w:tcW w:w="1417" w:type="dxa"/>
            <w:tcBorders>
              <w:top w:val="nil"/>
              <w:bottom w:val="nil"/>
            </w:tcBorders>
          </w:tcPr>
          <w:p w14:paraId="3C133BC8" w14:textId="77777777" w:rsidR="00295DEE" w:rsidRPr="00A03D24" w:rsidRDefault="00295DEE" w:rsidP="00946FC0">
            <w:pPr>
              <w:pStyle w:val="tabelNummers"/>
            </w:pPr>
            <w:r>
              <w:t>1</w:t>
            </w:r>
          </w:p>
        </w:tc>
        <w:tc>
          <w:tcPr>
            <w:tcW w:w="1696" w:type="dxa"/>
            <w:tcBorders>
              <w:top w:val="nil"/>
              <w:bottom w:val="nil"/>
            </w:tcBorders>
          </w:tcPr>
          <w:p w14:paraId="48E949F6" w14:textId="77777777" w:rsidR="00295DEE" w:rsidRPr="00A03D24" w:rsidRDefault="00295DEE" w:rsidP="00946FC0">
            <w:pPr>
              <w:pStyle w:val="tabelNummers"/>
            </w:pPr>
            <w:r>
              <w:t>47</w:t>
            </w:r>
          </w:p>
        </w:tc>
      </w:tr>
      <w:tr w:rsidR="00295DEE" w:rsidRPr="00A03D24" w14:paraId="08B41223" w14:textId="77777777" w:rsidTr="0030721E">
        <w:tc>
          <w:tcPr>
            <w:tcW w:w="2830" w:type="dxa"/>
            <w:tcBorders>
              <w:top w:val="nil"/>
              <w:bottom w:val="nil"/>
            </w:tcBorders>
          </w:tcPr>
          <w:p w14:paraId="50297A3C" w14:textId="77777777" w:rsidR="00295DEE" w:rsidRPr="00A03D24" w:rsidRDefault="00295DEE" w:rsidP="00DE08B1">
            <w:pPr>
              <w:jc w:val="left"/>
              <w:rPr>
                <w:sz w:val="20"/>
                <w:szCs w:val="20"/>
              </w:rPr>
            </w:pPr>
            <w:r>
              <w:rPr>
                <w:sz w:val="20"/>
                <w:szCs w:val="20"/>
              </w:rPr>
              <w:t>Aanvaring</w:t>
            </w:r>
          </w:p>
        </w:tc>
        <w:tc>
          <w:tcPr>
            <w:tcW w:w="1560" w:type="dxa"/>
            <w:tcBorders>
              <w:top w:val="nil"/>
              <w:bottom w:val="nil"/>
            </w:tcBorders>
          </w:tcPr>
          <w:p w14:paraId="624321FE" w14:textId="77777777" w:rsidR="00295DEE" w:rsidRPr="00A03D24" w:rsidRDefault="00295DEE" w:rsidP="00946FC0">
            <w:pPr>
              <w:pStyle w:val="tabelNummers"/>
            </w:pPr>
            <w:r>
              <w:t>5</w:t>
            </w:r>
          </w:p>
        </w:tc>
        <w:tc>
          <w:tcPr>
            <w:tcW w:w="1559" w:type="dxa"/>
            <w:tcBorders>
              <w:top w:val="nil"/>
              <w:bottom w:val="nil"/>
            </w:tcBorders>
          </w:tcPr>
          <w:p w14:paraId="447BF114" w14:textId="77777777" w:rsidR="00295DEE" w:rsidRPr="00A03D24" w:rsidRDefault="00295DEE" w:rsidP="00946FC0">
            <w:pPr>
              <w:pStyle w:val="tabelNummers"/>
            </w:pPr>
            <w:r>
              <w:t>5</w:t>
            </w:r>
          </w:p>
        </w:tc>
        <w:tc>
          <w:tcPr>
            <w:tcW w:w="1417" w:type="dxa"/>
            <w:tcBorders>
              <w:top w:val="nil"/>
              <w:bottom w:val="nil"/>
            </w:tcBorders>
          </w:tcPr>
          <w:p w14:paraId="61DC6401" w14:textId="77777777" w:rsidR="00295DEE" w:rsidRPr="00A03D24" w:rsidRDefault="00295DEE" w:rsidP="00946FC0">
            <w:pPr>
              <w:pStyle w:val="tabelNummers"/>
            </w:pPr>
            <w:r>
              <w:t>5</w:t>
            </w:r>
          </w:p>
        </w:tc>
        <w:tc>
          <w:tcPr>
            <w:tcW w:w="1696" w:type="dxa"/>
            <w:tcBorders>
              <w:top w:val="nil"/>
              <w:bottom w:val="nil"/>
            </w:tcBorders>
          </w:tcPr>
          <w:p w14:paraId="5EF56F1A" w14:textId="77777777" w:rsidR="00295DEE" w:rsidRPr="00A03D24" w:rsidRDefault="00295DEE" w:rsidP="00946FC0">
            <w:pPr>
              <w:pStyle w:val="tabelNummers"/>
            </w:pPr>
            <w:r>
              <w:t>21</w:t>
            </w:r>
          </w:p>
        </w:tc>
      </w:tr>
      <w:tr w:rsidR="00295DEE" w:rsidRPr="00A03D24" w14:paraId="0D53F146" w14:textId="77777777" w:rsidTr="0030721E">
        <w:tc>
          <w:tcPr>
            <w:tcW w:w="2830" w:type="dxa"/>
            <w:tcBorders>
              <w:top w:val="nil"/>
              <w:bottom w:val="nil"/>
            </w:tcBorders>
          </w:tcPr>
          <w:p w14:paraId="7F288C72" w14:textId="77777777" w:rsidR="00295DEE" w:rsidRPr="00A03D24" w:rsidRDefault="00295DEE" w:rsidP="00DE08B1">
            <w:pPr>
              <w:jc w:val="left"/>
              <w:rPr>
                <w:sz w:val="20"/>
                <w:szCs w:val="20"/>
              </w:rPr>
            </w:pPr>
            <w:r>
              <w:rPr>
                <w:sz w:val="20"/>
                <w:szCs w:val="20"/>
              </w:rPr>
              <w:t>Beknelling</w:t>
            </w:r>
          </w:p>
        </w:tc>
        <w:tc>
          <w:tcPr>
            <w:tcW w:w="1560" w:type="dxa"/>
            <w:tcBorders>
              <w:top w:val="nil"/>
              <w:bottom w:val="nil"/>
            </w:tcBorders>
          </w:tcPr>
          <w:p w14:paraId="51A0F968" w14:textId="77777777" w:rsidR="00295DEE" w:rsidRPr="00A03D24" w:rsidRDefault="00295DEE" w:rsidP="00946FC0">
            <w:pPr>
              <w:pStyle w:val="tabelNummers"/>
            </w:pPr>
            <w:r>
              <w:t>-</w:t>
            </w:r>
          </w:p>
        </w:tc>
        <w:tc>
          <w:tcPr>
            <w:tcW w:w="1559" w:type="dxa"/>
            <w:tcBorders>
              <w:top w:val="nil"/>
              <w:bottom w:val="nil"/>
            </w:tcBorders>
          </w:tcPr>
          <w:p w14:paraId="278CFEB2" w14:textId="77777777" w:rsidR="00295DEE" w:rsidRPr="00A03D24" w:rsidRDefault="00295DEE" w:rsidP="00946FC0">
            <w:pPr>
              <w:pStyle w:val="tabelNummers"/>
            </w:pPr>
            <w:r>
              <w:t>2</w:t>
            </w:r>
          </w:p>
        </w:tc>
        <w:tc>
          <w:tcPr>
            <w:tcW w:w="1417" w:type="dxa"/>
            <w:tcBorders>
              <w:top w:val="nil"/>
              <w:bottom w:val="nil"/>
            </w:tcBorders>
          </w:tcPr>
          <w:p w14:paraId="6713CC6D" w14:textId="77777777" w:rsidR="00295DEE" w:rsidRPr="00A03D24" w:rsidRDefault="00295DEE" w:rsidP="00946FC0">
            <w:pPr>
              <w:pStyle w:val="tabelNummers"/>
            </w:pPr>
            <w:r>
              <w:t>24</w:t>
            </w:r>
          </w:p>
        </w:tc>
        <w:tc>
          <w:tcPr>
            <w:tcW w:w="1696" w:type="dxa"/>
            <w:tcBorders>
              <w:top w:val="nil"/>
              <w:bottom w:val="nil"/>
            </w:tcBorders>
          </w:tcPr>
          <w:p w14:paraId="7D9662A9" w14:textId="77777777" w:rsidR="00295DEE" w:rsidRPr="00A03D24" w:rsidRDefault="00295DEE" w:rsidP="00946FC0">
            <w:pPr>
              <w:pStyle w:val="tabelNummers"/>
            </w:pPr>
            <w:r>
              <w:t>1</w:t>
            </w:r>
          </w:p>
        </w:tc>
      </w:tr>
      <w:tr w:rsidR="00295DEE" w:rsidRPr="00A03D24" w14:paraId="158753C2" w14:textId="77777777" w:rsidTr="0030721E">
        <w:tc>
          <w:tcPr>
            <w:tcW w:w="2830" w:type="dxa"/>
            <w:tcBorders>
              <w:top w:val="nil"/>
              <w:bottom w:val="nil"/>
            </w:tcBorders>
          </w:tcPr>
          <w:p w14:paraId="685BB1EA" w14:textId="77777777" w:rsidR="00295DEE" w:rsidRPr="00A03D24" w:rsidRDefault="00295DEE" w:rsidP="00DE08B1">
            <w:pPr>
              <w:jc w:val="left"/>
              <w:rPr>
                <w:sz w:val="20"/>
                <w:szCs w:val="20"/>
              </w:rPr>
            </w:pPr>
            <w:r>
              <w:rPr>
                <w:sz w:val="20"/>
                <w:szCs w:val="20"/>
              </w:rPr>
              <w:t>Problemen met motor</w:t>
            </w:r>
          </w:p>
        </w:tc>
        <w:tc>
          <w:tcPr>
            <w:tcW w:w="1560" w:type="dxa"/>
            <w:tcBorders>
              <w:top w:val="nil"/>
              <w:bottom w:val="nil"/>
            </w:tcBorders>
          </w:tcPr>
          <w:p w14:paraId="20C553A6" w14:textId="77777777" w:rsidR="00295DEE" w:rsidRPr="00A03D24" w:rsidRDefault="00295DEE" w:rsidP="00946FC0">
            <w:pPr>
              <w:pStyle w:val="tabelNummers"/>
            </w:pPr>
            <w:r>
              <w:t>-</w:t>
            </w:r>
          </w:p>
        </w:tc>
        <w:tc>
          <w:tcPr>
            <w:tcW w:w="1559" w:type="dxa"/>
            <w:tcBorders>
              <w:top w:val="nil"/>
              <w:bottom w:val="nil"/>
            </w:tcBorders>
          </w:tcPr>
          <w:p w14:paraId="4D26C186" w14:textId="77777777" w:rsidR="00295DEE" w:rsidRPr="00A03D24" w:rsidRDefault="00295DEE" w:rsidP="00946FC0">
            <w:pPr>
              <w:pStyle w:val="tabelNummers"/>
            </w:pPr>
            <w:r>
              <w:t>2</w:t>
            </w:r>
          </w:p>
        </w:tc>
        <w:tc>
          <w:tcPr>
            <w:tcW w:w="1417" w:type="dxa"/>
            <w:tcBorders>
              <w:top w:val="nil"/>
              <w:bottom w:val="nil"/>
            </w:tcBorders>
          </w:tcPr>
          <w:p w14:paraId="62DB10B0" w14:textId="77777777" w:rsidR="00295DEE" w:rsidRPr="00A03D24" w:rsidRDefault="00295DEE" w:rsidP="00946FC0">
            <w:pPr>
              <w:pStyle w:val="tabelNummers"/>
            </w:pPr>
            <w:r>
              <w:t>5</w:t>
            </w:r>
          </w:p>
        </w:tc>
        <w:tc>
          <w:tcPr>
            <w:tcW w:w="1696" w:type="dxa"/>
            <w:tcBorders>
              <w:top w:val="nil"/>
              <w:bottom w:val="nil"/>
            </w:tcBorders>
          </w:tcPr>
          <w:p w14:paraId="091C1612" w14:textId="77777777" w:rsidR="00295DEE" w:rsidRPr="00A03D24" w:rsidRDefault="00295DEE" w:rsidP="00946FC0">
            <w:pPr>
              <w:pStyle w:val="tabelNummers"/>
            </w:pPr>
            <w:r>
              <w:t>1</w:t>
            </w:r>
          </w:p>
        </w:tc>
      </w:tr>
      <w:tr w:rsidR="00295DEE" w:rsidRPr="00A03D24" w14:paraId="0712952A" w14:textId="77777777" w:rsidTr="0030721E">
        <w:tc>
          <w:tcPr>
            <w:tcW w:w="2830" w:type="dxa"/>
            <w:tcBorders>
              <w:top w:val="nil"/>
              <w:bottom w:val="nil"/>
            </w:tcBorders>
          </w:tcPr>
          <w:p w14:paraId="03A4FB31" w14:textId="77777777" w:rsidR="00295DEE" w:rsidRPr="00A03D24" w:rsidRDefault="00295DEE" w:rsidP="00DE08B1">
            <w:pPr>
              <w:jc w:val="left"/>
              <w:rPr>
                <w:sz w:val="20"/>
                <w:szCs w:val="20"/>
              </w:rPr>
            </w:pPr>
            <w:r>
              <w:rPr>
                <w:sz w:val="20"/>
                <w:szCs w:val="20"/>
              </w:rPr>
              <w:t>Ondeugdelijk materieel</w:t>
            </w:r>
          </w:p>
        </w:tc>
        <w:tc>
          <w:tcPr>
            <w:tcW w:w="1560" w:type="dxa"/>
            <w:tcBorders>
              <w:top w:val="nil"/>
              <w:bottom w:val="nil"/>
            </w:tcBorders>
          </w:tcPr>
          <w:p w14:paraId="6B4545BD" w14:textId="77777777" w:rsidR="00295DEE" w:rsidRPr="00A03D24" w:rsidRDefault="00295DEE" w:rsidP="00946FC0">
            <w:pPr>
              <w:pStyle w:val="tabelNummers"/>
            </w:pPr>
            <w:r>
              <w:t>1</w:t>
            </w:r>
          </w:p>
        </w:tc>
        <w:tc>
          <w:tcPr>
            <w:tcW w:w="1559" w:type="dxa"/>
            <w:tcBorders>
              <w:top w:val="nil"/>
              <w:bottom w:val="nil"/>
            </w:tcBorders>
          </w:tcPr>
          <w:p w14:paraId="5B9153AD" w14:textId="77777777" w:rsidR="00295DEE" w:rsidRPr="00A03D24" w:rsidRDefault="00295DEE" w:rsidP="00946FC0">
            <w:pPr>
              <w:pStyle w:val="tabelNummers"/>
            </w:pPr>
            <w:r>
              <w:t>6</w:t>
            </w:r>
          </w:p>
        </w:tc>
        <w:tc>
          <w:tcPr>
            <w:tcW w:w="1417" w:type="dxa"/>
            <w:tcBorders>
              <w:top w:val="nil"/>
              <w:bottom w:val="nil"/>
            </w:tcBorders>
          </w:tcPr>
          <w:p w14:paraId="714402F7" w14:textId="77777777" w:rsidR="00295DEE" w:rsidRPr="00A03D24" w:rsidRDefault="00295DEE" w:rsidP="00946FC0">
            <w:pPr>
              <w:pStyle w:val="tabelNummers"/>
            </w:pPr>
            <w:r>
              <w:t>4</w:t>
            </w:r>
          </w:p>
        </w:tc>
        <w:tc>
          <w:tcPr>
            <w:tcW w:w="1696" w:type="dxa"/>
            <w:tcBorders>
              <w:top w:val="nil"/>
              <w:bottom w:val="nil"/>
            </w:tcBorders>
          </w:tcPr>
          <w:p w14:paraId="5932A5E1" w14:textId="77777777" w:rsidR="00295DEE" w:rsidRPr="00A03D24" w:rsidRDefault="00295DEE" w:rsidP="00946FC0">
            <w:pPr>
              <w:pStyle w:val="tabelNummers"/>
            </w:pPr>
            <w:r>
              <w:t>6</w:t>
            </w:r>
          </w:p>
        </w:tc>
      </w:tr>
      <w:tr w:rsidR="00295DEE" w:rsidRPr="00A03D24" w14:paraId="6D047F34" w14:textId="77777777" w:rsidTr="0030721E">
        <w:tc>
          <w:tcPr>
            <w:tcW w:w="2830" w:type="dxa"/>
            <w:tcBorders>
              <w:top w:val="nil"/>
            </w:tcBorders>
          </w:tcPr>
          <w:p w14:paraId="6EF1195D" w14:textId="77777777" w:rsidR="00295DEE" w:rsidRPr="00A03D24" w:rsidRDefault="00295DEE" w:rsidP="00DE08B1">
            <w:pPr>
              <w:jc w:val="left"/>
              <w:rPr>
                <w:sz w:val="20"/>
                <w:szCs w:val="20"/>
              </w:rPr>
            </w:pPr>
            <w:r>
              <w:rPr>
                <w:sz w:val="20"/>
                <w:szCs w:val="20"/>
              </w:rPr>
              <w:t>Overig/onbekend</w:t>
            </w:r>
          </w:p>
        </w:tc>
        <w:tc>
          <w:tcPr>
            <w:tcW w:w="1560" w:type="dxa"/>
            <w:tcBorders>
              <w:top w:val="nil"/>
            </w:tcBorders>
          </w:tcPr>
          <w:p w14:paraId="3266EBF6" w14:textId="77777777" w:rsidR="00295DEE" w:rsidRPr="00A03D24" w:rsidRDefault="00295DEE" w:rsidP="00946FC0">
            <w:pPr>
              <w:pStyle w:val="tabelNummers"/>
            </w:pPr>
            <w:r>
              <w:t>10</w:t>
            </w:r>
          </w:p>
        </w:tc>
        <w:tc>
          <w:tcPr>
            <w:tcW w:w="1559" w:type="dxa"/>
            <w:tcBorders>
              <w:top w:val="nil"/>
            </w:tcBorders>
          </w:tcPr>
          <w:p w14:paraId="31771ADA" w14:textId="77777777" w:rsidR="00295DEE" w:rsidRPr="00A03D24" w:rsidRDefault="00295DEE" w:rsidP="00946FC0">
            <w:pPr>
              <w:pStyle w:val="tabelNummers"/>
            </w:pPr>
            <w:r>
              <w:t>14</w:t>
            </w:r>
          </w:p>
        </w:tc>
        <w:tc>
          <w:tcPr>
            <w:tcW w:w="1417" w:type="dxa"/>
            <w:tcBorders>
              <w:top w:val="nil"/>
            </w:tcBorders>
          </w:tcPr>
          <w:p w14:paraId="414DF8E8" w14:textId="77777777" w:rsidR="00295DEE" w:rsidRPr="00A03D24" w:rsidRDefault="00295DEE" w:rsidP="00946FC0">
            <w:pPr>
              <w:pStyle w:val="tabelNummers"/>
            </w:pPr>
            <w:r>
              <w:t>19</w:t>
            </w:r>
          </w:p>
        </w:tc>
        <w:tc>
          <w:tcPr>
            <w:tcW w:w="1696" w:type="dxa"/>
            <w:tcBorders>
              <w:top w:val="nil"/>
            </w:tcBorders>
          </w:tcPr>
          <w:p w14:paraId="6752C2B5" w14:textId="77777777" w:rsidR="00295DEE" w:rsidRPr="00A03D24" w:rsidRDefault="00295DEE" w:rsidP="00946FC0">
            <w:pPr>
              <w:pStyle w:val="tabelNummers"/>
            </w:pPr>
            <w:r>
              <w:t>28</w:t>
            </w:r>
          </w:p>
        </w:tc>
      </w:tr>
      <w:tr w:rsidR="00295DEE" w:rsidRPr="00A03D24" w14:paraId="29570167" w14:textId="77777777" w:rsidTr="0030721E">
        <w:tc>
          <w:tcPr>
            <w:tcW w:w="2830" w:type="dxa"/>
          </w:tcPr>
          <w:p w14:paraId="6090EBD8" w14:textId="77777777" w:rsidR="00295DEE" w:rsidRDefault="00295DEE" w:rsidP="00DE08B1">
            <w:pPr>
              <w:jc w:val="left"/>
              <w:rPr>
                <w:sz w:val="20"/>
                <w:szCs w:val="20"/>
              </w:rPr>
            </w:pPr>
            <w:r>
              <w:rPr>
                <w:sz w:val="20"/>
                <w:szCs w:val="20"/>
              </w:rPr>
              <w:t>Totaal</w:t>
            </w:r>
          </w:p>
        </w:tc>
        <w:tc>
          <w:tcPr>
            <w:tcW w:w="1560" w:type="dxa"/>
          </w:tcPr>
          <w:p w14:paraId="32B4A459" w14:textId="77777777" w:rsidR="00295DEE" w:rsidRPr="00A03D24" w:rsidRDefault="00295DEE" w:rsidP="00946FC0">
            <w:pPr>
              <w:pStyle w:val="tabelNummers"/>
            </w:pPr>
            <w:r>
              <w:t>110</w:t>
            </w:r>
          </w:p>
        </w:tc>
        <w:tc>
          <w:tcPr>
            <w:tcW w:w="1559" w:type="dxa"/>
          </w:tcPr>
          <w:p w14:paraId="5711ACDE" w14:textId="77777777" w:rsidR="00295DEE" w:rsidRPr="00A03D24" w:rsidRDefault="00295DEE" w:rsidP="00946FC0">
            <w:pPr>
              <w:pStyle w:val="tabelNummers"/>
            </w:pPr>
            <w:r>
              <w:t>124</w:t>
            </w:r>
          </w:p>
        </w:tc>
        <w:tc>
          <w:tcPr>
            <w:tcW w:w="1417" w:type="dxa"/>
          </w:tcPr>
          <w:p w14:paraId="5C21A5E0" w14:textId="77777777" w:rsidR="00295DEE" w:rsidRPr="00A03D24" w:rsidRDefault="00295DEE" w:rsidP="00946FC0">
            <w:pPr>
              <w:pStyle w:val="tabelNummers"/>
            </w:pPr>
            <w:r>
              <w:t>58</w:t>
            </w:r>
          </w:p>
        </w:tc>
        <w:tc>
          <w:tcPr>
            <w:tcW w:w="1696" w:type="dxa"/>
          </w:tcPr>
          <w:p w14:paraId="11E56B6D" w14:textId="77777777" w:rsidR="00295DEE" w:rsidRPr="00A03D24" w:rsidRDefault="00295DEE" w:rsidP="00946FC0">
            <w:pPr>
              <w:pStyle w:val="tabelNummers"/>
            </w:pPr>
            <w:r>
              <w:t>104</w:t>
            </w:r>
          </w:p>
        </w:tc>
      </w:tr>
    </w:tbl>
    <w:p w14:paraId="09DD86DE" w14:textId="77777777" w:rsidR="00295DEE" w:rsidRPr="00A06FDE" w:rsidRDefault="00295DEE" w:rsidP="00DE08B1">
      <w:pPr>
        <w:jc w:val="left"/>
      </w:pPr>
    </w:p>
    <w:p w14:paraId="61913DA2" w14:textId="6B339F86" w:rsidR="007478CF" w:rsidRDefault="007478CF" w:rsidP="00DE08B1">
      <w:pPr>
        <w:jc w:val="left"/>
        <w:rPr>
          <w:i/>
          <w:iCs/>
          <w:szCs w:val="24"/>
        </w:rPr>
      </w:pPr>
      <w:r>
        <w:rPr>
          <w:i/>
          <w:iCs/>
          <w:szCs w:val="24"/>
        </w:rPr>
        <w:t xml:space="preserve">Tabel </w:t>
      </w:r>
      <w:r w:rsidR="00CE7610">
        <w:rPr>
          <w:i/>
          <w:iCs/>
          <w:szCs w:val="24"/>
        </w:rPr>
        <w:t>20</w:t>
      </w:r>
      <w:r w:rsidR="00FA6A59">
        <w:rPr>
          <w:i/>
          <w:iCs/>
          <w:szCs w:val="24"/>
        </w:rPr>
        <w:t>:</w:t>
      </w:r>
      <w:r w:rsidR="00F81FF2" w:rsidRPr="00F81FF2">
        <w:rPr>
          <w:i/>
          <w:iCs/>
          <w:szCs w:val="24"/>
        </w:rPr>
        <w:t xml:space="preserve"> </w:t>
      </w:r>
      <w:r w:rsidR="00F81FF2">
        <w:rPr>
          <w:i/>
          <w:iCs/>
          <w:szCs w:val="24"/>
        </w:rPr>
        <w:t>Scheepsongevallen met binnenschepen, passagiersvaartuigen, veerponten en recreatievaartuigen in Nederland.</w:t>
      </w:r>
      <w:r w:rsidR="007844A8">
        <w:rPr>
          <w:i/>
          <w:iCs/>
          <w:szCs w:val="24"/>
        </w:rPr>
        <w:t xml:space="preserve"> A</w:t>
      </w:r>
      <w:r w:rsidR="00B135CC">
        <w:rPr>
          <w:i/>
          <w:iCs/>
          <w:szCs w:val="24"/>
        </w:rPr>
        <w:t xml:space="preserve">antal doden, </w:t>
      </w:r>
      <w:r w:rsidR="00F85382">
        <w:rPr>
          <w:i/>
          <w:iCs/>
          <w:szCs w:val="24"/>
        </w:rPr>
        <w:t xml:space="preserve">ziekenhuisopnamen </w:t>
      </w:r>
      <w:r w:rsidR="00B135CC">
        <w:rPr>
          <w:i/>
          <w:iCs/>
          <w:szCs w:val="24"/>
        </w:rPr>
        <w:t>en gezonken schepen</w:t>
      </w:r>
      <w:r w:rsidR="00F81FF2">
        <w:rPr>
          <w:i/>
          <w:iCs/>
          <w:szCs w:val="24"/>
        </w:rPr>
        <w:t xml:space="preserve"> (1927-1928)</w:t>
      </w:r>
      <w:r w:rsidR="00F81FF2" w:rsidRPr="00964269">
        <w:rPr>
          <w:iCs/>
          <w:szCs w:val="24"/>
        </w:rPr>
        <w:t>.</w:t>
      </w:r>
      <w:r w:rsidRPr="00964269">
        <w:rPr>
          <w:rStyle w:val="EndnoteReference"/>
          <w:iCs/>
          <w:szCs w:val="24"/>
        </w:rPr>
        <w:endnoteReference w:id="135"/>
      </w:r>
    </w:p>
    <w:p w14:paraId="6D51CED9" w14:textId="77777777" w:rsidR="00D23386" w:rsidRDefault="00D23386" w:rsidP="00DE08B1">
      <w:pPr>
        <w:jc w:val="left"/>
        <w:rPr>
          <w:szCs w:val="24"/>
        </w:rPr>
      </w:pPr>
    </w:p>
    <w:p w14:paraId="767958EF" w14:textId="2A2FF0A8" w:rsidR="00D23386" w:rsidRPr="00245560" w:rsidRDefault="00D23386" w:rsidP="00DE08B1">
      <w:pPr>
        <w:jc w:val="left"/>
        <w:rPr>
          <w:szCs w:val="24"/>
        </w:rPr>
      </w:pPr>
      <w:r w:rsidRPr="00E75BB7">
        <w:rPr>
          <w:szCs w:val="24"/>
        </w:rPr>
        <w:t xml:space="preserve">In </w:t>
      </w:r>
      <w:r w:rsidR="00974415">
        <w:rPr>
          <w:szCs w:val="24"/>
        </w:rPr>
        <w:t xml:space="preserve">totaal vielen in beide jaren </w:t>
      </w:r>
      <w:r w:rsidRPr="00E75BB7">
        <w:rPr>
          <w:szCs w:val="24"/>
        </w:rPr>
        <w:t xml:space="preserve">tenminste </w:t>
      </w:r>
      <w:r w:rsidR="00E75BB7" w:rsidRPr="00E75BB7">
        <w:rPr>
          <w:szCs w:val="24"/>
        </w:rPr>
        <w:t>124</w:t>
      </w:r>
      <w:r w:rsidRPr="00E75BB7">
        <w:rPr>
          <w:szCs w:val="24"/>
        </w:rPr>
        <w:t xml:space="preserve"> doden, waarvan </w:t>
      </w:r>
      <w:r w:rsidR="00E75BB7" w:rsidRPr="00E75BB7">
        <w:rPr>
          <w:szCs w:val="24"/>
        </w:rPr>
        <w:t>1</w:t>
      </w:r>
      <w:r w:rsidR="00774F37">
        <w:rPr>
          <w:szCs w:val="24"/>
        </w:rPr>
        <w:t>18</w:t>
      </w:r>
      <w:r w:rsidRPr="00E75BB7">
        <w:rPr>
          <w:szCs w:val="24"/>
        </w:rPr>
        <w:t xml:space="preserve"> op binnenschepen</w:t>
      </w:r>
      <w:r w:rsidR="002C1992">
        <w:rPr>
          <w:szCs w:val="24"/>
        </w:rPr>
        <w:t xml:space="preserve">, </w:t>
      </w:r>
      <w:r w:rsidR="00E75BB7" w:rsidRPr="00E75BB7">
        <w:rPr>
          <w:szCs w:val="24"/>
        </w:rPr>
        <w:t>3</w:t>
      </w:r>
      <w:r w:rsidRPr="00E75BB7">
        <w:rPr>
          <w:szCs w:val="24"/>
        </w:rPr>
        <w:t xml:space="preserve"> in de recreatievaart</w:t>
      </w:r>
      <w:r w:rsidR="00774F37">
        <w:rPr>
          <w:szCs w:val="24"/>
        </w:rPr>
        <w:t>,</w:t>
      </w:r>
      <w:r w:rsidR="005C607D">
        <w:rPr>
          <w:szCs w:val="24"/>
        </w:rPr>
        <w:t xml:space="preserve"> </w:t>
      </w:r>
      <w:r w:rsidR="002C1992">
        <w:rPr>
          <w:szCs w:val="24"/>
        </w:rPr>
        <w:t>1 op een veerpont</w:t>
      </w:r>
      <w:r w:rsidR="005C607D">
        <w:rPr>
          <w:szCs w:val="24"/>
        </w:rPr>
        <w:t xml:space="preserve"> en 2 passanten bij de aanvaring van een schipbrug</w:t>
      </w:r>
      <w:r w:rsidRPr="00E75BB7">
        <w:rPr>
          <w:szCs w:val="24"/>
        </w:rPr>
        <w:t xml:space="preserve">. </w:t>
      </w:r>
      <w:r w:rsidR="00E75BB7" w:rsidRPr="00E75BB7">
        <w:rPr>
          <w:szCs w:val="24"/>
        </w:rPr>
        <w:t xml:space="preserve">Bijna </w:t>
      </w:r>
      <w:r w:rsidR="00D54411">
        <w:rPr>
          <w:szCs w:val="24"/>
        </w:rPr>
        <w:t>negentig</w:t>
      </w:r>
      <w:r w:rsidR="00D54411" w:rsidRPr="00E75BB7">
        <w:rPr>
          <w:szCs w:val="24"/>
        </w:rPr>
        <w:t xml:space="preserve"> </w:t>
      </w:r>
      <w:r w:rsidRPr="00E75BB7">
        <w:rPr>
          <w:szCs w:val="24"/>
        </w:rPr>
        <w:t xml:space="preserve">procent van </w:t>
      </w:r>
      <w:r w:rsidRPr="00245560">
        <w:rPr>
          <w:szCs w:val="24"/>
        </w:rPr>
        <w:t>de dodelijke slachtoffers verdronk, verreweg de meeste omdat ze niet konden zwemmen. Ongeveer twee</w:t>
      </w:r>
      <w:r w:rsidR="00245560" w:rsidRPr="00245560">
        <w:rPr>
          <w:szCs w:val="24"/>
        </w:rPr>
        <w:t xml:space="preserve"> </w:t>
      </w:r>
      <w:r w:rsidRPr="00245560">
        <w:rPr>
          <w:szCs w:val="24"/>
        </w:rPr>
        <w:t xml:space="preserve">derde van de doden viel op varende schepen, de rest </w:t>
      </w:r>
      <w:r w:rsidR="007478CF" w:rsidRPr="00245560">
        <w:rPr>
          <w:szCs w:val="24"/>
        </w:rPr>
        <w:t xml:space="preserve">op stilliggende vaartuigen </w:t>
      </w:r>
      <w:r w:rsidR="000B75B7" w:rsidRPr="00245560">
        <w:rPr>
          <w:szCs w:val="24"/>
        </w:rPr>
        <w:t xml:space="preserve">in havens of op andere plaatsen </w:t>
      </w:r>
      <w:r w:rsidRPr="00245560">
        <w:rPr>
          <w:szCs w:val="24"/>
        </w:rPr>
        <w:t>bij het (wachten op) laden of lossen.</w:t>
      </w:r>
      <w:r w:rsidRPr="00245560">
        <w:rPr>
          <w:b/>
          <w:bCs/>
          <w:szCs w:val="24"/>
        </w:rPr>
        <w:t xml:space="preserve"> </w:t>
      </w:r>
      <w:r w:rsidR="00E75BB7" w:rsidRPr="00245560">
        <w:rPr>
          <w:szCs w:val="24"/>
        </w:rPr>
        <w:t>Bijna een</w:t>
      </w:r>
      <w:r w:rsidR="00245560" w:rsidRPr="00245560">
        <w:rPr>
          <w:szCs w:val="24"/>
        </w:rPr>
        <w:t xml:space="preserve"> </w:t>
      </w:r>
      <w:r w:rsidR="00E75BB7" w:rsidRPr="00245560">
        <w:rPr>
          <w:szCs w:val="24"/>
        </w:rPr>
        <w:t xml:space="preserve">derde </w:t>
      </w:r>
      <w:r w:rsidRPr="00245560">
        <w:rPr>
          <w:szCs w:val="24"/>
        </w:rPr>
        <w:t>waren kinderen</w:t>
      </w:r>
      <w:r w:rsidRPr="00E75BB7">
        <w:rPr>
          <w:szCs w:val="24"/>
        </w:rPr>
        <w:t xml:space="preserve"> jonger dan </w:t>
      </w:r>
      <w:r w:rsidR="00095BF1">
        <w:rPr>
          <w:szCs w:val="24"/>
        </w:rPr>
        <w:t>vijftien</w:t>
      </w:r>
      <w:r w:rsidR="00095BF1" w:rsidRPr="00E75BB7">
        <w:rPr>
          <w:szCs w:val="24"/>
        </w:rPr>
        <w:t xml:space="preserve"> </w:t>
      </w:r>
      <w:r w:rsidRPr="00E75BB7">
        <w:rPr>
          <w:szCs w:val="24"/>
        </w:rPr>
        <w:t xml:space="preserve">jaar. Opvallend is dat </w:t>
      </w:r>
      <w:r w:rsidR="00E75BB7" w:rsidRPr="00E75BB7">
        <w:rPr>
          <w:szCs w:val="24"/>
        </w:rPr>
        <w:t xml:space="preserve">slechts één dode </w:t>
      </w:r>
      <w:r w:rsidRPr="00E75BB7">
        <w:rPr>
          <w:szCs w:val="24"/>
        </w:rPr>
        <w:t xml:space="preserve">viel op </w:t>
      </w:r>
      <w:r w:rsidR="00E75BB7" w:rsidRPr="00E75BB7">
        <w:rPr>
          <w:szCs w:val="24"/>
        </w:rPr>
        <w:t xml:space="preserve">een </w:t>
      </w:r>
      <w:r w:rsidRPr="00E75BB7">
        <w:rPr>
          <w:szCs w:val="24"/>
        </w:rPr>
        <w:t>passagiersvaartuig</w:t>
      </w:r>
      <w:r w:rsidR="007478CF">
        <w:rPr>
          <w:szCs w:val="24"/>
        </w:rPr>
        <w:t xml:space="preserve">. </w:t>
      </w:r>
      <w:r w:rsidRPr="00B26DF7">
        <w:rPr>
          <w:b/>
          <w:bCs/>
          <w:szCs w:val="24"/>
        </w:rPr>
        <w:t xml:space="preserve"> </w:t>
      </w:r>
    </w:p>
    <w:p w14:paraId="434793D5" w14:textId="24AF8352" w:rsidR="0073203B" w:rsidRPr="0073203B" w:rsidRDefault="00D23386" w:rsidP="00106B97">
      <w:pPr>
        <w:ind w:firstLine="708"/>
        <w:jc w:val="left"/>
        <w:rPr>
          <w:szCs w:val="24"/>
        </w:rPr>
      </w:pPr>
      <w:r w:rsidRPr="00E75BB7">
        <w:rPr>
          <w:szCs w:val="24"/>
        </w:rPr>
        <w:t>De voornaamste doodsoorzaak was</w:t>
      </w:r>
      <w:r w:rsidR="00A977C7">
        <w:rPr>
          <w:szCs w:val="24"/>
        </w:rPr>
        <w:t xml:space="preserve"> verdrinking na</w:t>
      </w:r>
      <w:r w:rsidRPr="00E75BB7">
        <w:rPr>
          <w:szCs w:val="24"/>
        </w:rPr>
        <w:t xml:space="preserve"> overboord vallen. </w:t>
      </w:r>
      <w:r w:rsidR="00727151">
        <w:rPr>
          <w:szCs w:val="24"/>
        </w:rPr>
        <w:t xml:space="preserve">Meer dan </w:t>
      </w:r>
      <w:r w:rsidR="00802A28">
        <w:rPr>
          <w:szCs w:val="24"/>
        </w:rPr>
        <w:t>zestig</w:t>
      </w:r>
      <w:r w:rsidR="00802A28" w:rsidRPr="00E75BB7">
        <w:rPr>
          <w:szCs w:val="24"/>
        </w:rPr>
        <w:t xml:space="preserve"> </w:t>
      </w:r>
      <w:r w:rsidRPr="00E75BB7">
        <w:rPr>
          <w:szCs w:val="24"/>
        </w:rPr>
        <w:t xml:space="preserve">procent van de dodelijke slachtoffers ontstond doordat volwassenen of kinderen door onachtzaamheid, struikelingen, evenwichtsverlies, gladheid, </w:t>
      </w:r>
      <w:proofErr w:type="spellStart"/>
      <w:r w:rsidRPr="00E75BB7">
        <w:rPr>
          <w:szCs w:val="24"/>
        </w:rPr>
        <w:t>meerdraden</w:t>
      </w:r>
      <w:proofErr w:type="spellEnd"/>
      <w:r w:rsidR="00BE51E4">
        <w:rPr>
          <w:szCs w:val="24"/>
        </w:rPr>
        <w:t xml:space="preserve">, </w:t>
      </w:r>
      <w:r w:rsidRPr="00E75BB7">
        <w:rPr>
          <w:szCs w:val="24"/>
        </w:rPr>
        <w:t>sleepkabels</w:t>
      </w:r>
      <w:r w:rsidR="00BE51E4">
        <w:rPr>
          <w:szCs w:val="24"/>
        </w:rPr>
        <w:t>, aanvaringen of stoten</w:t>
      </w:r>
      <w:r w:rsidRPr="00E75BB7">
        <w:rPr>
          <w:szCs w:val="24"/>
        </w:rPr>
        <w:t xml:space="preserve"> onverwacht overboord vielen en verdronken. Als tweede doodsoorzaak kunnen de weersomstandigheden worden genoemd.</w:t>
      </w:r>
      <w:r w:rsidRPr="00B26DF7">
        <w:rPr>
          <w:b/>
          <w:bCs/>
          <w:szCs w:val="24"/>
        </w:rPr>
        <w:t xml:space="preserve"> </w:t>
      </w:r>
      <w:r w:rsidR="0073203B" w:rsidRPr="000076A2">
        <w:rPr>
          <w:szCs w:val="24"/>
        </w:rPr>
        <w:t xml:space="preserve">Ongeveer </w:t>
      </w:r>
      <w:r w:rsidR="00432570">
        <w:rPr>
          <w:szCs w:val="24"/>
        </w:rPr>
        <w:t>zeventien</w:t>
      </w:r>
      <w:r w:rsidR="00432570" w:rsidRPr="000076A2">
        <w:rPr>
          <w:szCs w:val="24"/>
        </w:rPr>
        <w:t xml:space="preserve"> </w:t>
      </w:r>
      <w:r w:rsidR="0073203B" w:rsidRPr="000076A2">
        <w:rPr>
          <w:szCs w:val="24"/>
        </w:rPr>
        <w:t>procent van de doden viel bij zware storm.</w:t>
      </w:r>
      <w:r w:rsidR="0073203B">
        <w:rPr>
          <w:szCs w:val="24"/>
        </w:rPr>
        <w:t xml:space="preserve"> Dit aan</w:t>
      </w:r>
      <w:r w:rsidR="006C52DB">
        <w:rPr>
          <w:szCs w:val="24"/>
        </w:rPr>
        <w:t>deel</w:t>
      </w:r>
      <w:r w:rsidR="0073203B">
        <w:rPr>
          <w:szCs w:val="24"/>
        </w:rPr>
        <w:t xml:space="preserve"> kon afhankelijk van de weersomstandigheden jaar</w:t>
      </w:r>
      <w:r w:rsidR="006C52DB">
        <w:rPr>
          <w:szCs w:val="24"/>
        </w:rPr>
        <w:t>lijks</w:t>
      </w:r>
      <w:r w:rsidR="0073203B">
        <w:rPr>
          <w:szCs w:val="24"/>
        </w:rPr>
        <w:t xml:space="preserve"> sterk fluctueren en bedroeg in 1928 meer dan een kwart.</w:t>
      </w:r>
      <w:r w:rsidR="00F85382">
        <w:rPr>
          <w:szCs w:val="24"/>
        </w:rPr>
        <w:t xml:space="preserve"> Bij de weersongevallen speelden </w:t>
      </w:r>
      <w:r w:rsidR="0073203B">
        <w:rPr>
          <w:szCs w:val="24"/>
        </w:rPr>
        <w:t xml:space="preserve">factoren </w:t>
      </w:r>
      <w:r w:rsidR="0073203B">
        <w:rPr>
          <w:szCs w:val="24"/>
        </w:rPr>
        <w:lastRenderedPageBreak/>
        <w:t xml:space="preserve">als </w:t>
      </w:r>
      <w:r w:rsidR="0073203B" w:rsidRPr="0073203B">
        <w:rPr>
          <w:szCs w:val="24"/>
        </w:rPr>
        <w:t xml:space="preserve">gebrekkig onderhoud, verschuivende lading, te hoge belading, openstaande luiken, onachtzaamheid of onvoldoende zeemanschap </w:t>
      </w:r>
      <w:r w:rsidR="0073203B">
        <w:rPr>
          <w:szCs w:val="24"/>
        </w:rPr>
        <w:t xml:space="preserve">natuurlijk </w:t>
      </w:r>
      <w:r w:rsidR="0073203B" w:rsidRPr="0073203B">
        <w:rPr>
          <w:szCs w:val="24"/>
        </w:rPr>
        <w:t>een belangrijke rol, maar ze kunnen op basis van de berichtgeving niet meer worden achterhaald.</w:t>
      </w:r>
      <w:r w:rsidR="00E53F0A">
        <w:rPr>
          <w:szCs w:val="24"/>
        </w:rPr>
        <w:t xml:space="preserve"> Van de slachtoffers die in het ziekenhuis belandden bestond het merendeel </w:t>
      </w:r>
      <w:r w:rsidR="00E53F0A" w:rsidRPr="00E53F0A">
        <w:rPr>
          <w:szCs w:val="24"/>
        </w:rPr>
        <w:t xml:space="preserve">uit volwassenen of kinderen die tussen sleepkabels, </w:t>
      </w:r>
      <w:proofErr w:type="spellStart"/>
      <w:r w:rsidR="00E53F0A" w:rsidRPr="00E53F0A">
        <w:rPr>
          <w:szCs w:val="24"/>
        </w:rPr>
        <w:t>meerdraden</w:t>
      </w:r>
      <w:proofErr w:type="spellEnd"/>
      <w:r w:rsidR="00E53F0A" w:rsidRPr="00E53F0A">
        <w:rPr>
          <w:szCs w:val="24"/>
        </w:rPr>
        <w:t xml:space="preserve">, bolders of gemeerde schepen bekneld raakten. Volgens </w:t>
      </w:r>
      <w:proofErr w:type="spellStart"/>
      <w:r w:rsidR="00E53F0A" w:rsidRPr="00E53F0A">
        <w:rPr>
          <w:i/>
          <w:iCs/>
          <w:szCs w:val="24"/>
        </w:rPr>
        <w:t>Schuttevaêr</w:t>
      </w:r>
      <w:proofErr w:type="spellEnd"/>
      <w:r w:rsidR="00E53F0A" w:rsidRPr="00E53F0A">
        <w:rPr>
          <w:i/>
          <w:iCs/>
          <w:szCs w:val="24"/>
        </w:rPr>
        <w:t xml:space="preserve"> </w:t>
      </w:r>
      <w:r w:rsidR="00E53F0A" w:rsidRPr="00E53F0A">
        <w:rPr>
          <w:szCs w:val="24"/>
        </w:rPr>
        <w:t xml:space="preserve">zonken gedurende </w:t>
      </w:r>
      <w:r w:rsidR="00E53F0A">
        <w:rPr>
          <w:szCs w:val="24"/>
        </w:rPr>
        <w:t>beide jaren</w:t>
      </w:r>
      <w:r w:rsidR="00F85382">
        <w:rPr>
          <w:szCs w:val="24"/>
        </w:rPr>
        <w:t xml:space="preserve"> samen</w:t>
      </w:r>
      <w:r w:rsidR="00E53F0A">
        <w:rPr>
          <w:szCs w:val="24"/>
        </w:rPr>
        <w:t xml:space="preserve"> </w:t>
      </w:r>
      <w:r w:rsidR="0019525B">
        <w:rPr>
          <w:szCs w:val="24"/>
        </w:rPr>
        <w:t xml:space="preserve">honderd </w:t>
      </w:r>
      <w:r w:rsidR="00E53F0A" w:rsidRPr="00E53F0A">
        <w:rPr>
          <w:szCs w:val="24"/>
        </w:rPr>
        <w:t>binnenschepen</w:t>
      </w:r>
      <w:r w:rsidR="002C1992">
        <w:rPr>
          <w:szCs w:val="24"/>
        </w:rPr>
        <w:t xml:space="preserve">, </w:t>
      </w:r>
      <w:r w:rsidR="0019525B">
        <w:rPr>
          <w:szCs w:val="24"/>
        </w:rPr>
        <w:t>twee</w:t>
      </w:r>
      <w:r w:rsidR="002C1992">
        <w:rPr>
          <w:szCs w:val="24"/>
        </w:rPr>
        <w:t xml:space="preserve"> veerponten </w:t>
      </w:r>
      <w:r w:rsidR="00E53F0A" w:rsidRPr="00E53F0A">
        <w:rPr>
          <w:szCs w:val="24"/>
        </w:rPr>
        <w:t xml:space="preserve">en </w:t>
      </w:r>
      <w:r w:rsidR="0019525B">
        <w:rPr>
          <w:szCs w:val="24"/>
        </w:rPr>
        <w:t xml:space="preserve">twee </w:t>
      </w:r>
      <w:r w:rsidR="00E53F0A" w:rsidRPr="00E53F0A">
        <w:rPr>
          <w:szCs w:val="24"/>
        </w:rPr>
        <w:t>recreatievaartuigen.</w:t>
      </w:r>
      <w:r w:rsidR="00E53F0A">
        <w:rPr>
          <w:szCs w:val="24"/>
        </w:rPr>
        <w:t xml:space="preserve"> </w:t>
      </w:r>
      <w:r w:rsidR="007478CF" w:rsidRPr="007478CF">
        <w:rPr>
          <w:szCs w:val="24"/>
        </w:rPr>
        <w:t>Veel hiervan werden later geborgen en hersteld. Vaak konden de opvarenden door andere vaartuigen worden gered.</w:t>
      </w:r>
      <w:r w:rsidR="007478CF" w:rsidRPr="007478CF">
        <w:rPr>
          <w:rStyle w:val="EndnoteReference"/>
          <w:szCs w:val="24"/>
        </w:rPr>
        <w:endnoteReference w:id="136"/>
      </w:r>
    </w:p>
    <w:p w14:paraId="12B0A449" w14:textId="77777777" w:rsidR="004A5400" w:rsidRDefault="00B135CC" w:rsidP="00B461CD">
      <w:pPr>
        <w:ind w:firstLine="708"/>
        <w:jc w:val="left"/>
        <w:rPr>
          <w:szCs w:val="24"/>
        </w:rPr>
      </w:pPr>
      <w:r>
        <w:rPr>
          <w:szCs w:val="24"/>
        </w:rPr>
        <w:t>Verder bevat</w:t>
      </w:r>
      <w:r w:rsidR="000B75B7">
        <w:rPr>
          <w:szCs w:val="24"/>
        </w:rPr>
        <w:t>te</w:t>
      </w:r>
      <w:r>
        <w:rPr>
          <w:szCs w:val="24"/>
        </w:rPr>
        <w:t xml:space="preserve"> de krant </w:t>
      </w:r>
      <w:r w:rsidR="00F85382">
        <w:rPr>
          <w:szCs w:val="24"/>
        </w:rPr>
        <w:t xml:space="preserve">herhaaldelijk </w:t>
      </w:r>
      <w:r>
        <w:rPr>
          <w:szCs w:val="24"/>
        </w:rPr>
        <w:t xml:space="preserve">berichten over </w:t>
      </w:r>
      <w:r w:rsidR="00602818">
        <w:rPr>
          <w:szCs w:val="24"/>
        </w:rPr>
        <w:t xml:space="preserve">aanvaringen, strandingen, kapseizende vaartuigen, scheepsbranden en ontploffingen, waarbij alleen materiële schade </w:t>
      </w:r>
      <w:r w:rsidR="00F054FB">
        <w:rPr>
          <w:szCs w:val="24"/>
        </w:rPr>
        <w:t>ontstond</w:t>
      </w:r>
      <w:r w:rsidR="00602818">
        <w:rPr>
          <w:szCs w:val="24"/>
        </w:rPr>
        <w:t>.</w:t>
      </w:r>
      <w:r w:rsidR="000B75B7">
        <w:rPr>
          <w:szCs w:val="24"/>
        </w:rPr>
        <w:t xml:space="preserve"> Veel aanvaringen vonden plaats bij mist. </w:t>
      </w:r>
      <w:r w:rsidR="00F85382">
        <w:rPr>
          <w:szCs w:val="24"/>
        </w:rPr>
        <w:t>Omdat veel van dergelijke ongevallen de krant niet bereikten, zijn ze niet in de tabel opgenomen.</w:t>
      </w:r>
    </w:p>
    <w:p w14:paraId="7C58F6F2" w14:textId="5989B34E" w:rsidR="00D23386" w:rsidRDefault="00B461CD" w:rsidP="00B461CD">
      <w:pPr>
        <w:ind w:firstLine="708"/>
        <w:jc w:val="left"/>
        <w:rPr>
          <w:szCs w:val="24"/>
        </w:rPr>
      </w:pPr>
      <w:r w:rsidRPr="003B0C81">
        <w:rPr>
          <w:color w:val="auto"/>
        </w:rPr>
        <w:t>Het meest curieuze ongeval in deze periode was een botsing van een KLM-vliegtuig met een Rijnschip, in 1928. De vliegmachine was kort tevoren op het vliegveld Waalhaven bij Rotterdam opgestegen, raakte door een onverwachte windvlaag uit zijn koers, vloog in de Waalhaven tegen mast van een wachtend sleepschip, brak zijn vleugel en viel meteen daarna in het water. Vier inzittenden werden gered, één kwam om het leven. Omdat dit meer een luchtvaart- dan een scheepsongeval was, is de dode niet in tabel 20 opgenomen.</w:t>
      </w:r>
      <w:r w:rsidRPr="003B0C81">
        <w:rPr>
          <w:rStyle w:val="EndnoteReference"/>
          <w:color w:val="auto"/>
        </w:rPr>
        <w:endnoteReference w:id="137"/>
      </w:r>
      <w:r>
        <w:rPr>
          <w:color w:val="FF0000"/>
        </w:rPr>
        <w:t xml:space="preserve">   </w:t>
      </w:r>
      <w:r>
        <w:rPr>
          <w:szCs w:val="24"/>
        </w:rPr>
        <w:tab/>
      </w:r>
      <w:r w:rsidR="00D23386" w:rsidRPr="00B8627C">
        <w:rPr>
          <w:szCs w:val="24"/>
        </w:rPr>
        <w:t xml:space="preserve">Bovengenoemde cijfers geven aanleiding om het oordeel van de binnenvaartdeskundigen uit de jaren twintig te nuanceren. Ten eerste was een jaarlijks dodental van ongeveer </w:t>
      </w:r>
      <w:r w:rsidR="00D66389">
        <w:rPr>
          <w:szCs w:val="24"/>
        </w:rPr>
        <w:t>zestig</w:t>
      </w:r>
      <w:r w:rsidR="00D66389" w:rsidRPr="00B8627C">
        <w:rPr>
          <w:szCs w:val="24"/>
        </w:rPr>
        <w:t xml:space="preserve"> </w:t>
      </w:r>
      <w:r w:rsidR="00D23386" w:rsidRPr="00B8627C">
        <w:rPr>
          <w:szCs w:val="24"/>
        </w:rPr>
        <w:t xml:space="preserve">op een vloot van 17.000 vaartuigen met ongeveer 50.000 bemanningsleden volgens de maatstaven van die tijd niet bijster groot. Wanneer dit </w:t>
      </w:r>
      <w:r w:rsidR="00BF5E59">
        <w:rPr>
          <w:szCs w:val="24"/>
        </w:rPr>
        <w:t>aan</w:t>
      </w:r>
      <w:r w:rsidR="00D23386" w:rsidRPr="00B8627C">
        <w:rPr>
          <w:szCs w:val="24"/>
        </w:rPr>
        <w:t xml:space="preserve">tal ook voor andere jaren representatief was, dan was de binnenvaart </w:t>
      </w:r>
      <w:r w:rsidR="00BF5E59">
        <w:rPr>
          <w:szCs w:val="24"/>
        </w:rPr>
        <w:t xml:space="preserve">voor de opvarenden </w:t>
      </w:r>
      <w:r w:rsidR="00D23386" w:rsidRPr="00B8627C">
        <w:rPr>
          <w:szCs w:val="24"/>
        </w:rPr>
        <w:t xml:space="preserve">geen onveilige vervoerswijze. </w:t>
      </w:r>
      <w:bookmarkStart w:id="77" w:name="_Hlk85613771"/>
      <w:r w:rsidR="00D23386" w:rsidRPr="00B8627C">
        <w:rPr>
          <w:szCs w:val="24"/>
        </w:rPr>
        <w:t xml:space="preserve">Ten tweede moet worden vastgesteld dat </w:t>
      </w:r>
      <w:r w:rsidR="007842C9">
        <w:rPr>
          <w:szCs w:val="24"/>
        </w:rPr>
        <w:t xml:space="preserve">nieuwe wetgeving </w:t>
      </w:r>
      <w:r w:rsidR="00D23386" w:rsidRPr="00B8627C">
        <w:rPr>
          <w:szCs w:val="24"/>
        </w:rPr>
        <w:t>om de kwaliteit</w:t>
      </w:r>
      <w:r w:rsidR="007842C9">
        <w:rPr>
          <w:szCs w:val="24"/>
        </w:rPr>
        <w:t xml:space="preserve">, </w:t>
      </w:r>
      <w:r w:rsidR="00D23386" w:rsidRPr="00B8627C">
        <w:rPr>
          <w:szCs w:val="24"/>
        </w:rPr>
        <w:t xml:space="preserve">uitrusting </w:t>
      </w:r>
      <w:r w:rsidR="007842C9">
        <w:rPr>
          <w:szCs w:val="24"/>
        </w:rPr>
        <w:t xml:space="preserve">en belading </w:t>
      </w:r>
      <w:r w:rsidR="00D23386" w:rsidRPr="00B8627C">
        <w:rPr>
          <w:szCs w:val="24"/>
        </w:rPr>
        <w:t xml:space="preserve">van de schepen en de vakbekwaamheid van de schippers te verbeteren </w:t>
      </w:r>
      <w:r w:rsidR="007842C9">
        <w:rPr>
          <w:szCs w:val="24"/>
        </w:rPr>
        <w:t xml:space="preserve">aan de verladers </w:t>
      </w:r>
      <w:r w:rsidR="00D23386" w:rsidRPr="00B8627C">
        <w:rPr>
          <w:szCs w:val="24"/>
        </w:rPr>
        <w:t xml:space="preserve">meer vervoerszekerheid </w:t>
      </w:r>
      <w:r w:rsidR="007842C9">
        <w:rPr>
          <w:szCs w:val="24"/>
        </w:rPr>
        <w:t>zou bieden</w:t>
      </w:r>
      <w:r w:rsidR="00D23386" w:rsidRPr="00B8627C">
        <w:rPr>
          <w:szCs w:val="24"/>
        </w:rPr>
        <w:t>, maar niet de meest effectieve weg was om de veiligheid van de opvarenden te vergroten.</w:t>
      </w:r>
      <w:bookmarkEnd w:id="77"/>
      <w:r w:rsidR="00D23386" w:rsidRPr="00B8627C">
        <w:rPr>
          <w:szCs w:val="24"/>
        </w:rPr>
        <w:t xml:space="preserve"> Wilde men h</w:t>
      </w:r>
      <w:r w:rsidR="007478CF" w:rsidRPr="00B8627C">
        <w:rPr>
          <w:szCs w:val="24"/>
        </w:rPr>
        <w:t>e</w:t>
      </w:r>
      <w:r w:rsidR="00D23386" w:rsidRPr="00B8627C">
        <w:rPr>
          <w:szCs w:val="24"/>
        </w:rPr>
        <w:t xml:space="preserve">t aantal dodelijke slachtoffers beperken, dan moest er primair voor worden gezorgd dat </w:t>
      </w:r>
      <w:r w:rsidR="00C076E7">
        <w:rPr>
          <w:szCs w:val="24"/>
        </w:rPr>
        <w:t xml:space="preserve">de </w:t>
      </w:r>
      <w:r w:rsidR="00D23386" w:rsidRPr="00B8627C">
        <w:rPr>
          <w:szCs w:val="24"/>
        </w:rPr>
        <w:t>opvarenden minder vaak overboord vielen of leerden zwemmen.</w:t>
      </w:r>
    </w:p>
    <w:p w14:paraId="4E6F47F7" w14:textId="77777777" w:rsidR="00D564A3" w:rsidRPr="00B8627C" w:rsidRDefault="00D564A3" w:rsidP="00964269">
      <w:pPr>
        <w:ind w:firstLine="708"/>
        <w:jc w:val="left"/>
        <w:rPr>
          <w:szCs w:val="24"/>
        </w:rPr>
      </w:pPr>
    </w:p>
    <w:p w14:paraId="7C068EDB" w14:textId="77777777" w:rsidR="00D23386" w:rsidRDefault="00D23386" w:rsidP="00DE08B1">
      <w:pPr>
        <w:jc w:val="left"/>
        <w:rPr>
          <w:szCs w:val="24"/>
        </w:rPr>
      </w:pPr>
    </w:p>
    <w:p w14:paraId="22A36BF6" w14:textId="7F1A80C9" w:rsidR="00D23386" w:rsidRDefault="00D23386" w:rsidP="00D564A3">
      <w:pPr>
        <w:pStyle w:val="Heading2"/>
        <w:jc w:val="left"/>
      </w:pPr>
      <w:bookmarkStart w:id="78" w:name="_Hlk85613849"/>
      <w:r>
        <w:t>De verkeersveiligheid na de Tweede Wereldoorlog</w:t>
      </w:r>
      <w:r w:rsidR="00D564A3">
        <w:br/>
      </w:r>
    </w:p>
    <w:bookmarkEnd w:id="78"/>
    <w:p w14:paraId="54316602" w14:textId="3F7DE8DE" w:rsidR="003C1953" w:rsidRDefault="00D23386" w:rsidP="00DE08B1">
      <w:pPr>
        <w:jc w:val="left"/>
      </w:pPr>
      <w:r>
        <w:t xml:space="preserve">Toenemend verkeer, met name de recreatievaart, leidde ertoe dat het </w:t>
      </w:r>
      <w:bookmarkStart w:id="79" w:name="_Hlk177642142"/>
      <w:proofErr w:type="spellStart"/>
      <w:r w:rsidRPr="00A112E2">
        <w:rPr>
          <w:rFonts w:eastAsia="Calibri" w:cs="Times New Roman"/>
          <w:color w:val="auto"/>
          <w:szCs w:val="24"/>
        </w:rPr>
        <w:t>Binne</w:t>
      </w:r>
      <w:r w:rsidR="00872796">
        <w:rPr>
          <w:rFonts w:eastAsia="Calibri" w:cs="Times New Roman"/>
          <w:color w:val="auto"/>
          <w:szCs w:val="24"/>
        </w:rPr>
        <w:t>n</w:t>
      </w:r>
      <w:r w:rsidRPr="00A112E2">
        <w:rPr>
          <w:rFonts w:eastAsia="Calibri" w:cs="Times New Roman"/>
          <w:color w:val="auto"/>
          <w:szCs w:val="24"/>
        </w:rPr>
        <w:t>aanvaringsreglement</w:t>
      </w:r>
      <w:proofErr w:type="spellEnd"/>
      <w:r w:rsidRPr="00A112E2">
        <w:rPr>
          <w:rFonts w:eastAsia="Calibri" w:cs="Times New Roman"/>
          <w:color w:val="auto"/>
          <w:szCs w:val="24"/>
        </w:rPr>
        <w:t xml:space="preserve"> </w:t>
      </w:r>
      <w:bookmarkEnd w:id="79"/>
      <w:r>
        <w:rPr>
          <w:rFonts w:eastAsia="Calibri" w:cs="Times New Roman"/>
          <w:color w:val="auto"/>
          <w:szCs w:val="24"/>
        </w:rPr>
        <w:t xml:space="preserve">in 1965 werd </w:t>
      </w:r>
      <w:r w:rsidRPr="00A112E2">
        <w:rPr>
          <w:rFonts w:eastAsia="Calibri" w:cs="Times New Roman"/>
          <w:color w:val="auto"/>
          <w:szCs w:val="24"/>
        </w:rPr>
        <w:t xml:space="preserve">vervangen door het Vaarreglement. </w:t>
      </w:r>
      <w:r>
        <w:rPr>
          <w:rFonts w:eastAsia="Calibri" w:cs="Times New Roman"/>
          <w:color w:val="auto"/>
          <w:szCs w:val="24"/>
        </w:rPr>
        <w:t>D</w:t>
      </w:r>
      <w:r w:rsidRPr="00A112E2">
        <w:rPr>
          <w:rFonts w:eastAsia="Calibri" w:cs="Times New Roman"/>
          <w:color w:val="auto"/>
          <w:szCs w:val="24"/>
        </w:rPr>
        <w:t xml:space="preserve">it </w:t>
      </w:r>
      <w:r w:rsidR="007842C9">
        <w:rPr>
          <w:rFonts w:eastAsia="Calibri" w:cs="Times New Roman"/>
          <w:color w:val="auto"/>
          <w:szCs w:val="24"/>
        </w:rPr>
        <w:t xml:space="preserve">nieuwe </w:t>
      </w:r>
      <w:r w:rsidRPr="00A112E2">
        <w:rPr>
          <w:rFonts w:eastAsia="Calibri" w:cs="Times New Roman"/>
          <w:color w:val="auto"/>
          <w:szCs w:val="24"/>
        </w:rPr>
        <w:t xml:space="preserve">reglement </w:t>
      </w:r>
      <w:r>
        <w:rPr>
          <w:rFonts w:eastAsia="Calibri" w:cs="Times New Roman"/>
          <w:color w:val="auto"/>
          <w:szCs w:val="24"/>
        </w:rPr>
        <w:t xml:space="preserve">maakte </w:t>
      </w:r>
      <w:r w:rsidRPr="00A112E2">
        <w:rPr>
          <w:rFonts w:eastAsia="Calibri" w:cs="Times New Roman"/>
          <w:color w:val="auto"/>
          <w:szCs w:val="24"/>
        </w:rPr>
        <w:t xml:space="preserve">voor het eerst een onderscheid tussen grote en kleine vaartuigen. Kleine vaartuigen werden verplicht om voor grote vaartuigen uit te wijken. Voorts maakte het Vaarreglement voor het eerst een onderscheid tussen hoofd- en nevenvaarwateren, waarbij de vaart op een hoofdvaarweg voorrang kreeg. </w:t>
      </w:r>
      <w:r>
        <w:rPr>
          <w:rFonts w:eastAsia="Calibri" w:cs="Times New Roman"/>
          <w:color w:val="auto"/>
          <w:szCs w:val="24"/>
        </w:rPr>
        <w:t xml:space="preserve">Verder </w:t>
      </w:r>
      <w:r w:rsidRPr="00A112E2">
        <w:rPr>
          <w:rFonts w:eastAsia="Calibri" w:cs="Times New Roman"/>
          <w:color w:val="auto"/>
          <w:szCs w:val="24"/>
        </w:rPr>
        <w:t>bepaalde het Vaarreglement dat verkeer van rechts op twee gelijkwaardige vaarwegen of op een ruim vaarwater voorrang heeft.</w:t>
      </w:r>
      <w:r>
        <w:rPr>
          <w:rFonts w:eastAsia="Calibri" w:cs="Times New Roman"/>
          <w:color w:val="auto"/>
          <w:szCs w:val="24"/>
        </w:rPr>
        <w:t xml:space="preserve"> Het Vaarreglement </w:t>
      </w:r>
      <w:r w:rsidRPr="00A112E2">
        <w:rPr>
          <w:rFonts w:eastAsia="Calibri" w:cs="Times New Roman"/>
          <w:color w:val="auto"/>
          <w:szCs w:val="24"/>
        </w:rPr>
        <w:t xml:space="preserve">werd in 1984 vervangen door het Binnenvaartpolitiereglement. Met dit reglement kregen verkeersborden en verkeerstekens voor het verkeer te water een wettelijke </w:t>
      </w:r>
      <w:r w:rsidRPr="00A112E2">
        <w:rPr>
          <w:rFonts w:eastAsia="Calibri" w:cs="Times New Roman"/>
          <w:color w:val="auto"/>
          <w:szCs w:val="24"/>
        </w:rPr>
        <w:lastRenderedPageBreak/>
        <w:t>basis.</w:t>
      </w:r>
      <w:r>
        <w:rPr>
          <w:rFonts w:eastAsia="Calibri" w:cs="Times New Roman"/>
          <w:color w:val="auto"/>
          <w:szCs w:val="24"/>
        </w:rPr>
        <w:t xml:space="preserve"> Later zou dit reglement verscheidene keren aan de nieuwste ontwikkelingen worden aangepast.</w:t>
      </w:r>
      <w:r>
        <w:rPr>
          <w:rStyle w:val="EndnoteReference"/>
          <w:rFonts w:eastAsia="Calibri" w:cs="Times New Roman"/>
          <w:color w:val="auto"/>
          <w:szCs w:val="24"/>
        </w:rPr>
        <w:endnoteReference w:id="138"/>
      </w:r>
      <w:r w:rsidRPr="00A112E2">
        <w:rPr>
          <w:rFonts w:eastAsia="Calibri" w:cs="Times New Roman"/>
          <w:color w:val="auto"/>
          <w:szCs w:val="24"/>
        </w:rPr>
        <w:t xml:space="preserve">  </w:t>
      </w:r>
      <w:r>
        <w:t xml:space="preserve"> </w:t>
      </w:r>
    </w:p>
    <w:p w14:paraId="72716E57" w14:textId="44D78C55" w:rsidR="00D23386" w:rsidRPr="00DD71B1" w:rsidRDefault="001A1F4D" w:rsidP="00DE08B1">
      <w:pPr>
        <w:jc w:val="left"/>
        <w:rPr>
          <w:color w:val="FF0000"/>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Pr="00DD71B1">
        <w:rPr>
          <w:color w:val="FF0000"/>
        </w:rPr>
        <w:t>73-61_Tina.jpg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04A305BB" w14:textId="68302E0F" w:rsidR="00D23386" w:rsidRPr="00644D05" w:rsidRDefault="00106B97" w:rsidP="00106B97">
      <w:pPr>
        <w:jc w:val="left"/>
        <w:rPr>
          <w:rFonts w:eastAsia="Calibri"/>
        </w:rPr>
      </w:pPr>
      <w:r>
        <w:tab/>
      </w:r>
      <w:r w:rsidR="00D23386">
        <w:t xml:space="preserve">In 1961 ramde de pas gebouwde </w:t>
      </w:r>
      <w:proofErr w:type="spellStart"/>
      <w:r w:rsidR="00D23386">
        <w:t>zeeveerboot</w:t>
      </w:r>
      <w:proofErr w:type="spellEnd"/>
      <w:r w:rsidR="00D23386">
        <w:t xml:space="preserve"> </w:t>
      </w:r>
      <w:r w:rsidR="00D23386">
        <w:rPr>
          <w:i/>
          <w:iCs/>
        </w:rPr>
        <w:t xml:space="preserve">Tina </w:t>
      </w:r>
      <w:proofErr w:type="spellStart"/>
      <w:r w:rsidR="00D23386">
        <w:rPr>
          <w:i/>
          <w:iCs/>
        </w:rPr>
        <w:t>Scarlett</w:t>
      </w:r>
      <w:proofErr w:type="spellEnd"/>
      <w:r w:rsidR="00D23386">
        <w:rPr>
          <w:i/>
          <w:iCs/>
        </w:rPr>
        <w:t xml:space="preserve"> </w:t>
      </w:r>
      <w:r w:rsidR="00D23386">
        <w:t>op de Duitse Rijn bij Emmeri</w:t>
      </w:r>
      <w:r w:rsidR="005C607D">
        <w:t>k</w:t>
      </w:r>
      <w:r w:rsidR="00D23386">
        <w:t xml:space="preserve"> de tanker </w:t>
      </w:r>
      <w:r w:rsidR="00D23386">
        <w:rPr>
          <w:i/>
          <w:iCs/>
        </w:rPr>
        <w:t xml:space="preserve">Diamant. </w:t>
      </w:r>
      <w:r w:rsidR="00D23386">
        <w:t xml:space="preserve">Door uitstromende vliegtuigbenzine ontstond een vuurzee met een hoogte van 30 à 40 meter, </w:t>
      </w:r>
      <w:r w:rsidR="00C076E7">
        <w:t xml:space="preserve">beide </w:t>
      </w:r>
      <w:r w:rsidR="00D23386">
        <w:t xml:space="preserve">schepen </w:t>
      </w:r>
      <w:r w:rsidR="00D23386" w:rsidRPr="00644D05">
        <w:t xml:space="preserve">brandden volledig uit, 9 andere raakten in brand, er vielen 2 doden en 22 gewonden, terwijl 70 opvarenden konden worden gered. </w:t>
      </w:r>
      <w:bookmarkStart w:id="80" w:name="_Hlk85614154"/>
      <w:r w:rsidR="00D23386" w:rsidRPr="00644D05">
        <w:t xml:space="preserve">Dit inferno leidde in de jaren zeventig tot verwoede discussies of het vervoer van gevaarlijke stoffen nog tot ernstiger rampen kon leiden. </w:t>
      </w:r>
      <w:r w:rsidR="00D81D53" w:rsidRPr="00644D05">
        <w:t xml:space="preserve">Verontruste bewoners langs de rivieren hadden angst dat ook bij hen een dergelijk ongeval kon plaatsvinden. </w:t>
      </w:r>
      <w:r w:rsidR="00D23386" w:rsidRPr="00644D05">
        <w:t>De Tweede Kamer stelde over dit onderwerp voortdurend vragen.</w:t>
      </w:r>
      <w:bookmarkEnd w:id="80"/>
      <w:r w:rsidR="00D23386" w:rsidRPr="00644D05">
        <w:rPr>
          <w:rStyle w:val="EndnoteReference"/>
        </w:rPr>
        <w:endnoteReference w:id="139"/>
      </w:r>
      <w:r w:rsidR="00D23386" w:rsidRPr="00644D05">
        <w:t xml:space="preserve">  </w:t>
      </w:r>
    </w:p>
    <w:p w14:paraId="7D1F8FCD" w14:textId="34F1CF15" w:rsidR="00D23386" w:rsidRPr="00644D05" w:rsidRDefault="00D23386" w:rsidP="00106B97">
      <w:pPr>
        <w:ind w:firstLine="708"/>
        <w:jc w:val="left"/>
        <w:rPr>
          <w:szCs w:val="24"/>
        </w:rPr>
      </w:pPr>
      <w:r w:rsidRPr="00644D05">
        <w:rPr>
          <w:szCs w:val="24"/>
        </w:rPr>
        <w:t>Mede als reactie hierop werd tien jaar na de ramp het ADNR</w:t>
      </w:r>
      <w:r w:rsidRPr="00644D05">
        <w:rPr>
          <w:rStyle w:val="EndnoteReference"/>
          <w:szCs w:val="24"/>
        </w:rPr>
        <w:endnoteReference w:id="140"/>
      </w:r>
      <w:r w:rsidRPr="00644D05">
        <w:rPr>
          <w:szCs w:val="24"/>
        </w:rPr>
        <w:t xml:space="preserve"> ingevoerd, dat het vervoer van gevaarlijke stoffen op de Rijn en zijn takken regelde. Ook dit verdrag werd voortdurend </w:t>
      </w:r>
      <w:r w:rsidR="005C607D" w:rsidRPr="00644D05">
        <w:rPr>
          <w:szCs w:val="24"/>
        </w:rPr>
        <w:t xml:space="preserve">aan nieuwe </w:t>
      </w:r>
      <w:r w:rsidRPr="00644D05">
        <w:rPr>
          <w:szCs w:val="24"/>
        </w:rPr>
        <w:t xml:space="preserve">ontwikkelingen </w:t>
      </w:r>
      <w:r w:rsidR="005C607D" w:rsidRPr="00644D05">
        <w:rPr>
          <w:szCs w:val="24"/>
        </w:rPr>
        <w:t xml:space="preserve">aangepast, </w:t>
      </w:r>
      <w:r w:rsidRPr="00644D05">
        <w:rPr>
          <w:szCs w:val="24"/>
        </w:rPr>
        <w:t xml:space="preserve">en in 2008 vervangen door het ADN dat uniforme richtlijnen voor het </w:t>
      </w:r>
      <w:r w:rsidR="00D81D53" w:rsidRPr="00644D05">
        <w:rPr>
          <w:szCs w:val="24"/>
        </w:rPr>
        <w:t xml:space="preserve">gevaarlijke-stoffen-vervoer per binnenschip </w:t>
      </w:r>
      <w:r w:rsidRPr="00644D05">
        <w:rPr>
          <w:szCs w:val="24"/>
        </w:rPr>
        <w:t>op alle Europese binnenvaarwegen geeft. In 1991 bleek bij botsproeven op het Hollands Diep dat dubbelwandige binnenvaarttankers in staat zijn om botsingen met andere schepen te weerstaan, die in volle vaart tegen de zijkant varen. Daarmee kon de angst dat de voorschriften niet voldoen definitief worden weggenomen.</w:t>
      </w:r>
      <w:r w:rsidRPr="00644D05">
        <w:rPr>
          <w:rStyle w:val="EndnoteReference"/>
          <w:szCs w:val="24"/>
        </w:rPr>
        <w:endnoteReference w:id="141"/>
      </w:r>
      <w:r w:rsidRPr="00644D05">
        <w:rPr>
          <w:szCs w:val="24"/>
        </w:rPr>
        <w:t xml:space="preserve"> </w:t>
      </w:r>
    </w:p>
    <w:p w14:paraId="3EDCA681" w14:textId="7B15B3B1" w:rsidR="00D23386" w:rsidRDefault="00D23386" w:rsidP="00106B97">
      <w:pPr>
        <w:ind w:firstLine="708"/>
        <w:jc w:val="left"/>
        <w:rPr>
          <w:szCs w:val="24"/>
        </w:rPr>
      </w:pPr>
      <w:r w:rsidRPr="00644D05">
        <w:rPr>
          <w:szCs w:val="24"/>
        </w:rPr>
        <w:t>Lange tijd golden regels als het ROSR alleen voor de Rijnvaart. Pas in 1981 kwam de Binnenschepenwet tot stand, die het mogelijk maakte om uniforme eisen aan de schepen, bemanning en arbeidsvoorwaarden in het binnenlandse vervoer te stellen. Zes jaar volgde het uitvoeringsbesluit, waarmee deze regels daadwerkelijk werden ingevoerd. Vanaf 1992 moeten schippers van vaartuigen met een lengte van meer dan</w:t>
      </w:r>
      <w:r>
        <w:rPr>
          <w:szCs w:val="24"/>
        </w:rPr>
        <w:t xml:space="preserve"> 15 meter over een vaarbewijs beschikken. Dit g</w:t>
      </w:r>
      <w:r w:rsidR="00D81D53">
        <w:rPr>
          <w:szCs w:val="24"/>
        </w:rPr>
        <w:t>e</w:t>
      </w:r>
      <w:r>
        <w:rPr>
          <w:szCs w:val="24"/>
        </w:rPr>
        <w:t>ld</w:t>
      </w:r>
      <w:r w:rsidR="00D81D53">
        <w:rPr>
          <w:szCs w:val="24"/>
        </w:rPr>
        <w:t>t</w:t>
      </w:r>
      <w:r>
        <w:rPr>
          <w:szCs w:val="24"/>
        </w:rPr>
        <w:t xml:space="preserve"> ook voor de recreatievaart. In 2009 werden enige bestaande wetten voor de binnenvaart vervangen door de Binnenschepenwet. Deze wet bood de overheid een raamwerk om eisen te stellen aan de kwaliteit en uitrusting van binnenschepen; de omvang, vakbekwaamheid en vaartijden van de bemanning; de toegang tot de vervoersmarkt en de inzameling en verwijdering van afvalstoffen.</w:t>
      </w:r>
      <w:r w:rsidR="00EB6011">
        <w:rPr>
          <w:rStyle w:val="EndnoteReference"/>
          <w:szCs w:val="24"/>
        </w:rPr>
        <w:endnoteReference w:id="142"/>
      </w:r>
      <w:r>
        <w:rPr>
          <w:szCs w:val="24"/>
        </w:rPr>
        <w:t xml:space="preserve">    </w:t>
      </w:r>
    </w:p>
    <w:p w14:paraId="31EC8698" w14:textId="77777777" w:rsidR="00D23386" w:rsidRDefault="00D23386" w:rsidP="00C50A16">
      <w:pPr>
        <w:ind w:firstLine="708"/>
        <w:jc w:val="left"/>
        <w:rPr>
          <w:rFonts w:eastAsia="Calibri" w:cs="Times New Roman"/>
          <w:color w:val="auto"/>
          <w:szCs w:val="24"/>
        </w:rPr>
      </w:pPr>
      <w:r>
        <w:rPr>
          <w:szCs w:val="24"/>
        </w:rPr>
        <w:t xml:space="preserve">De Nederlandse vaarwegen </w:t>
      </w:r>
      <w:r w:rsidRPr="004A58A9">
        <w:rPr>
          <w:rFonts w:eastAsia="Calibri" w:cs="Times New Roman"/>
          <w:color w:val="auto"/>
          <w:szCs w:val="24"/>
        </w:rPr>
        <w:t>kennen een aantal drukke, onoverzichtelijke knooppunten.</w:t>
      </w:r>
      <w:r>
        <w:rPr>
          <w:rFonts w:eastAsia="Calibri" w:cs="Times New Roman"/>
          <w:color w:val="auto"/>
          <w:szCs w:val="24"/>
        </w:rPr>
        <w:t xml:space="preserve"> </w:t>
      </w:r>
      <w:r w:rsidRPr="004A58A9">
        <w:rPr>
          <w:rFonts w:eastAsia="Calibri" w:cs="Times New Roman"/>
          <w:color w:val="auto"/>
          <w:szCs w:val="24"/>
        </w:rPr>
        <w:t>Voor de schipper</w:t>
      </w:r>
      <w:r>
        <w:rPr>
          <w:rFonts w:eastAsia="Calibri" w:cs="Times New Roman"/>
          <w:color w:val="auto"/>
          <w:szCs w:val="24"/>
        </w:rPr>
        <w:t>s</w:t>
      </w:r>
      <w:r w:rsidRPr="004A58A9">
        <w:rPr>
          <w:rFonts w:eastAsia="Calibri" w:cs="Times New Roman"/>
          <w:color w:val="auto"/>
          <w:szCs w:val="24"/>
        </w:rPr>
        <w:t xml:space="preserve"> is het vaak moeilijk om op dergelijk plaatsen een goed overzicht over de verkeerssituatie te krijgen en met </w:t>
      </w:r>
      <w:r>
        <w:rPr>
          <w:rFonts w:eastAsia="Calibri" w:cs="Times New Roman"/>
          <w:color w:val="auto"/>
          <w:szCs w:val="24"/>
        </w:rPr>
        <w:t xml:space="preserve">hun </w:t>
      </w:r>
      <w:r w:rsidRPr="004A58A9">
        <w:rPr>
          <w:rFonts w:eastAsia="Calibri" w:cs="Times New Roman"/>
          <w:color w:val="auto"/>
          <w:szCs w:val="24"/>
        </w:rPr>
        <w:t>medeschippers waterdichte afspraken over de verkeersafwikkeling te maken. Vandaar dat op een aantal plaatsen langs de vaarwegen verkeersposten zijn ingericht, die de scheepvaart assisteren, van informatie voorzien en zo nodig instrueren. Deze posten zijn uitgerust met moderne communicatie- en informatiemiddelen, zoals televisiecamera’s, radar, marifoon en het automatisch identificatiesysteem AIS voor het identifi</w:t>
      </w:r>
      <w:r>
        <w:rPr>
          <w:rFonts w:eastAsia="Calibri" w:cs="Times New Roman"/>
          <w:color w:val="auto"/>
          <w:szCs w:val="24"/>
        </w:rPr>
        <w:softHyphen/>
      </w:r>
      <w:r w:rsidRPr="004A58A9">
        <w:rPr>
          <w:rFonts w:eastAsia="Calibri" w:cs="Times New Roman"/>
          <w:color w:val="auto"/>
          <w:szCs w:val="24"/>
        </w:rPr>
        <w:t>ceren van vaartuigen. Het contact met de schippers wordt per marifoon en via internet onderhouden. Deze posten leveren een belangrijke bijdrage aan de verkeersveiligheid. Aanvankelijk werden ze gebruikt voor de zeevaart. De eerste post voor de binnenvaart kwam in 1982 in Dordrecht in bedrijf.</w:t>
      </w:r>
      <w:r>
        <w:rPr>
          <w:rFonts w:eastAsia="Calibri" w:cs="Times New Roman"/>
          <w:color w:val="auto"/>
          <w:szCs w:val="24"/>
        </w:rPr>
        <w:t xml:space="preserve"> Later vormde de invoering van </w:t>
      </w:r>
      <w:proofErr w:type="spellStart"/>
      <w:r>
        <w:rPr>
          <w:rFonts w:eastAsia="Calibri" w:cs="Times New Roman"/>
          <w:color w:val="auto"/>
          <w:szCs w:val="24"/>
        </w:rPr>
        <w:t>zesbaksduwvaart</w:t>
      </w:r>
      <w:proofErr w:type="spellEnd"/>
      <w:r>
        <w:rPr>
          <w:rFonts w:eastAsia="Calibri" w:cs="Times New Roman"/>
          <w:color w:val="auto"/>
          <w:szCs w:val="24"/>
        </w:rPr>
        <w:t xml:space="preserve"> aanleiding om het aantal posten uit te breiden. In 2021 waren er in </w:t>
      </w:r>
      <w:r w:rsidRPr="004A58A9">
        <w:rPr>
          <w:rFonts w:eastAsia="Calibri" w:cs="Times New Roman"/>
          <w:color w:val="auto"/>
          <w:szCs w:val="24"/>
        </w:rPr>
        <w:t>ons land zestien van dergelijke posten, waarvan vier vooral voor de zeevaart</w:t>
      </w:r>
      <w:r>
        <w:rPr>
          <w:rFonts w:eastAsia="Calibri" w:cs="Times New Roman"/>
          <w:color w:val="auto"/>
          <w:szCs w:val="24"/>
        </w:rPr>
        <w:t xml:space="preserve">. </w:t>
      </w:r>
      <w:r w:rsidRPr="004A58A9">
        <w:rPr>
          <w:rFonts w:eastAsia="Calibri" w:cs="Times New Roman"/>
          <w:color w:val="auto"/>
          <w:szCs w:val="24"/>
        </w:rPr>
        <w:t>Deze posten beschikken onder meer over een overzicht van alle gevaarlijke stoffen die in hun vaargebied worden vervoerd en het schip en de plaats waar deze stoffen zich bevinden.</w:t>
      </w:r>
      <w:r>
        <w:rPr>
          <w:rStyle w:val="EndnoteReference"/>
          <w:rFonts w:eastAsia="Calibri" w:cs="Times New Roman"/>
          <w:color w:val="auto"/>
          <w:szCs w:val="24"/>
        </w:rPr>
        <w:endnoteReference w:id="143"/>
      </w:r>
      <w:r>
        <w:rPr>
          <w:rFonts w:eastAsia="Calibri" w:cs="Times New Roman"/>
          <w:color w:val="auto"/>
          <w:szCs w:val="24"/>
        </w:rPr>
        <w:t xml:space="preserve"> </w:t>
      </w:r>
    </w:p>
    <w:p w14:paraId="4363B746" w14:textId="77777777" w:rsidR="00540F30" w:rsidRDefault="00540F30" w:rsidP="00DE08B1">
      <w:pPr>
        <w:jc w:val="left"/>
        <w:rPr>
          <w:rFonts w:eastAsia="Calibri" w:cs="Times New Roman"/>
          <w:color w:val="auto"/>
          <w:szCs w:val="24"/>
        </w:rPr>
      </w:pPr>
    </w:p>
    <w:p w14:paraId="23767A4B" w14:textId="77777777" w:rsidR="00480C70" w:rsidRDefault="00480C70" w:rsidP="00DE08B1">
      <w:pPr>
        <w:jc w:val="left"/>
        <w:rPr>
          <w:rFonts w:eastAsia="Calibri" w:cs="Times New Roman"/>
          <w:color w:val="auto"/>
          <w:szCs w:val="24"/>
        </w:rPr>
      </w:pPr>
    </w:p>
    <w:p w14:paraId="0B2DF3C6" w14:textId="03AB20D1" w:rsidR="00D23386" w:rsidRDefault="00D23386" w:rsidP="00540F30">
      <w:pPr>
        <w:pStyle w:val="Heading2"/>
        <w:rPr>
          <w:rFonts w:eastAsia="Calibri"/>
        </w:rPr>
      </w:pPr>
      <w:bookmarkStart w:id="81" w:name="_Hlk85614367"/>
      <w:r>
        <w:rPr>
          <w:rFonts w:eastAsia="Calibri"/>
        </w:rPr>
        <w:t xml:space="preserve">Scheepsongevallen </w:t>
      </w:r>
      <w:bookmarkEnd w:id="81"/>
      <w:r w:rsidR="009A4D7E">
        <w:rPr>
          <w:rFonts w:eastAsia="Calibri"/>
        </w:rPr>
        <w:t>1978-1980</w:t>
      </w:r>
    </w:p>
    <w:p w14:paraId="47991921" w14:textId="77777777" w:rsidR="00540F30" w:rsidRPr="00540F30" w:rsidRDefault="00540F30" w:rsidP="00540F30"/>
    <w:p w14:paraId="04CC077A" w14:textId="38A84A4E" w:rsidR="00C50A16" w:rsidRDefault="00D23386" w:rsidP="00C50A16">
      <w:pPr>
        <w:jc w:val="left"/>
        <w:rPr>
          <w:rFonts w:eastAsia="Calibri" w:cs="Times New Roman"/>
          <w:color w:val="auto"/>
          <w:szCs w:val="24"/>
        </w:rPr>
      </w:pPr>
      <w:r w:rsidRPr="006645DE">
        <w:rPr>
          <w:rFonts w:eastAsia="Calibri" w:cs="Times New Roman"/>
          <w:color w:val="auto"/>
          <w:szCs w:val="24"/>
        </w:rPr>
        <w:t xml:space="preserve">In 1977 startte Rijkswaterstaat met de registratie van alle </w:t>
      </w:r>
      <w:r>
        <w:rPr>
          <w:rFonts w:eastAsia="Calibri" w:cs="Times New Roman"/>
          <w:color w:val="auto"/>
          <w:szCs w:val="24"/>
        </w:rPr>
        <w:t xml:space="preserve">scheepsongevallen </w:t>
      </w:r>
      <w:r w:rsidRPr="006645DE">
        <w:rPr>
          <w:rFonts w:eastAsia="Calibri" w:cs="Times New Roman"/>
          <w:color w:val="auto"/>
          <w:szCs w:val="24"/>
        </w:rPr>
        <w:t>op de Nederlandse vaarwegen. Deze registratie bood voor het eerst de mogelijkheid om de veiligheidstoestand objectief te analyseren.</w:t>
      </w:r>
      <w:r>
        <w:rPr>
          <w:rFonts w:eastAsia="Calibri" w:cs="Times New Roman"/>
          <w:color w:val="auto"/>
          <w:szCs w:val="24"/>
        </w:rPr>
        <w:t xml:space="preserve"> Het eerste landelijke overzicht omvatte de periode 1978</w:t>
      </w:r>
      <w:r w:rsidR="00154855">
        <w:rPr>
          <w:rFonts w:eastAsia="Calibri" w:cs="Times New Roman"/>
          <w:color w:val="auto"/>
          <w:szCs w:val="24"/>
        </w:rPr>
        <w:t>-</w:t>
      </w:r>
      <w:r>
        <w:rPr>
          <w:rFonts w:eastAsia="Calibri" w:cs="Times New Roman"/>
          <w:color w:val="auto"/>
          <w:szCs w:val="24"/>
        </w:rPr>
        <w:t>1980. In dit overzicht werd een onderscheid gemaakt tussen scheepsongevallen, verkeersongevallen en zware ongevallen. Onder scheepsongevallen werd verstaan: ieder geregistreerd ongeval met een vaartuig. Onder verkeersongeval werd verstaan: ieder geregistreerd ongeval waarbij een schip was betrokken dat aan het verkeer deelnam. Onder zwaar ongeval werd verstaan: ieder ongeval waarbij slachtoffers vielen, of waarbij tenminste zware schade aan schip of lading ontstond.</w:t>
      </w:r>
    </w:p>
    <w:p w14:paraId="79B7935B" w14:textId="77777777" w:rsidR="00987E0C" w:rsidRDefault="00987E0C" w:rsidP="00DE08B1">
      <w:pPr>
        <w:jc w:val="left"/>
        <w:rPr>
          <w:rFonts w:eastAsia="Calibri" w:cs="Times New Roman"/>
          <w:color w:val="auto"/>
          <w:szCs w:val="24"/>
        </w:rPr>
      </w:pPr>
    </w:p>
    <w:p w14:paraId="4401965C" w14:textId="077B4D2D" w:rsidR="00D23386" w:rsidRDefault="00D23386" w:rsidP="00DE08B1">
      <w:pPr>
        <w:spacing w:line="240" w:lineRule="auto"/>
        <w:jc w:val="left"/>
        <w:rPr>
          <w:rFonts w:eastAsia="Times New Roman" w:cs="Times New Roman"/>
          <w:color w:val="auto"/>
          <w:szCs w:val="24"/>
          <w:lang w:eastAsia="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4"/>
        <w:gridCol w:w="1946"/>
        <w:gridCol w:w="1917"/>
        <w:gridCol w:w="1905"/>
      </w:tblGrid>
      <w:tr w:rsidR="00D23386" w:rsidRPr="006645DE" w14:paraId="73545EB0" w14:textId="77777777" w:rsidTr="00076601">
        <w:trPr>
          <w:trHeight w:val="567"/>
        </w:trPr>
        <w:tc>
          <w:tcPr>
            <w:tcW w:w="3307" w:type="dxa"/>
            <w:tcBorders>
              <w:bottom w:val="single" w:sz="4" w:space="0" w:color="auto"/>
            </w:tcBorders>
          </w:tcPr>
          <w:p w14:paraId="0BF21760"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bottom w:val="single" w:sz="4" w:space="0" w:color="auto"/>
            </w:tcBorders>
          </w:tcPr>
          <w:p w14:paraId="61776A15"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18" w:type="dxa"/>
            <w:tcBorders>
              <w:bottom w:val="single" w:sz="4" w:space="0" w:color="auto"/>
            </w:tcBorders>
          </w:tcPr>
          <w:p w14:paraId="3D2D87EA" w14:textId="5113A77C" w:rsidR="00D23386" w:rsidRPr="00F91829" w:rsidRDefault="00D23386" w:rsidP="00DE08B1">
            <w:pPr>
              <w:spacing w:line="240" w:lineRule="auto"/>
              <w:jc w:val="left"/>
              <w:rPr>
                <w:rFonts w:eastAsia="Times New Roman" w:cs="Times New Roman"/>
                <w:b/>
                <w:color w:val="auto"/>
                <w:sz w:val="20"/>
                <w:szCs w:val="20"/>
                <w:lang w:eastAsia="nl-NL"/>
              </w:rPr>
            </w:pPr>
            <w:r w:rsidRPr="00F91829">
              <w:rPr>
                <w:rFonts w:eastAsia="Times New Roman" w:cs="Times New Roman"/>
                <w:b/>
                <w:color w:val="auto"/>
                <w:sz w:val="20"/>
                <w:szCs w:val="20"/>
                <w:lang w:eastAsia="nl-NL"/>
              </w:rPr>
              <w:t>Scheepsongevallen</w:t>
            </w:r>
          </w:p>
        </w:tc>
        <w:tc>
          <w:tcPr>
            <w:tcW w:w="1886" w:type="dxa"/>
            <w:tcBorders>
              <w:bottom w:val="single" w:sz="4" w:space="0" w:color="auto"/>
            </w:tcBorders>
          </w:tcPr>
          <w:p w14:paraId="16C3DF25" w14:textId="77777777" w:rsidR="00D23386" w:rsidRPr="00F91829" w:rsidRDefault="00D23386" w:rsidP="00DE08B1">
            <w:pPr>
              <w:spacing w:line="240" w:lineRule="auto"/>
              <w:jc w:val="left"/>
              <w:rPr>
                <w:rFonts w:eastAsia="Times New Roman" w:cs="Times New Roman"/>
                <w:b/>
                <w:color w:val="auto"/>
                <w:sz w:val="20"/>
                <w:szCs w:val="20"/>
                <w:lang w:eastAsia="nl-NL"/>
              </w:rPr>
            </w:pPr>
            <w:r w:rsidRPr="00F91829">
              <w:rPr>
                <w:rFonts w:eastAsia="Times New Roman" w:cs="Times New Roman"/>
                <w:b/>
                <w:color w:val="auto"/>
                <w:sz w:val="20"/>
                <w:szCs w:val="20"/>
                <w:lang w:eastAsia="nl-NL"/>
              </w:rPr>
              <w:t>Verkeersongevallen</w:t>
            </w:r>
          </w:p>
        </w:tc>
      </w:tr>
      <w:tr w:rsidR="00D23386" w:rsidRPr="006645DE" w14:paraId="1B7C8C0B" w14:textId="77777777" w:rsidTr="00076601">
        <w:tc>
          <w:tcPr>
            <w:tcW w:w="3307" w:type="dxa"/>
            <w:tcBorders>
              <w:bottom w:val="nil"/>
            </w:tcBorders>
          </w:tcPr>
          <w:p w14:paraId="06C17463" w14:textId="11423E75" w:rsidR="00D23386" w:rsidRPr="006645DE" w:rsidRDefault="00567A53" w:rsidP="00DE08B1">
            <w:pPr>
              <w:spacing w:line="240" w:lineRule="auto"/>
              <w:jc w:val="left"/>
              <w:rPr>
                <w:rFonts w:eastAsia="Times New Roman" w:cs="Times New Roman"/>
                <w:color w:val="auto"/>
                <w:sz w:val="20"/>
                <w:szCs w:val="20"/>
                <w:lang w:eastAsia="nl-NL"/>
              </w:rPr>
            </w:pPr>
            <w:r>
              <w:rPr>
                <w:rFonts w:eastAsia="Times New Roman" w:cs="Times New Roman"/>
                <w:color w:val="auto"/>
                <w:sz w:val="20"/>
                <w:szCs w:val="20"/>
                <w:lang w:eastAsia="nl-NL"/>
              </w:rPr>
              <w:t>Aantal z</w:t>
            </w:r>
            <w:r w:rsidR="00D23386" w:rsidRPr="006645DE">
              <w:rPr>
                <w:rFonts w:eastAsia="Times New Roman" w:cs="Times New Roman"/>
                <w:color w:val="auto"/>
                <w:sz w:val="20"/>
                <w:szCs w:val="20"/>
                <w:lang w:eastAsia="nl-NL"/>
              </w:rPr>
              <w:t>ware ongevallen</w:t>
            </w:r>
          </w:p>
        </w:tc>
        <w:tc>
          <w:tcPr>
            <w:tcW w:w="1951" w:type="dxa"/>
            <w:tcBorders>
              <w:bottom w:val="nil"/>
            </w:tcBorders>
          </w:tcPr>
          <w:p w14:paraId="469AA38D"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18" w:type="dxa"/>
            <w:tcBorders>
              <w:bottom w:val="nil"/>
            </w:tcBorders>
          </w:tcPr>
          <w:p w14:paraId="35812ACB"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970</w:t>
            </w:r>
          </w:p>
        </w:tc>
        <w:tc>
          <w:tcPr>
            <w:tcW w:w="1886" w:type="dxa"/>
            <w:tcBorders>
              <w:bottom w:val="nil"/>
            </w:tcBorders>
          </w:tcPr>
          <w:p w14:paraId="37538E08"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804</w:t>
            </w:r>
          </w:p>
        </w:tc>
      </w:tr>
      <w:tr w:rsidR="00D23386" w:rsidRPr="006645DE" w14:paraId="430BB32D" w14:textId="77777777" w:rsidTr="00076601">
        <w:tc>
          <w:tcPr>
            <w:tcW w:w="3307" w:type="dxa"/>
            <w:tcBorders>
              <w:top w:val="nil"/>
              <w:bottom w:val="single" w:sz="4" w:space="0" w:color="auto"/>
            </w:tcBorders>
          </w:tcPr>
          <w:p w14:paraId="1415523F"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single" w:sz="4" w:space="0" w:color="auto"/>
            </w:tcBorders>
          </w:tcPr>
          <w:p w14:paraId="110102F9"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18" w:type="dxa"/>
            <w:tcBorders>
              <w:top w:val="nil"/>
              <w:bottom w:val="single" w:sz="4" w:space="0" w:color="auto"/>
            </w:tcBorders>
          </w:tcPr>
          <w:p w14:paraId="6EDBB3E4" w14:textId="77777777" w:rsidR="00D23386" w:rsidRPr="006645DE" w:rsidRDefault="00D23386" w:rsidP="00F91829">
            <w:pPr>
              <w:spacing w:line="240" w:lineRule="auto"/>
              <w:jc w:val="right"/>
              <w:rPr>
                <w:rFonts w:eastAsia="Times New Roman" w:cs="Times New Roman"/>
                <w:color w:val="auto"/>
                <w:sz w:val="20"/>
                <w:szCs w:val="20"/>
                <w:lang w:eastAsia="nl-NL"/>
              </w:rPr>
            </w:pPr>
          </w:p>
        </w:tc>
        <w:tc>
          <w:tcPr>
            <w:tcW w:w="1886" w:type="dxa"/>
            <w:tcBorders>
              <w:top w:val="nil"/>
              <w:bottom w:val="single" w:sz="4" w:space="0" w:color="auto"/>
            </w:tcBorders>
          </w:tcPr>
          <w:p w14:paraId="7D911CD3" w14:textId="77777777" w:rsidR="00D23386" w:rsidRPr="006645DE" w:rsidRDefault="00D23386" w:rsidP="00F91829">
            <w:pPr>
              <w:spacing w:line="240" w:lineRule="auto"/>
              <w:jc w:val="right"/>
              <w:rPr>
                <w:rFonts w:eastAsia="Times New Roman" w:cs="Times New Roman"/>
                <w:color w:val="auto"/>
                <w:sz w:val="20"/>
                <w:szCs w:val="20"/>
                <w:lang w:eastAsia="nl-NL"/>
              </w:rPr>
            </w:pPr>
          </w:p>
        </w:tc>
      </w:tr>
      <w:tr w:rsidR="00D23386" w:rsidRPr="006645DE" w14:paraId="3C7FD6AF" w14:textId="77777777" w:rsidTr="00076601">
        <w:tc>
          <w:tcPr>
            <w:tcW w:w="3307" w:type="dxa"/>
            <w:vMerge w:val="restart"/>
            <w:tcBorders>
              <w:top w:val="single" w:sz="4" w:space="0" w:color="auto"/>
            </w:tcBorders>
          </w:tcPr>
          <w:p w14:paraId="32E5AE2C"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 xml:space="preserve">Aantal schepen betrokken bij zware verkeersongevallen </w:t>
            </w:r>
          </w:p>
        </w:tc>
        <w:tc>
          <w:tcPr>
            <w:tcW w:w="1951" w:type="dxa"/>
            <w:tcBorders>
              <w:top w:val="single" w:sz="4" w:space="0" w:color="auto"/>
              <w:bottom w:val="nil"/>
            </w:tcBorders>
          </w:tcPr>
          <w:p w14:paraId="3057AC3F"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Binnenvaart</w:t>
            </w:r>
          </w:p>
        </w:tc>
        <w:tc>
          <w:tcPr>
            <w:tcW w:w="1918" w:type="dxa"/>
            <w:tcBorders>
              <w:top w:val="single" w:sz="4" w:space="0" w:color="auto"/>
              <w:bottom w:val="nil"/>
            </w:tcBorders>
          </w:tcPr>
          <w:p w14:paraId="2E77B3B2" w14:textId="77777777" w:rsidR="00D23386" w:rsidRPr="006645DE" w:rsidRDefault="00D23386" w:rsidP="00F91829">
            <w:pPr>
              <w:spacing w:line="240" w:lineRule="auto"/>
              <w:jc w:val="right"/>
              <w:rPr>
                <w:rFonts w:eastAsia="Times New Roman" w:cs="Times New Roman"/>
                <w:color w:val="auto"/>
                <w:sz w:val="20"/>
                <w:szCs w:val="20"/>
                <w:lang w:eastAsia="nl-NL"/>
              </w:rPr>
            </w:pPr>
          </w:p>
        </w:tc>
        <w:tc>
          <w:tcPr>
            <w:tcW w:w="1886" w:type="dxa"/>
            <w:tcBorders>
              <w:top w:val="single" w:sz="4" w:space="0" w:color="auto"/>
              <w:bottom w:val="nil"/>
            </w:tcBorders>
          </w:tcPr>
          <w:p w14:paraId="41358017"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954</w:t>
            </w:r>
          </w:p>
        </w:tc>
      </w:tr>
      <w:tr w:rsidR="00D23386" w:rsidRPr="006645DE" w14:paraId="4D894E32" w14:textId="77777777" w:rsidTr="00076601">
        <w:tc>
          <w:tcPr>
            <w:tcW w:w="3307" w:type="dxa"/>
            <w:vMerge/>
          </w:tcPr>
          <w:p w14:paraId="0F5BD9BC"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nil"/>
            </w:tcBorders>
          </w:tcPr>
          <w:p w14:paraId="51BCB2D3"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Zeevaart</w:t>
            </w:r>
          </w:p>
        </w:tc>
        <w:tc>
          <w:tcPr>
            <w:tcW w:w="1918" w:type="dxa"/>
            <w:tcBorders>
              <w:top w:val="nil"/>
              <w:bottom w:val="nil"/>
            </w:tcBorders>
          </w:tcPr>
          <w:p w14:paraId="4F2524F7" w14:textId="77777777" w:rsidR="00D23386" w:rsidRPr="006645DE" w:rsidRDefault="00D23386" w:rsidP="00F91829">
            <w:pPr>
              <w:spacing w:line="240" w:lineRule="auto"/>
              <w:jc w:val="right"/>
              <w:rPr>
                <w:rFonts w:eastAsia="Times New Roman" w:cs="Times New Roman"/>
                <w:color w:val="auto"/>
                <w:sz w:val="20"/>
                <w:szCs w:val="20"/>
                <w:lang w:eastAsia="nl-NL"/>
              </w:rPr>
            </w:pPr>
          </w:p>
        </w:tc>
        <w:tc>
          <w:tcPr>
            <w:tcW w:w="1886" w:type="dxa"/>
            <w:tcBorders>
              <w:top w:val="nil"/>
              <w:bottom w:val="nil"/>
            </w:tcBorders>
          </w:tcPr>
          <w:p w14:paraId="5F07E92D"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140</w:t>
            </w:r>
          </w:p>
        </w:tc>
      </w:tr>
      <w:tr w:rsidR="00D23386" w:rsidRPr="006645DE" w14:paraId="67A62E34" w14:textId="77777777" w:rsidTr="00076601">
        <w:tc>
          <w:tcPr>
            <w:tcW w:w="3307" w:type="dxa"/>
            <w:vMerge/>
          </w:tcPr>
          <w:p w14:paraId="2789AEC1"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nil"/>
            </w:tcBorders>
          </w:tcPr>
          <w:p w14:paraId="6801ECBD"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Recreatievaart</w:t>
            </w:r>
          </w:p>
        </w:tc>
        <w:tc>
          <w:tcPr>
            <w:tcW w:w="1918" w:type="dxa"/>
            <w:tcBorders>
              <w:top w:val="nil"/>
              <w:bottom w:val="nil"/>
            </w:tcBorders>
          </w:tcPr>
          <w:p w14:paraId="2CE40B91" w14:textId="77777777" w:rsidR="00D23386" w:rsidRPr="006645DE" w:rsidRDefault="00D23386" w:rsidP="00F91829">
            <w:pPr>
              <w:spacing w:line="240" w:lineRule="auto"/>
              <w:jc w:val="right"/>
              <w:rPr>
                <w:rFonts w:eastAsia="Times New Roman" w:cs="Times New Roman"/>
                <w:color w:val="auto"/>
                <w:sz w:val="20"/>
                <w:szCs w:val="20"/>
                <w:lang w:eastAsia="nl-NL"/>
              </w:rPr>
            </w:pPr>
          </w:p>
        </w:tc>
        <w:tc>
          <w:tcPr>
            <w:tcW w:w="1886" w:type="dxa"/>
            <w:tcBorders>
              <w:top w:val="nil"/>
              <w:bottom w:val="nil"/>
            </w:tcBorders>
          </w:tcPr>
          <w:p w14:paraId="439C8BA6"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322</w:t>
            </w:r>
          </w:p>
        </w:tc>
      </w:tr>
      <w:tr w:rsidR="00D23386" w:rsidRPr="006645DE" w14:paraId="445049CF" w14:textId="77777777" w:rsidTr="00076601">
        <w:tc>
          <w:tcPr>
            <w:tcW w:w="3307" w:type="dxa"/>
            <w:vMerge/>
            <w:tcBorders>
              <w:bottom w:val="nil"/>
            </w:tcBorders>
          </w:tcPr>
          <w:p w14:paraId="6D4764FE"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nil"/>
            </w:tcBorders>
          </w:tcPr>
          <w:p w14:paraId="66FA57E3"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Totaal</w:t>
            </w:r>
          </w:p>
        </w:tc>
        <w:tc>
          <w:tcPr>
            <w:tcW w:w="1918" w:type="dxa"/>
            <w:tcBorders>
              <w:top w:val="nil"/>
              <w:bottom w:val="nil"/>
            </w:tcBorders>
          </w:tcPr>
          <w:p w14:paraId="2D0A83CC" w14:textId="77777777" w:rsidR="00D23386" w:rsidRPr="006645DE" w:rsidRDefault="00D23386" w:rsidP="00F91829">
            <w:pPr>
              <w:spacing w:line="240" w:lineRule="auto"/>
              <w:jc w:val="right"/>
              <w:rPr>
                <w:rFonts w:eastAsia="Times New Roman" w:cs="Times New Roman"/>
                <w:color w:val="auto"/>
                <w:sz w:val="20"/>
                <w:szCs w:val="20"/>
                <w:lang w:eastAsia="nl-NL"/>
              </w:rPr>
            </w:pPr>
          </w:p>
        </w:tc>
        <w:tc>
          <w:tcPr>
            <w:tcW w:w="1886" w:type="dxa"/>
            <w:tcBorders>
              <w:top w:val="nil"/>
              <w:bottom w:val="nil"/>
            </w:tcBorders>
          </w:tcPr>
          <w:p w14:paraId="076EE4E8"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1416</w:t>
            </w:r>
          </w:p>
        </w:tc>
      </w:tr>
      <w:tr w:rsidR="00D23386" w:rsidRPr="006645DE" w14:paraId="78CDC409" w14:textId="77777777" w:rsidTr="00076601">
        <w:tc>
          <w:tcPr>
            <w:tcW w:w="3307" w:type="dxa"/>
            <w:tcBorders>
              <w:top w:val="nil"/>
              <w:bottom w:val="single" w:sz="4" w:space="0" w:color="auto"/>
            </w:tcBorders>
          </w:tcPr>
          <w:p w14:paraId="572C6683"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single" w:sz="4" w:space="0" w:color="auto"/>
            </w:tcBorders>
          </w:tcPr>
          <w:p w14:paraId="5D658109"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18" w:type="dxa"/>
            <w:tcBorders>
              <w:top w:val="nil"/>
              <w:bottom w:val="single" w:sz="4" w:space="0" w:color="auto"/>
            </w:tcBorders>
          </w:tcPr>
          <w:p w14:paraId="1A14211F" w14:textId="77777777" w:rsidR="00D23386" w:rsidRPr="006645DE" w:rsidRDefault="00D23386" w:rsidP="00F91829">
            <w:pPr>
              <w:spacing w:line="240" w:lineRule="auto"/>
              <w:jc w:val="right"/>
              <w:rPr>
                <w:rFonts w:eastAsia="Times New Roman" w:cs="Times New Roman"/>
                <w:color w:val="auto"/>
                <w:sz w:val="20"/>
                <w:szCs w:val="20"/>
                <w:lang w:eastAsia="nl-NL"/>
              </w:rPr>
            </w:pPr>
          </w:p>
        </w:tc>
        <w:tc>
          <w:tcPr>
            <w:tcW w:w="1886" w:type="dxa"/>
            <w:tcBorders>
              <w:top w:val="nil"/>
              <w:bottom w:val="single" w:sz="4" w:space="0" w:color="auto"/>
            </w:tcBorders>
          </w:tcPr>
          <w:p w14:paraId="1147567D" w14:textId="77777777" w:rsidR="00D23386" w:rsidRPr="006645DE" w:rsidRDefault="00D23386" w:rsidP="00F91829">
            <w:pPr>
              <w:spacing w:line="240" w:lineRule="auto"/>
              <w:jc w:val="right"/>
              <w:rPr>
                <w:rFonts w:eastAsia="Times New Roman" w:cs="Times New Roman"/>
                <w:color w:val="auto"/>
                <w:sz w:val="20"/>
                <w:szCs w:val="20"/>
                <w:lang w:eastAsia="nl-NL"/>
              </w:rPr>
            </w:pPr>
          </w:p>
        </w:tc>
      </w:tr>
      <w:tr w:rsidR="00D23386" w:rsidRPr="006645DE" w14:paraId="4AC0C986" w14:textId="77777777" w:rsidTr="00076601">
        <w:tc>
          <w:tcPr>
            <w:tcW w:w="3307" w:type="dxa"/>
            <w:tcBorders>
              <w:top w:val="single" w:sz="4" w:space="0" w:color="auto"/>
              <w:bottom w:val="nil"/>
            </w:tcBorders>
          </w:tcPr>
          <w:p w14:paraId="08E68A2E"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Aantal slachtoffers</w:t>
            </w:r>
          </w:p>
        </w:tc>
        <w:tc>
          <w:tcPr>
            <w:tcW w:w="1951" w:type="dxa"/>
            <w:tcBorders>
              <w:top w:val="single" w:sz="4" w:space="0" w:color="auto"/>
              <w:bottom w:val="nil"/>
            </w:tcBorders>
          </w:tcPr>
          <w:p w14:paraId="0F4FB266"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 xml:space="preserve">Doden </w:t>
            </w:r>
          </w:p>
        </w:tc>
        <w:tc>
          <w:tcPr>
            <w:tcW w:w="1918" w:type="dxa"/>
            <w:tcBorders>
              <w:top w:val="single" w:sz="4" w:space="0" w:color="auto"/>
              <w:bottom w:val="nil"/>
            </w:tcBorders>
          </w:tcPr>
          <w:p w14:paraId="7F7BA28E"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60</w:t>
            </w:r>
          </w:p>
        </w:tc>
        <w:tc>
          <w:tcPr>
            <w:tcW w:w="1886" w:type="dxa"/>
            <w:tcBorders>
              <w:top w:val="single" w:sz="4" w:space="0" w:color="auto"/>
              <w:bottom w:val="nil"/>
            </w:tcBorders>
          </w:tcPr>
          <w:p w14:paraId="451827EF"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55</w:t>
            </w:r>
          </w:p>
        </w:tc>
      </w:tr>
      <w:tr w:rsidR="00D23386" w:rsidRPr="006645DE" w14:paraId="41A0449F" w14:textId="77777777" w:rsidTr="00076601">
        <w:tc>
          <w:tcPr>
            <w:tcW w:w="3307" w:type="dxa"/>
            <w:tcBorders>
              <w:top w:val="nil"/>
              <w:bottom w:val="nil"/>
            </w:tcBorders>
          </w:tcPr>
          <w:p w14:paraId="61000161"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nil"/>
            </w:tcBorders>
          </w:tcPr>
          <w:p w14:paraId="5841CF10"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Vermisten</w:t>
            </w:r>
          </w:p>
        </w:tc>
        <w:tc>
          <w:tcPr>
            <w:tcW w:w="1918" w:type="dxa"/>
            <w:tcBorders>
              <w:top w:val="nil"/>
              <w:bottom w:val="nil"/>
            </w:tcBorders>
          </w:tcPr>
          <w:p w14:paraId="6FB17712"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19</w:t>
            </w:r>
          </w:p>
        </w:tc>
        <w:tc>
          <w:tcPr>
            <w:tcW w:w="1886" w:type="dxa"/>
            <w:tcBorders>
              <w:top w:val="nil"/>
              <w:bottom w:val="nil"/>
            </w:tcBorders>
          </w:tcPr>
          <w:p w14:paraId="0631DAB7"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19</w:t>
            </w:r>
          </w:p>
        </w:tc>
      </w:tr>
      <w:tr w:rsidR="00D23386" w:rsidRPr="006645DE" w14:paraId="6D68FB37" w14:textId="77777777" w:rsidTr="00076601">
        <w:tc>
          <w:tcPr>
            <w:tcW w:w="3307" w:type="dxa"/>
            <w:tcBorders>
              <w:top w:val="nil"/>
              <w:bottom w:val="nil"/>
            </w:tcBorders>
          </w:tcPr>
          <w:p w14:paraId="3C754CB2"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nil"/>
            </w:tcBorders>
          </w:tcPr>
          <w:p w14:paraId="7B0C26B2"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Gewonden</w:t>
            </w:r>
          </w:p>
        </w:tc>
        <w:tc>
          <w:tcPr>
            <w:tcW w:w="1918" w:type="dxa"/>
            <w:tcBorders>
              <w:top w:val="nil"/>
              <w:bottom w:val="nil"/>
            </w:tcBorders>
          </w:tcPr>
          <w:p w14:paraId="1C35794C"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141</w:t>
            </w:r>
          </w:p>
        </w:tc>
        <w:tc>
          <w:tcPr>
            <w:tcW w:w="1886" w:type="dxa"/>
            <w:tcBorders>
              <w:top w:val="nil"/>
              <w:bottom w:val="nil"/>
            </w:tcBorders>
          </w:tcPr>
          <w:p w14:paraId="4A7B0B30"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116</w:t>
            </w:r>
          </w:p>
        </w:tc>
      </w:tr>
      <w:tr w:rsidR="00D23386" w:rsidRPr="006645DE" w14:paraId="67B0CEA2" w14:textId="77777777" w:rsidTr="00076601">
        <w:tc>
          <w:tcPr>
            <w:tcW w:w="3307" w:type="dxa"/>
            <w:tcBorders>
              <w:top w:val="nil"/>
              <w:bottom w:val="nil"/>
            </w:tcBorders>
          </w:tcPr>
          <w:p w14:paraId="6F7A5175"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nil"/>
            </w:tcBorders>
          </w:tcPr>
          <w:p w14:paraId="4293E5AC"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Totaal</w:t>
            </w:r>
          </w:p>
        </w:tc>
        <w:tc>
          <w:tcPr>
            <w:tcW w:w="1918" w:type="dxa"/>
            <w:tcBorders>
              <w:top w:val="nil"/>
              <w:bottom w:val="nil"/>
            </w:tcBorders>
          </w:tcPr>
          <w:p w14:paraId="3EDECE2D"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220</w:t>
            </w:r>
          </w:p>
        </w:tc>
        <w:tc>
          <w:tcPr>
            <w:tcW w:w="1886" w:type="dxa"/>
            <w:tcBorders>
              <w:top w:val="nil"/>
              <w:bottom w:val="nil"/>
            </w:tcBorders>
          </w:tcPr>
          <w:p w14:paraId="04987443"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190</w:t>
            </w:r>
          </w:p>
        </w:tc>
      </w:tr>
      <w:tr w:rsidR="00D23386" w:rsidRPr="006645DE" w14:paraId="68BD9771" w14:textId="77777777" w:rsidTr="00076601">
        <w:tc>
          <w:tcPr>
            <w:tcW w:w="3307" w:type="dxa"/>
            <w:tcBorders>
              <w:top w:val="nil"/>
              <w:bottom w:val="single" w:sz="4" w:space="0" w:color="auto"/>
            </w:tcBorders>
          </w:tcPr>
          <w:p w14:paraId="04F401B5"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single" w:sz="4" w:space="0" w:color="auto"/>
            </w:tcBorders>
          </w:tcPr>
          <w:p w14:paraId="1FF242F7"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18" w:type="dxa"/>
            <w:tcBorders>
              <w:top w:val="nil"/>
              <w:bottom w:val="single" w:sz="4" w:space="0" w:color="auto"/>
            </w:tcBorders>
          </w:tcPr>
          <w:p w14:paraId="2BFFB8C7" w14:textId="77777777" w:rsidR="00D23386" w:rsidRPr="006645DE" w:rsidRDefault="00D23386" w:rsidP="00F91829">
            <w:pPr>
              <w:spacing w:line="240" w:lineRule="auto"/>
              <w:jc w:val="right"/>
              <w:rPr>
                <w:rFonts w:eastAsia="Times New Roman" w:cs="Times New Roman"/>
                <w:color w:val="auto"/>
                <w:sz w:val="20"/>
                <w:szCs w:val="20"/>
                <w:lang w:eastAsia="nl-NL"/>
              </w:rPr>
            </w:pPr>
          </w:p>
        </w:tc>
        <w:tc>
          <w:tcPr>
            <w:tcW w:w="1886" w:type="dxa"/>
            <w:tcBorders>
              <w:top w:val="nil"/>
              <w:bottom w:val="single" w:sz="4" w:space="0" w:color="auto"/>
            </w:tcBorders>
          </w:tcPr>
          <w:p w14:paraId="0C6062DE" w14:textId="77777777" w:rsidR="00D23386" w:rsidRPr="006645DE" w:rsidRDefault="00D23386" w:rsidP="00F91829">
            <w:pPr>
              <w:spacing w:line="240" w:lineRule="auto"/>
              <w:jc w:val="right"/>
              <w:rPr>
                <w:rFonts w:eastAsia="Times New Roman" w:cs="Times New Roman"/>
                <w:color w:val="auto"/>
                <w:sz w:val="20"/>
                <w:szCs w:val="20"/>
                <w:lang w:eastAsia="nl-NL"/>
              </w:rPr>
            </w:pPr>
          </w:p>
        </w:tc>
      </w:tr>
      <w:tr w:rsidR="00D23386" w:rsidRPr="006645DE" w14:paraId="12484AFD" w14:textId="77777777" w:rsidTr="00076601">
        <w:tc>
          <w:tcPr>
            <w:tcW w:w="3307" w:type="dxa"/>
            <w:tcBorders>
              <w:top w:val="single" w:sz="4" w:space="0" w:color="auto"/>
              <w:bottom w:val="nil"/>
            </w:tcBorders>
          </w:tcPr>
          <w:p w14:paraId="4C67BE1D"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Aantal slachtoffers</w:t>
            </w:r>
          </w:p>
        </w:tc>
        <w:tc>
          <w:tcPr>
            <w:tcW w:w="1951" w:type="dxa"/>
            <w:tcBorders>
              <w:top w:val="single" w:sz="4" w:space="0" w:color="auto"/>
              <w:bottom w:val="nil"/>
            </w:tcBorders>
          </w:tcPr>
          <w:p w14:paraId="42F5463C"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Binnenvaart</w:t>
            </w:r>
          </w:p>
        </w:tc>
        <w:tc>
          <w:tcPr>
            <w:tcW w:w="1918" w:type="dxa"/>
            <w:tcBorders>
              <w:top w:val="single" w:sz="4" w:space="0" w:color="auto"/>
              <w:bottom w:val="nil"/>
            </w:tcBorders>
          </w:tcPr>
          <w:p w14:paraId="5694549F"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80</w:t>
            </w:r>
          </w:p>
        </w:tc>
        <w:tc>
          <w:tcPr>
            <w:tcW w:w="1886" w:type="dxa"/>
            <w:tcBorders>
              <w:top w:val="single" w:sz="4" w:space="0" w:color="auto"/>
              <w:bottom w:val="nil"/>
            </w:tcBorders>
          </w:tcPr>
          <w:p w14:paraId="137F3606"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76</w:t>
            </w:r>
          </w:p>
        </w:tc>
      </w:tr>
      <w:tr w:rsidR="00D23386" w:rsidRPr="006645DE" w14:paraId="349F9329" w14:textId="77777777" w:rsidTr="00076601">
        <w:tc>
          <w:tcPr>
            <w:tcW w:w="3307" w:type="dxa"/>
            <w:tcBorders>
              <w:top w:val="nil"/>
              <w:bottom w:val="nil"/>
            </w:tcBorders>
          </w:tcPr>
          <w:p w14:paraId="7A719855"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nil"/>
            </w:tcBorders>
          </w:tcPr>
          <w:p w14:paraId="72EDFF92"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Zeevaart</w:t>
            </w:r>
          </w:p>
        </w:tc>
        <w:tc>
          <w:tcPr>
            <w:tcW w:w="1918" w:type="dxa"/>
            <w:tcBorders>
              <w:top w:val="nil"/>
              <w:bottom w:val="nil"/>
            </w:tcBorders>
          </w:tcPr>
          <w:p w14:paraId="2F726645"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30</w:t>
            </w:r>
          </w:p>
        </w:tc>
        <w:tc>
          <w:tcPr>
            <w:tcW w:w="1886" w:type="dxa"/>
            <w:tcBorders>
              <w:top w:val="nil"/>
              <w:bottom w:val="nil"/>
            </w:tcBorders>
          </w:tcPr>
          <w:p w14:paraId="52CA4400"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28</w:t>
            </w:r>
          </w:p>
        </w:tc>
      </w:tr>
      <w:tr w:rsidR="00D23386" w:rsidRPr="006645DE" w14:paraId="54BAB767" w14:textId="77777777" w:rsidTr="00076601">
        <w:tc>
          <w:tcPr>
            <w:tcW w:w="3307" w:type="dxa"/>
            <w:tcBorders>
              <w:top w:val="nil"/>
              <w:bottom w:val="nil"/>
            </w:tcBorders>
          </w:tcPr>
          <w:p w14:paraId="68DD5998"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nil"/>
            </w:tcBorders>
          </w:tcPr>
          <w:p w14:paraId="0EC303EC"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Recreatievaart</w:t>
            </w:r>
          </w:p>
        </w:tc>
        <w:tc>
          <w:tcPr>
            <w:tcW w:w="1918" w:type="dxa"/>
            <w:tcBorders>
              <w:top w:val="nil"/>
              <w:bottom w:val="nil"/>
            </w:tcBorders>
          </w:tcPr>
          <w:p w14:paraId="6A7A3732"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110</w:t>
            </w:r>
          </w:p>
        </w:tc>
        <w:tc>
          <w:tcPr>
            <w:tcW w:w="1886" w:type="dxa"/>
            <w:tcBorders>
              <w:top w:val="nil"/>
              <w:bottom w:val="nil"/>
            </w:tcBorders>
          </w:tcPr>
          <w:p w14:paraId="6DA4576C"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86</w:t>
            </w:r>
          </w:p>
        </w:tc>
      </w:tr>
      <w:tr w:rsidR="00D23386" w:rsidRPr="006645DE" w14:paraId="343E13D4" w14:textId="77777777" w:rsidTr="00076601">
        <w:tc>
          <w:tcPr>
            <w:tcW w:w="3307" w:type="dxa"/>
            <w:tcBorders>
              <w:top w:val="nil"/>
              <w:bottom w:val="nil"/>
            </w:tcBorders>
          </w:tcPr>
          <w:p w14:paraId="1A1ADD49"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nil"/>
            </w:tcBorders>
          </w:tcPr>
          <w:p w14:paraId="13A7FE75"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Totaal</w:t>
            </w:r>
          </w:p>
        </w:tc>
        <w:tc>
          <w:tcPr>
            <w:tcW w:w="1918" w:type="dxa"/>
            <w:tcBorders>
              <w:top w:val="nil"/>
              <w:bottom w:val="nil"/>
            </w:tcBorders>
          </w:tcPr>
          <w:p w14:paraId="2ED9862D"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220</w:t>
            </w:r>
          </w:p>
        </w:tc>
        <w:tc>
          <w:tcPr>
            <w:tcW w:w="1886" w:type="dxa"/>
            <w:tcBorders>
              <w:top w:val="nil"/>
              <w:bottom w:val="nil"/>
            </w:tcBorders>
          </w:tcPr>
          <w:p w14:paraId="69FD449C"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190</w:t>
            </w:r>
          </w:p>
        </w:tc>
      </w:tr>
      <w:tr w:rsidR="00D23386" w:rsidRPr="006645DE" w14:paraId="6CD21FB0" w14:textId="77777777" w:rsidTr="00076601">
        <w:tc>
          <w:tcPr>
            <w:tcW w:w="3307" w:type="dxa"/>
            <w:tcBorders>
              <w:top w:val="nil"/>
              <w:bottom w:val="single" w:sz="4" w:space="0" w:color="auto"/>
            </w:tcBorders>
          </w:tcPr>
          <w:p w14:paraId="4C8B68DB"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single" w:sz="4" w:space="0" w:color="auto"/>
            </w:tcBorders>
          </w:tcPr>
          <w:p w14:paraId="1B428648"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18" w:type="dxa"/>
            <w:tcBorders>
              <w:top w:val="nil"/>
              <w:bottom w:val="single" w:sz="4" w:space="0" w:color="auto"/>
            </w:tcBorders>
          </w:tcPr>
          <w:p w14:paraId="62264122" w14:textId="77777777" w:rsidR="00D23386" w:rsidRPr="006645DE" w:rsidRDefault="00D23386" w:rsidP="00F91829">
            <w:pPr>
              <w:spacing w:line="240" w:lineRule="auto"/>
              <w:jc w:val="right"/>
              <w:rPr>
                <w:rFonts w:eastAsia="Times New Roman" w:cs="Times New Roman"/>
                <w:color w:val="auto"/>
                <w:sz w:val="20"/>
                <w:szCs w:val="20"/>
                <w:lang w:eastAsia="nl-NL"/>
              </w:rPr>
            </w:pPr>
          </w:p>
        </w:tc>
        <w:tc>
          <w:tcPr>
            <w:tcW w:w="1886" w:type="dxa"/>
            <w:tcBorders>
              <w:top w:val="nil"/>
              <w:bottom w:val="single" w:sz="4" w:space="0" w:color="auto"/>
            </w:tcBorders>
          </w:tcPr>
          <w:p w14:paraId="709DB267" w14:textId="77777777" w:rsidR="00D23386" w:rsidRPr="006645DE" w:rsidRDefault="00D23386" w:rsidP="00F91829">
            <w:pPr>
              <w:spacing w:line="240" w:lineRule="auto"/>
              <w:jc w:val="right"/>
              <w:rPr>
                <w:rFonts w:eastAsia="Times New Roman" w:cs="Times New Roman"/>
                <w:color w:val="auto"/>
                <w:sz w:val="20"/>
                <w:szCs w:val="20"/>
                <w:lang w:eastAsia="nl-NL"/>
              </w:rPr>
            </w:pPr>
          </w:p>
        </w:tc>
      </w:tr>
      <w:tr w:rsidR="00D23386" w:rsidRPr="006645DE" w14:paraId="1B67F84B" w14:textId="77777777" w:rsidTr="00076601">
        <w:tc>
          <w:tcPr>
            <w:tcW w:w="3307" w:type="dxa"/>
            <w:vMerge w:val="restart"/>
            <w:tcBorders>
              <w:top w:val="single" w:sz="4" w:space="0" w:color="auto"/>
            </w:tcBorders>
          </w:tcPr>
          <w:p w14:paraId="54168FF5"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Aantal gezonken schepen*</w:t>
            </w:r>
          </w:p>
        </w:tc>
        <w:tc>
          <w:tcPr>
            <w:tcW w:w="1951" w:type="dxa"/>
            <w:tcBorders>
              <w:top w:val="single" w:sz="4" w:space="0" w:color="auto"/>
              <w:bottom w:val="nil"/>
            </w:tcBorders>
          </w:tcPr>
          <w:p w14:paraId="009D8EF0"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Binnenvaart</w:t>
            </w:r>
          </w:p>
        </w:tc>
        <w:tc>
          <w:tcPr>
            <w:tcW w:w="1918" w:type="dxa"/>
            <w:tcBorders>
              <w:top w:val="single" w:sz="4" w:space="0" w:color="auto"/>
              <w:bottom w:val="nil"/>
            </w:tcBorders>
          </w:tcPr>
          <w:p w14:paraId="37813400"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88</w:t>
            </w:r>
          </w:p>
        </w:tc>
        <w:tc>
          <w:tcPr>
            <w:tcW w:w="1886" w:type="dxa"/>
            <w:tcBorders>
              <w:top w:val="single" w:sz="4" w:space="0" w:color="auto"/>
              <w:bottom w:val="nil"/>
            </w:tcBorders>
          </w:tcPr>
          <w:p w14:paraId="72B4C149"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56</w:t>
            </w:r>
          </w:p>
        </w:tc>
      </w:tr>
      <w:tr w:rsidR="00D23386" w:rsidRPr="006645DE" w14:paraId="17E49D67" w14:textId="77777777" w:rsidTr="00076601">
        <w:tc>
          <w:tcPr>
            <w:tcW w:w="3307" w:type="dxa"/>
            <w:vMerge/>
          </w:tcPr>
          <w:p w14:paraId="7EAD28F0"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nil"/>
            </w:tcBorders>
          </w:tcPr>
          <w:p w14:paraId="54087B45"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Zeevaart</w:t>
            </w:r>
          </w:p>
        </w:tc>
        <w:tc>
          <w:tcPr>
            <w:tcW w:w="1918" w:type="dxa"/>
            <w:tcBorders>
              <w:top w:val="nil"/>
              <w:bottom w:val="nil"/>
            </w:tcBorders>
          </w:tcPr>
          <w:p w14:paraId="646DD81C"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14</w:t>
            </w:r>
          </w:p>
        </w:tc>
        <w:tc>
          <w:tcPr>
            <w:tcW w:w="1886" w:type="dxa"/>
            <w:tcBorders>
              <w:top w:val="nil"/>
              <w:bottom w:val="nil"/>
            </w:tcBorders>
          </w:tcPr>
          <w:p w14:paraId="6508A667"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9</w:t>
            </w:r>
          </w:p>
        </w:tc>
      </w:tr>
      <w:tr w:rsidR="00D23386" w:rsidRPr="006645DE" w14:paraId="1CADE370" w14:textId="77777777" w:rsidTr="00076601">
        <w:tc>
          <w:tcPr>
            <w:tcW w:w="3307" w:type="dxa"/>
            <w:vMerge/>
          </w:tcPr>
          <w:p w14:paraId="3877460B"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nil"/>
            </w:tcBorders>
          </w:tcPr>
          <w:p w14:paraId="52C6F4BA"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Recreatievaart</w:t>
            </w:r>
          </w:p>
        </w:tc>
        <w:tc>
          <w:tcPr>
            <w:tcW w:w="1918" w:type="dxa"/>
            <w:tcBorders>
              <w:top w:val="nil"/>
              <w:bottom w:val="nil"/>
            </w:tcBorders>
          </w:tcPr>
          <w:p w14:paraId="35A77084"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102</w:t>
            </w:r>
          </w:p>
        </w:tc>
        <w:tc>
          <w:tcPr>
            <w:tcW w:w="1886" w:type="dxa"/>
            <w:tcBorders>
              <w:top w:val="nil"/>
              <w:bottom w:val="nil"/>
            </w:tcBorders>
          </w:tcPr>
          <w:p w14:paraId="739455D6"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85</w:t>
            </w:r>
          </w:p>
        </w:tc>
      </w:tr>
      <w:tr w:rsidR="00D23386" w:rsidRPr="006645DE" w14:paraId="309B7D69" w14:textId="77777777" w:rsidTr="00076601">
        <w:tc>
          <w:tcPr>
            <w:tcW w:w="3307" w:type="dxa"/>
            <w:vMerge/>
            <w:tcBorders>
              <w:bottom w:val="nil"/>
            </w:tcBorders>
          </w:tcPr>
          <w:p w14:paraId="55FAFA5B"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nil"/>
            </w:tcBorders>
          </w:tcPr>
          <w:p w14:paraId="18635784"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Totaal</w:t>
            </w:r>
          </w:p>
        </w:tc>
        <w:tc>
          <w:tcPr>
            <w:tcW w:w="1918" w:type="dxa"/>
            <w:tcBorders>
              <w:top w:val="nil"/>
              <w:bottom w:val="nil"/>
            </w:tcBorders>
          </w:tcPr>
          <w:p w14:paraId="3621305B"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204</w:t>
            </w:r>
          </w:p>
        </w:tc>
        <w:tc>
          <w:tcPr>
            <w:tcW w:w="1886" w:type="dxa"/>
            <w:tcBorders>
              <w:top w:val="nil"/>
              <w:bottom w:val="nil"/>
            </w:tcBorders>
          </w:tcPr>
          <w:p w14:paraId="3248DEE3"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150</w:t>
            </w:r>
          </w:p>
        </w:tc>
      </w:tr>
      <w:tr w:rsidR="00D23386" w:rsidRPr="006645DE" w14:paraId="48C2ADD3" w14:textId="77777777" w:rsidTr="00076601">
        <w:tc>
          <w:tcPr>
            <w:tcW w:w="3307" w:type="dxa"/>
            <w:tcBorders>
              <w:top w:val="nil"/>
              <w:bottom w:val="single" w:sz="4" w:space="0" w:color="auto"/>
            </w:tcBorders>
          </w:tcPr>
          <w:p w14:paraId="582701E8"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single" w:sz="4" w:space="0" w:color="auto"/>
            </w:tcBorders>
          </w:tcPr>
          <w:p w14:paraId="6B80F62C"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18" w:type="dxa"/>
            <w:tcBorders>
              <w:top w:val="nil"/>
              <w:bottom w:val="single" w:sz="4" w:space="0" w:color="auto"/>
            </w:tcBorders>
          </w:tcPr>
          <w:p w14:paraId="4D70EE78" w14:textId="77777777" w:rsidR="00D23386" w:rsidRPr="006645DE" w:rsidRDefault="00D23386" w:rsidP="00F91829">
            <w:pPr>
              <w:spacing w:line="240" w:lineRule="auto"/>
              <w:jc w:val="right"/>
              <w:rPr>
                <w:rFonts w:eastAsia="Times New Roman" w:cs="Times New Roman"/>
                <w:color w:val="auto"/>
                <w:sz w:val="20"/>
                <w:szCs w:val="20"/>
                <w:lang w:eastAsia="nl-NL"/>
              </w:rPr>
            </w:pPr>
          </w:p>
        </w:tc>
        <w:tc>
          <w:tcPr>
            <w:tcW w:w="1886" w:type="dxa"/>
            <w:tcBorders>
              <w:top w:val="nil"/>
              <w:bottom w:val="single" w:sz="4" w:space="0" w:color="auto"/>
            </w:tcBorders>
          </w:tcPr>
          <w:p w14:paraId="00794E6F" w14:textId="77777777" w:rsidR="00D23386" w:rsidRPr="006645DE" w:rsidRDefault="00D23386" w:rsidP="00F91829">
            <w:pPr>
              <w:spacing w:line="240" w:lineRule="auto"/>
              <w:jc w:val="right"/>
              <w:rPr>
                <w:rFonts w:eastAsia="Times New Roman" w:cs="Times New Roman"/>
                <w:color w:val="auto"/>
                <w:sz w:val="20"/>
                <w:szCs w:val="20"/>
                <w:lang w:eastAsia="nl-NL"/>
              </w:rPr>
            </w:pPr>
          </w:p>
        </w:tc>
      </w:tr>
      <w:tr w:rsidR="00D23386" w:rsidRPr="006645DE" w14:paraId="0BC3D50D" w14:textId="77777777" w:rsidTr="00076601">
        <w:tc>
          <w:tcPr>
            <w:tcW w:w="3307" w:type="dxa"/>
            <w:vMerge w:val="restart"/>
            <w:tcBorders>
              <w:top w:val="single" w:sz="4" w:space="0" w:color="auto"/>
            </w:tcBorders>
          </w:tcPr>
          <w:p w14:paraId="6F9345A7"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Aantal keren brand of explosie*</w:t>
            </w:r>
          </w:p>
        </w:tc>
        <w:tc>
          <w:tcPr>
            <w:tcW w:w="1951" w:type="dxa"/>
            <w:tcBorders>
              <w:top w:val="single" w:sz="4" w:space="0" w:color="auto"/>
              <w:bottom w:val="nil"/>
            </w:tcBorders>
          </w:tcPr>
          <w:p w14:paraId="7FE40057"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Binnenvaart</w:t>
            </w:r>
          </w:p>
        </w:tc>
        <w:tc>
          <w:tcPr>
            <w:tcW w:w="1918" w:type="dxa"/>
            <w:tcBorders>
              <w:top w:val="single" w:sz="4" w:space="0" w:color="auto"/>
              <w:bottom w:val="nil"/>
            </w:tcBorders>
          </w:tcPr>
          <w:p w14:paraId="68EE005D"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56</w:t>
            </w:r>
          </w:p>
        </w:tc>
        <w:tc>
          <w:tcPr>
            <w:tcW w:w="1886" w:type="dxa"/>
            <w:tcBorders>
              <w:top w:val="single" w:sz="4" w:space="0" w:color="auto"/>
              <w:bottom w:val="nil"/>
            </w:tcBorders>
          </w:tcPr>
          <w:p w14:paraId="0D90EC3F"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24</w:t>
            </w:r>
          </w:p>
        </w:tc>
      </w:tr>
      <w:tr w:rsidR="00D23386" w:rsidRPr="006645DE" w14:paraId="5EE85429" w14:textId="77777777" w:rsidTr="00076601">
        <w:tc>
          <w:tcPr>
            <w:tcW w:w="3307" w:type="dxa"/>
            <w:vMerge/>
          </w:tcPr>
          <w:p w14:paraId="72D114FC"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nil"/>
            </w:tcBorders>
          </w:tcPr>
          <w:p w14:paraId="5A1EE967"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Zeevaart</w:t>
            </w:r>
          </w:p>
        </w:tc>
        <w:tc>
          <w:tcPr>
            <w:tcW w:w="1918" w:type="dxa"/>
            <w:tcBorders>
              <w:top w:val="nil"/>
              <w:bottom w:val="nil"/>
            </w:tcBorders>
          </w:tcPr>
          <w:p w14:paraId="6EECF6F2"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12</w:t>
            </w:r>
          </w:p>
        </w:tc>
        <w:tc>
          <w:tcPr>
            <w:tcW w:w="1886" w:type="dxa"/>
            <w:tcBorders>
              <w:top w:val="nil"/>
              <w:bottom w:val="nil"/>
            </w:tcBorders>
          </w:tcPr>
          <w:p w14:paraId="13CA9CA6"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5</w:t>
            </w:r>
          </w:p>
        </w:tc>
      </w:tr>
      <w:tr w:rsidR="00D23386" w:rsidRPr="006645DE" w14:paraId="57CCF7B6" w14:textId="77777777" w:rsidTr="00076601">
        <w:tc>
          <w:tcPr>
            <w:tcW w:w="3307" w:type="dxa"/>
            <w:vMerge/>
          </w:tcPr>
          <w:p w14:paraId="11F18A28"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nil"/>
            </w:tcBorders>
          </w:tcPr>
          <w:p w14:paraId="7A4DCB2A"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Recreatievaart</w:t>
            </w:r>
          </w:p>
        </w:tc>
        <w:tc>
          <w:tcPr>
            <w:tcW w:w="1918" w:type="dxa"/>
            <w:tcBorders>
              <w:top w:val="nil"/>
              <w:bottom w:val="nil"/>
            </w:tcBorders>
          </w:tcPr>
          <w:p w14:paraId="1577F1A9"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88</w:t>
            </w:r>
          </w:p>
        </w:tc>
        <w:tc>
          <w:tcPr>
            <w:tcW w:w="1886" w:type="dxa"/>
            <w:tcBorders>
              <w:top w:val="nil"/>
              <w:bottom w:val="nil"/>
            </w:tcBorders>
          </w:tcPr>
          <w:p w14:paraId="357EAD59"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40</w:t>
            </w:r>
          </w:p>
        </w:tc>
      </w:tr>
      <w:tr w:rsidR="00D23386" w:rsidRPr="006645DE" w14:paraId="3BC1BD69" w14:textId="77777777" w:rsidTr="00076601">
        <w:tc>
          <w:tcPr>
            <w:tcW w:w="3307" w:type="dxa"/>
            <w:vMerge/>
            <w:tcBorders>
              <w:bottom w:val="nil"/>
            </w:tcBorders>
          </w:tcPr>
          <w:p w14:paraId="6D47ECC9"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nil"/>
            </w:tcBorders>
          </w:tcPr>
          <w:p w14:paraId="7B53DBE5"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Totaal</w:t>
            </w:r>
          </w:p>
        </w:tc>
        <w:tc>
          <w:tcPr>
            <w:tcW w:w="1918" w:type="dxa"/>
            <w:tcBorders>
              <w:top w:val="nil"/>
              <w:bottom w:val="nil"/>
            </w:tcBorders>
          </w:tcPr>
          <w:p w14:paraId="5B27CA37"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156</w:t>
            </w:r>
          </w:p>
        </w:tc>
        <w:tc>
          <w:tcPr>
            <w:tcW w:w="1886" w:type="dxa"/>
            <w:tcBorders>
              <w:top w:val="nil"/>
              <w:bottom w:val="nil"/>
            </w:tcBorders>
          </w:tcPr>
          <w:p w14:paraId="20857AB9"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69</w:t>
            </w:r>
          </w:p>
        </w:tc>
      </w:tr>
      <w:tr w:rsidR="00D23386" w:rsidRPr="006645DE" w14:paraId="32E98F9C" w14:textId="77777777" w:rsidTr="00076601">
        <w:tc>
          <w:tcPr>
            <w:tcW w:w="3307" w:type="dxa"/>
            <w:tcBorders>
              <w:top w:val="nil"/>
              <w:bottom w:val="single" w:sz="4" w:space="0" w:color="auto"/>
            </w:tcBorders>
          </w:tcPr>
          <w:p w14:paraId="128C3373"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nil"/>
              <w:bottom w:val="single" w:sz="4" w:space="0" w:color="auto"/>
            </w:tcBorders>
          </w:tcPr>
          <w:p w14:paraId="279E6F23"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18" w:type="dxa"/>
            <w:tcBorders>
              <w:top w:val="nil"/>
              <w:bottom w:val="single" w:sz="4" w:space="0" w:color="auto"/>
            </w:tcBorders>
          </w:tcPr>
          <w:p w14:paraId="041A5993" w14:textId="77777777" w:rsidR="00D23386" w:rsidRPr="006645DE" w:rsidRDefault="00D23386" w:rsidP="00F91829">
            <w:pPr>
              <w:spacing w:line="240" w:lineRule="auto"/>
              <w:jc w:val="right"/>
              <w:rPr>
                <w:rFonts w:eastAsia="Times New Roman" w:cs="Times New Roman"/>
                <w:color w:val="auto"/>
                <w:sz w:val="20"/>
                <w:szCs w:val="20"/>
                <w:lang w:eastAsia="nl-NL"/>
              </w:rPr>
            </w:pPr>
          </w:p>
        </w:tc>
        <w:tc>
          <w:tcPr>
            <w:tcW w:w="1886" w:type="dxa"/>
            <w:tcBorders>
              <w:top w:val="nil"/>
              <w:bottom w:val="single" w:sz="4" w:space="0" w:color="auto"/>
            </w:tcBorders>
          </w:tcPr>
          <w:p w14:paraId="01EB174D" w14:textId="77777777" w:rsidR="00D23386" w:rsidRPr="006645DE" w:rsidRDefault="00D23386" w:rsidP="00F91829">
            <w:pPr>
              <w:spacing w:line="240" w:lineRule="auto"/>
              <w:jc w:val="right"/>
              <w:rPr>
                <w:rFonts w:eastAsia="Times New Roman" w:cs="Times New Roman"/>
                <w:color w:val="auto"/>
                <w:sz w:val="20"/>
                <w:szCs w:val="20"/>
                <w:lang w:eastAsia="nl-NL"/>
              </w:rPr>
            </w:pPr>
          </w:p>
        </w:tc>
      </w:tr>
      <w:tr w:rsidR="00D23386" w:rsidRPr="006645DE" w14:paraId="6DD7796C" w14:textId="77777777" w:rsidTr="00076601">
        <w:tc>
          <w:tcPr>
            <w:tcW w:w="3307" w:type="dxa"/>
            <w:tcBorders>
              <w:top w:val="single" w:sz="4" w:space="0" w:color="auto"/>
            </w:tcBorders>
          </w:tcPr>
          <w:p w14:paraId="453714B6" w14:textId="77777777" w:rsidR="00D23386" w:rsidRPr="006645DE" w:rsidRDefault="00D23386" w:rsidP="00DE08B1">
            <w:pPr>
              <w:spacing w:line="240" w:lineRule="auto"/>
              <w:jc w:val="left"/>
              <w:rPr>
                <w:rFonts w:eastAsia="Times New Roman" w:cs="Times New Roman"/>
                <w:color w:val="auto"/>
                <w:sz w:val="20"/>
                <w:szCs w:val="20"/>
                <w:lang w:eastAsia="nl-NL"/>
              </w:rPr>
            </w:pPr>
            <w:r w:rsidRPr="006645DE">
              <w:rPr>
                <w:rFonts w:eastAsia="Times New Roman" w:cs="Times New Roman"/>
                <w:color w:val="auto"/>
                <w:sz w:val="20"/>
                <w:szCs w:val="20"/>
                <w:lang w:eastAsia="nl-NL"/>
              </w:rPr>
              <w:t>Aantal ongevallen met milieuschade*</w:t>
            </w:r>
          </w:p>
          <w:p w14:paraId="6D226E12"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51" w:type="dxa"/>
            <w:tcBorders>
              <w:top w:val="single" w:sz="4" w:space="0" w:color="auto"/>
            </w:tcBorders>
          </w:tcPr>
          <w:p w14:paraId="5CE58E37" w14:textId="77777777" w:rsidR="00D23386" w:rsidRPr="006645DE" w:rsidRDefault="00D23386" w:rsidP="00DE08B1">
            <w:pPr>
              <w:spacing w:line="240" w:lineRule="auto"/>
              <w:jc w:val="left"/>
              <w:rPr>
                <w:rFonts w:eastAsia="Times New Roman" w:cs="Times New Roman"/>
                <w:color w:val="auto"/>
                <w:sz w:val="20"/>
                <w:szCs w:val="20"/>
                <w:lang w:eastAsia="nl-NL"/>
              </w:rPr>
            </w:pPr>
          </w:p>
        </w:tc>
        <w:tc>
          <w:tcPr>
            <w:tcW w:w="1918" w:type="dxa"/>
            <w:tcBorders>
              <w:top w:val="single" w:sz="4" w:space="0" w:color="auto"/>
            </w:tcBorders>
          </w:tcPr>
          <w:p w14:paraId="6D8DC08D"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113</w:t>
            </w:r>
          </w:p>
        </w:tc>
        <w:tc>
          <w:tcPr>
            <w:tcW w:w="1886" w:type="dxa"/>
            <w:tcBorders>
              <w:top w:val="single" w:sz="4" w:space="0" w:color="auto"/>
            </w:tcBorders>
          </w:tcPr>
          <w:p w14:paraId="7220C2A0" w14:textId="77777777" w:rsidR="00D23386" w:rsidRPr="006645DE" w:rsidRDefault="00D23386" w:rsidP="00F91829">
            <w:pPr>
              <w:spacing w:line="240" w:lineRule="auto"/>
              <w:jc w:val="right"/>
              <w:rPr>
                <w:rFonts w:eastAsia="Times New Roman" w:cs="Times New Roman"/>
                <w:color w:val="auto"/>
                <w:sz w:val="20"/>
                <w:szCs w:val="20"/>
                <w:lang w:eastAsia="nl-NL"/>
              </w:rPr>
            </w:pPr>
            <w:r w:rsidRPr="006645DE">
              <w:rPr>
                <w:rFonts w:eastAsia="Times New Roman" w:cs="Times New Roman"/>
                <w:color w:val="auto"/>
                <w:sz w:val="20"/>
                <w:szCs w:val="20"/>
                <w:lang w:eastAsia="nl-NL"/>
              </w:rPr>
              <w:t>80</w:t>
            </w:r>
          </w:p>
        </w:tc>
      </w:tr>
    </w:tbl>
    <w:p w14:paraId="7E5A0377" w14:textId="6F3FC524" w:rsidR="00D23386" w:rsidRDefault="00D23386" w:rsidP="00DE08B1">
      <w:pPr>
        <w:spacing w:line="240" w:lineRule="auto"/>
        <w:jc w:val="left"/>
        <w:rPr>
          <w:rFonts w:eastAsia="Times New Roman" w:cs="Times New Roman"/>
          <w:color w:val="auto"/>
          <w:szCs w:val="24"/>
          <w:lang w:eastAsia="nl-NL"/>
        </w:rPr>
      </w:pPr>
    </w:p>
    <w:p w14:paraId="5FB5AE05" w14:textId="45BB3E2E" w:rsidR="00D23386" w:rsidRPr="004D726D" w:rsidRDefault="00D23386" w:rsidP="00DE08B1">
      <w:pPr>
        <w:spacing w:line="240" w:lineRule="auto"/>
        <w:jc w:val="left"/>
        <w:rPr>
          <w:rFonts w:eastAsia="Times New Roman" w:cs="Times New Roman"/>
          <w:color w:val="auto"/>
          <w:sz w:val="22"/>
          <w:szCs w:val="22"/>
          <w:lang w:eastAsia="nl-NL"/>
        </w:rPr>
      </w:pPr>
      <w:r w:rsidRPr="006645DE">
        <w:rPr>
          <w:rFonts w:eastAsia="Times New Roman" w:cs="Times New Roman"/>
          <w:i/>
          <w:iCs/>
          <w:color w:val="auto"/>
          <w:szCs w:val="24"/>
          <w:lang w:eastAsia="nl-NL"/>
        </w:rPr>
        <w:t>Tabel</w:t>
      </w:r>
      <w:r w:rsidR="007844A8">
        <w:rPr>
          <w:rFonts w:eastAsia="Times New Roman" w:cs="Times New Roman"/>
          <w:i/>
          <w:iCs/>
          <w:color w:val="auto"/>
          <w:szCs w:val="24"/>
          <w:lang w:eastAsia="nl-NL"/>
        </w:rPr>
        <w:t xml:space="preserve"> </w:t>
      </w:r>
      <w:r w:rsidR="007844A8" w:rsidRPr="004D726D">
        <w:rPr>
          <w:rFonts w:eastAsia="Times New Roman" w:cs="Times New Roman"/>
          <w:i/>
          <w:iCs/>
          <w:color w:val="auto"/>
          <w:sz w:val="22"/>
          <w:szCs w:val="22"/>
          <w:lang w:eastAsia="nl-NL"/>
        </w:rPr>
        <w:t>2</w:t>
      </w:r>
      <w:r w:rsidR="00F91829">
        <w:rPr>
          <w:rFonts w:eastAsia="Times New Roman" w:cs="Times New Roman"/>
          <w:i/>
          <w:iCs/>
          <w:color w:val="auto"/>
          <w:sz w:val="22"/>
          <w:szCs w:val="22"/>
          <w:lang w:eastAsia="nl-NL"/>
        </w:rPr>
        <w:t>1</w:t>
      </w:r>
      <w:r w:rsidR="00854749">
        <w:rPr>
          <w:rFonts w:eastAsia="Times New Roman" w:cs="Times New Roman"/>
          <w:i/>
          <w:iCs/>
          <w:color w:val="auto"/>
          <w:sz w:val="22"/>
          <w:szCs w:val="22"/>
          <w:lang w:eastAsia="nl-NL"/>
        </w:rPr>
        <w:t>:</w:t>
      </w:r>
      <w:r w:rsidR="007844A8" w:rsidRPr="004D726D">
        <w:rPr>
          <w:rFonts w:eastAsia="Times New Roman" w:cs="Times New Roman"/>
          <w:i/>
          <w:iCs/>
          <w:color w:val="auto"/>
          <w:sz w:val="22"/>
          <w:szCs w:val="22"/>
          <w:lang w:eastAsia="nl-NL"/>
        </w:rPr>
        <w:t xml:space="preserve"> </w:t>
      </w:r>
      <w:r w:rsidRPr="004D726D">
        <w:rPr>
          <w:rFonts w:eastAsia="Times New Roman" w:cs="Times New Roman"/>
          <w:i/>
          <w:color w:val="auto"/>
          <w:sz w:val="22"/>
          <w:szCs w:val="22"/>
          <w:lang w:eastAsia="nl-NL"/>
        </w:rPr>
        <w:t>Ongevallen op de Nederlandse binnenvaarwegen (1978 t/m 1980).</w:t>
      </w:r>
      <w:r w:rsidRPr="004D726D">
        <w:rPr>
          <w:rFonts w:eastAsia="Times New Roman" w:cs="Times New Roman"/>
          <w:color w:val="auto"/>
          <w:sz w:val="22"/>
          <w:szCs w:val="22"/>
          <w:vertAlign w:val="superscript"/>
          <w:lang w:eastAsia="nl-NL"/>
        </w:rPr>
        <w:endnoteReference w:id="144"/>
      </w:r>
      <w:r w:rsidR="004D726D" w:rsidRPr="004D726D">
        <w:rPr>
          <w:rFonts w:eastAsia="Times New Roman" w:cs="Times New Roman"/>
          <w:color w:val="auto"/>
          <w:sz w:val="22"/>
          <w:szCs w:val="22"/>
          <w:lang w:eastAsia="nl-NL"/>
        </w:rPr>
        <w:t xml:space="preserve"> </w:t>
      </w:r>
      <w:r w:rsidR="004C6106">
        <w:rPr>
          <w:rFonts w:eastAsia="Times New Roman" w:cs="Times New Roman"/>
          <w:color w:val="auto"/>
          <w:sz w:val="22"/>
          <w:szCs w:val="22"/>
          <w:lang w:eastAsia="nl-NL"/>
        </w:rPr>
        <w:br/>
      </w:r>
      <w:r w:rsidR="004D726D" w:rsidRPr="004D726D">
        <w:rPr>
          <w:rFonts w:eastAsia="Times New Roman" w:cs="Times New Roman"/>
          <w:color w:val="auto"/>
          <w:sz w:val="22"/>
          <w:szCs w:val="22"/>
          <w:lang w:eastAsia="nl-NL"/>
        </w:rPr>
        <w:t xml:space="preserve">* Per </w:t>
      </w:r>
      <w:r w:rsidRPr="004D726D">
        <w:rPr>
          <w:rFonts w:eastAsia="Times New Roman" w:cs="Times New Roman"/>
          <w:color w:val="auto"/>
          <w:sz w:val="22"/>
          <w:szCs w:val="22"/>
          <w:lang w:eastAsia="nl-NL"/>
        </w:rPr>
        <w:t>ongeval werd uitsluitend het ernstigste gevolg geregistreerd.</w:t>
      </w:r>
    </w:p>
    <w:p w14:paraId="57E1D92C" w14:textId="77777777" w:rsidR="00D23386" w:rsidRDefault="00D23386" w:rsidP="00DE08B1">
      <w:pPr>
        <w:jc w:val="left"/>
        <w:rPr>
          <w:rFonts w:eastAsia="Calibri" w:cs="Times New Roman"/>
          <w:color w:val="auto"/>
          <w:szCs w:val="24"/>
        </w:rPr>
      </w:pPr>
    </w:p>
    <w:p w14:paraId="77B627E4" w14:textId="66F6649C" w:rsidR="00D23386" w:rsidRPr="00453313" w:rsidRDefault="00D23386" w:rsidP="00A469BD">
      <w:pPr>
        <w:jc w:val="left"/>
        <w:rPr>
          <w:rFonts w:eastAsia="Calibri" w:cs="Times New Roman"/>
          <w:color w:val="auto"/>
          <w:szCs w:val="24"/>
        </w:rPr>
      </w:pPr>
      <w:r>
        <w:rPr>
          <w:rFonts w:eastAsia="Calibri" w:cs="Times New Roman"/>
          <w:color w:val="auto"/>
          <w:szCs w:val="24"/>
        </w:rPr>
        <w:t xml:space="preserve">Het eerste overzicht leidde bij de onderzoekers tot grote verbazing. Afgezet tegen de sterke aandacht van de pers, de publieke opinie en het parlement voor de aan het vervoer verbonden </w:t>
      </w:r>
      <w:r>
        <w:rPr>
          <w:rFonts w:eastAsia="Calibri" w:cs="Times New Roman"/>
          <w:color w:val="auto"/>
          <w:szCs w:val="24"/>
        </w:rPr>
        <w:lastRenderedPageBreak/>
        <w:t>risico’s viel het aantal verkeersongevallen met dodelijke afloop sterk mee. In totaal vielen in deze periode, wanneer de vermisten worden meegeteld, 74 verkeersdoden (</w:t>
      </w:r>
      <w:r w:rsidR="00E76EA0">
        <w:rPr>
          <w:rFonts w:eastAsia="Calibri" w:cs="Times New Roman"/>
          <w:color w:val="auto"/>
          <w:szCs w:val="24"/>
        </w:rPr>
        <w:t>zie tabel hierboven</w:t>
      </w:r>
      <w:r>
        <w:rPr>
          <w:rFonts w:eastAsia="Calibri" w:cs="Times New Roman"/>
          <w:color w:val="auto"/>
          <w:szCs w:val="24"/>
        </w:rPr>
        <w:t xml:space="preserve">). De meeste slachtoffers waren geen opvarenden van binnenschepen, maar watersporters. Het aantal branden en explosies was beperkt. De meeste hiervan vonden plaats op recreatievaartuigen, die niet aan het verkeer deelnamen. </w:t>
      </w:r>
      <w:r w:rsidRPr="006645DE">
        <w:rPr>
          <w:rFonts w:eastAsia="Calibri" w:cs="Times New Roman"/>
          <w:color w:val="auto"/>
          <w:szCs w:val="24"/>
        </w:rPr>
        <w:t xml:space="preserve">Of zoals een onderzoeker later opmerkte: </w:t>
      </w:r>
      <w:r w:rsidRPr="003D4B8F">
        <w:rPr>
          <w:rFonts w:eastAsia="Calibri" w:cs="Times New Roman"/>
          <w:iCs/>
          <w:color w:val="auto"/>
          <w:szCs w:val="24"/>
        </w:rPr>
        <w:t>‘Al onze aandacht was gericht op schepen met gevaarlijke stoffen, maar de meeste branden en explosies vonden plaats op recreatievaartuigen die meestal niet eens aan het verkeer deelnamen, bijvoorbeeld door het gebruik van ondeugdelijke gasflessen, onzorgvuldigheid met brandstof of lekkende leidingen</w:t>
      </w:r>
      <w:r>
        <w:rPr>
          <w:rFonts w:eastAsia="Calibri" w:cs="Times New Roman"/>
          <w:iCs/>
          <w:color w:val="auto"/>
          <w:szCs w:val="24"/>
        </w:rPr>
        <w:t>’</w:t>
      </w:r>
      <w:r w:rsidR="006963DC">
        <w:rPr>
          <w:rFonts w:eastAsia="Calibri" w:cs="Times New Roman"/>
          <w:iCs/>
          <w:color w:val="auto"/>
          <w:szCs w:val="24"/>
        </w:rPr>
        <w:t>.</w:t>
      </w:r>
      <w:r>
        <w:rPr>
          <w:rFonts w:eastAsia="Calibri" w:cs="Times New Roman"/>
          <w:iCs/>
          <w:color w:val="auto"/>
          <w:szCs w:val="24"/>
        </w:rPr>
        <w:t xml:space="preserve"> </w:t>
      </w:r>
      <w:r w:rsidRPr="006645DE">
        <w:rPr>
          <w:rFonts w:eastAsia="Calibri" w:cs="Times New Roman"/>
          <w:color w:val="auto"/>
          <w:szCs w:val="24"/>
        </w:rPr>
        <w:t xml:space="preserve">De meeste verkeersongevallen </w:t>
      </w:r>
      <w:r>
        <w:rPr>
          <w:rFonts w:eastAsia="Calibri" w:cs="Times New Roman"/>
          <w:color w:val="auto"/>
          <w:szCs w:val="24"/>
        </w:rPr>
        <w:t xml:space="preserve">vonden plaats </w:t>
      </w:r>
      <w:r w:rsidRPr="006645DE">
        <w:rPr>
          <w:rFonts w:eastAsia="Calibri" w:cs="Times New Roman"/>
          <w:color w:val="auto"/>
          <w:szCs w:val="24"/>
        </w:rPr>
        <w:t xml:space="preserve">op krappe, drukke vaarwegen, bij sluizen en bruggen, op verkeersknooppunten en in havens. In tegenstelling tot eerdere perioden speelden </w:t>
      </w:r>
      <w:r w:rsidR="00841F7F">
        <w:rPr>
          <w:rFonts w:eastAsia="Calibri" w:cs="Times New Roman"/>
          <w:color w:val="auto"/>
          <w:szCs w:val="24"/>
        </w:rPr>
        <w:t xml:space="preserve">de weersomstandigheden </w:t>
      </w:r>
      <w:r w:rsidRPr="006645DE">
        <w:rPr>
          <w:rFonts w:eastAsia="Calibri" w:cs="Times New Roman"/>
          <w:color w:val="auto"/>
          <w:szCs w:val="24"/>
        </w:rPr>
        <w:t xml:space="preserve">bij het ontstaan van ongevallen slechts een beperkte rol. </w:t>
      </w:r>
      <w:r>
        <w:rPr>
          <w:rFonts w:eastAsia="Calibri" w:cs="Times New Roman"/>
          <w:color w:val="auto"/>
          <w:szCs w:val="24"/>
        </w:rPr>
        <w:t xml:space="preserve">Uit de analyse bleek dat binnenvaart een zeer veilige vervoerswijze was. </w:t>
      </w:r>
      <w:r w:rsidRPr="006645DE">
        <w:rPr>
          <w:rFonts w:eastAsia="Calibri" w:cs="Times New Roman"/>
          <w:color w:val="auto"/>
          <w:szCs w:val="24"/>
        </w:rPr>
        <w:t xml:space="preserve">Het aantal ongevallen per ladingtonkilometer </w:t>
      </w:r>
      <w:r w:rsidR="000458B2">
        <w:rPr>
          <w:rFonts w:eastAsia="Calibri" w:cs="Times New Roman"/>
          <w:color w:val="auto"/>
          <w:szCs w:val="24"/>
        </w:rPr>
        <w:t xml:space="preserve">bij het wegvervoer </w:t>
      </w:r>
      <w:r w:rsidRPr="006645DE">
        <w:rPr>
          <w:rFonts w:eastAsia="Calibri" w:cs="Times New Roman"/>
          <w:color w:val="auto"/>
          <w:szCs w:val="24"/>
        </w:rPr>
        <w:t>was bijna twintig keer groter dan op de vaarwegen.</w:t>
      </w:r>
      <w:r>
        <w:rPr>
          <w:rStyle w:val="EndnoteReference"/>
          <w:rFonts w:eastAsia="Calibri" w:cs="Times New Roman"/>
          <w:color w:val="auto"/>
          <w:szCs w:val="24"/>
        </w:rPr>
        <w:endnoteReference w:id="145"/>
      </w:r>
      <w:r w:rsidRPr="006645DE">
        <w:rPr>
          <w:rFonts w:eastAsia="Calibri" w:cs="Times New Roman"/>
          <w:color w:val="auto"/>
          <w:szCs w:val="24"/>
        </w:rPr>
        <w:t xml:space="preserve"> </w:t>
      </w:r>
      <w:r>
        <w:rPr>
          <w:rFonts w:eastAsia="Calibri" w:cs="Times New Roman"/>
          <w:color w:val="auto"/>
          <w:szCs w:val="24"/>
        </w:rPr>
        <w:t xml:space="preserve">  </w:t>
      </w:r>
      <w:r w:rsidR="00A469BD">
        <w:rPr>
          <w:szCs w:val="24"/>
        </w:rPr>
        <w:br/>
        <w:t xml:space="preserve"> </w:t>
      </w:r>
      <w:r w:rsidR="00A469BD">
        <w:rPr>
          <w:szCs w:val="24"/>
        </w:rPr>
        <w:tab/>
      </w:r>
      <w:r>
        <w:rPr>
          <w:szCs w:val="24"/>
        </w:rPr>
        <w:t>Door de nieuwe regelgeving, de verbeterde uitrusting van de vaartuigen, de verbetering van de knelpunten op het vaarwegennet en het toezicht is de veiligheid van de binnenvaart in de laatste decennia nog aanzienlijk verbeterd. Tussen 2007 en 2009 vielen bij scheepsongevallen op de binnenwateren twaalf doden.</w:t>
      </w:r>
      <w:r>
        <w:rPr>
          <w:rStyle w:val="EndnoteReference"/>
          <w:szCs w:val="24"/>
        </w:rPr>
        <w:endnoteReference w:id="146"/>
      </w:r>
      <w:r>
        <w:rPr>
          <w:szCs w:val="24"/>
        </w:rPr>
        <w:t xml:space="preserve">     </w:t>
      </w:r>
    </w:p>
    <w:p w14:paraId="40D11BEC" w14:textId="372FCE30" w:rsidR="00841F7F" w:rsidRDefault="00841F7F" w:rsidP="00DE08B1">
      <w:pPr>
        <w:jc w:val="left"/>
        <w:rPr>
          <w:szCs w:val="24"/>
        </w:rPr>
      </w:pPr>
    </w:p>
    <w:p w14:paraId="4005CC4C" w14:textId="397B56AD" w:rsidR="00841F7F" w:rsidRDefault="00841F7F" w:rsidP="00DE08B1">
      <w:pPr>
        <w:jc w:val="left"/>
        <w:rPr>
          <w:szCs w:val="24"/>
        </w:rPr>
      </w:pPr>
    </w:p>
    <w:p w14:paraId="4BB9073C" w14:textId="4C0A835A" w:rsidR="00841F7F" w:rsidRDefault="001C0FBC" w:rsidP="00DE08B1">
      <w:pPr>
        <w:pStyle w:val="Heading2"/>
        <w:jc w:val="left"/>
      </w:pPr>
      <w:r>
        <w:t>13</w:t>
      </w:r>
      <w:r w:rsidR="00841F7F">
        <w:t xml:space="preserve"> </w:t>
      </w:r>
      <w:r>
        <w:t>Slotopmerkingen en conclusies</w:t>
      </w:r>
    </w:p>
    <w:p w14:paraId="204DEBED" w14:textId="77777777" w:rsidR="002C6E80" w:rsidRPr="002C6E80" w:rsidRDefault="002C6E80" w:rsidP="002C6E80"/>
    <w:p w14:paraId="204CAE83" w14:textId="7F97FA3A" w:rsidR="00B308DF" w:rsidRDefault="00B308DF" w:rsidP="00DE08B1">
      <w:pPr>
        <w:jc w:val="left"/>
        <w:rPr>
          <w:rFonts w:eastAsia="Calibri" w:cs="Times New Roman"/>
        </w:rPr>
      </w:pPr>
      <w:r>
        <w:rPr>
          <w:rFonts w:eastAsia="Calibri" w:cs="Times New Roman"/>
        </w:rPr>
        <w:t xml:space="preserve">Het wegvervoer vormde voor de binnenvaart gedurende bijna de hele twintigste eeuw de grootste bedreiging. </w:t>
      </w:r>
      <w:r w:rsidR="00AB0B14">
        <w:rPr>
          <w:rFonts w:eastAsia="Calibri" w:cs="Times New Roman"/>
        </w:rPr>
        <w:t xml:space="preserve">Wegvervoer heeft als voordeel dat vrachtwagens vervoer van deur-tot-deur kunnen leveren, terwijl vervoer met binnenschepen vaak een extra overlading en voor- of natransport nodig maakt. Overlading kost veel geld. </w:t>
      </w:r>
      <w:r w:rsidR="00AC756D">
        <w:rPr>
          <w:rFonts w:eastAsia="Calibri" w:cs="Times New Roman"/>
        </w:rPr>
        <w:t>Bovendien is wegver</w:t>
      </w:r>
      <w:r w:rsidR="002C6E80">
        <w:rPr>
          <w:rFonts w:eastAsia="Calibri" w:cs="Times New Roman"/>
        </w:rPr>
        <w:t>voer</w:t>
      </w:r>
      <w:r w:rsidR="00AC756D">
        <w:rPr>
          <w:rFonts w:eastAsia="Calibri" w:cs="Times New Roman"/>
        </w:rPr>
        <w:t xml:space="preserve"> sneller. Daar staat tegenover dat het binnenvaartvervoer zelf – vooral bij massagoederen veel goedkoper is, terwijl ook het energieverbruik veel geringer is.  </w:t>
      </w:r>
    </w:p>
    <w:p w14:paraId="10AEB377" w14:textId="6D11137E" w:rsidR="00B308DF" w:rsidRPr="00DD71B1" w:rsidRDefault="00A469BD" w:rsidP="00DE08B1">
      <w:pPr>
        <w:jc w:val="left"/>
        <w:rPr>
          <w:rFonts w:ascii="Calibri" w:eastAsia="Times New Roman" w:hAnsi="Calibri" w:cs="Calibri"/>
          <w:color w:val="FF0000"/>
          <w:szCs w:val="24"/>
          <w:shd w:val="clear" w:color="auto" w:fill="FFFFFF"/>
          <w:lang w:eastAsia="nl-NL"/>
        </w:rPr>
      </w:pPr>
      <w:bookmarkStart w:id="82" w:name="_Hlk161521881"/>
      <w:r w:rsidRPr="00DD71B1">
        <w:rPr>
          <w:rFonts w:ascii="Calibri" w:eastAsia="Times New Roman" w:hAnsi="Calibri" w:cs="Calibri"/>
          <w:color w:val="FF0000"/>
          <w:szCs w:val="24"/>
          <w:shd w:val="clear" w:color="auto" w:fill="FFFFFF"/>
          <w:lang w:eastAsia="nl-NL"/>
        </w:rPr>
        <w:t>@i@</w:t>
      </w:r>
      <w:r w:rsidRPr="00DD71B1">
        <w:rPr>
          <w:rFonts w:eastAsia="Times New Roman" w:cs="Times New Roman"/>
          <w:color w:val="FF0000"/>
          <w:szCs w:val="24"/>
          <w:lang w:eastAsia="nl-NL"/>
        </w:rPr>
        <w:t>[[[</w:t>
      </w:r>
      <w:r w:rsidR="00453313" w:rsidRPr="00DD71B1">
        <w:rPr>
          <w:rFonts w:eastAsia="Times New Roman" w:cs="Times New Roman"/>
          <w:color w:val="FF0000"/>
          <w:szCs w:val="24"/>
          <w:lang w:eastAsia="nl-NL"/>
        </w:rPr>
        <w:t>74-</w:t>
      </w:r>
      <w:r w:rsidR="00674FD2" w:rsidRPr="00DD71B1">
        <w:rPr>
          <w:rFonts w:eastAsia="Times New Roman" w:cs="Times New Roman"/>
          <w:color w:val="FF0000"/>
          <w:szCs w:val="24"/>
          <w:lang w:eastAsia="nl-NL"/>
        </w:rPr>
        <w:t>63_autoschip.JPG</w:t>
      </w:r>
      <w:r w:rsidRPr="00DD71B1">
        <w:rPr>
          <w:rFonts w:cstheme="minorHAnsi"/>
          <w:color w:val="FF0000"/>
        </w:rPr>
        <w:t>]]]</w:t>
      </w:r>
      <w:r w:rsidRPr="00DD71B1">
        <w:rPr>
          <w:rFonts w:ascii="Calibri" w:eastAsia="Times New Roman" w:hAnsi="Calibri" w:cs="Calibri"/>
          <w:color w:val="FF0000"/>
          <w:szCs w:val="24"/>
          <w:shd w:val="clear" w:color="auto" w:fill="FFFFFF"/>
          <w:lang w:eastAsia="nl-NL"/>
        </w:rPr>
        <w:t>@/i@</w:t>
      </w:r>
      <w:r w:rsidRPr="00DD71B1">
        <w:rPr>
          <w:rFonts w:eastAsia="Calibri" w:cs="Times New Roman"/>
        </w:rPr>
        <w:br/>
      </w:r>
      <w:bookmarkEnd w:id="82"/>
      <w:r w:rsidR="00023D2F" w:rsidRPr="00DD71B1">
        <w:rPr>
          <w:rFonts w:eastAsia="Calibri"/>
        </w:rPr>
        <w:br/>
      </w:r>
    </w:p>
    <w:p w14:paraId="7BECBCE5" w14:textId="17E897E0" w:rsidR="00AC756D" w:rsidRDefault="00AC756D" w:rsidP="00023D2F">
      <w:pPr>
        <w:pStyle w:val="Heading2"/>
        <w:jc w:val="left"/>
        <w:rPr>
          <w:rFonts w:eastAsia="Calibri"/>
        </w:rPr>
      </w:pPr>
      <w:r>
        <w:rPr>
          <w:rFonts w:eastAsia="Calibri"/>
        </w:rPr>
        <w:t>De concurrentie met de vrachtauto</w:t>
      </w:r>
      <w:r w:rsidR="00023D2F">
        <w:rPr>
          <w:rFonts w:eastAsia="Calibri"/>
        </w:rPr>
        <w:br/>
      </w:r>
    </w:p>
    <w:p w14:paraId="58348B72" w14:textId="0D8B6EB1" w:rsidR="004F4EF9" w:rsidRDefault="00AC756D" w:rsidP="00DE08B1">
      <w:pPr>
        <w:jc w:val="left"/>
      </w:pPr>
      <w:r>
        <w:t xml:space="preserve">Vrachtauto’s concurreerden in het begin vooral bij het vervoer van kleine goederenhoeveelheden over korte afstanden en bij spoedeisende transporten. </w:t>
      </w:r>
      <w:r w:rsidR="0095249D">
        <w:t xml:space="preserve">Later </w:t>
      </w:r>
      <w:r>
        <w:t xml:space="preserve">namen de transporthoeveelheden en de afstanden </w:t>
      </w:r>
      <w:r w:rsidR="0095249D">
        <w:t xml:space="preserve">geleidelijk </w:t>
      </w:r>
      <w:r>
        <w:t xml:space="preserve">toe. Tussen 1930 en 1970 </w:t>
      </w:r>
      <w:r w:rsidR="0095249D">
        <w:t xml:space="preserve">verdwenen de beurtvaart en het scheepvaartvervoer op de kleine vaarwegen, </w:t>
      </w:r>
      <w:r>
        <w:t xml:space="preserve">terwijl op de grote vaarwegen alleen het vervoer van massagoederen overbleef. </w:t>
      </w:r>
      <w:r w:rsidR="00792888">
        <w:t>Pas na de komst van het containervervoer</w:t>
      </w:r>
      <w:r w:rsidR="004F4EF9">
        <w:t xml:space="preserve"> – een nieuwe vervoersvorm, die veel overeenstemming vertoont met de vroegere beurtvaart, maar dan in een gemoderniseerde, veel massalere vorm – wist de binnenvaart weer vervoer van de vrachtwagen terug te winnen.</w:t>
      </w:r>
    </w:p>
    <w:p w14:paraId="3571E4C5" w14:textId="51FEA74E" w:rsidR="007C04FF" w:rsidRPr="00B64F8E" w:rsidRDefault="007C04FF" w:rsidP="00B64F8E">
      <w:pPr>
        <w:jc w:val="left"/>
        <w:rPr>
          <w:rFonts w:ascii="Calibri" w:eastAsia="Times New Roman" w:hAnsi="Calibri" w:cs="Calibri"/>
          <w:color w:val="FF0000"/>
          <w:szCs w:val="24"/>
          <w:shd w:val="clear" w:color="auto" w:fill="FFFFFF"/>
          <w:lang w:eastAsia="nl-NL"/>
        </w:rPr>
      </w:pPr>
      <w:bookmarkStart w:id="83" w:name="_Hlk161521465"/>
      <w:r w:rsidRPr="00D91979">
        <w:rPr>
          <w:rFonts w:ascii="Calibri" w:eastAsia="Times New Roman" w:hAnsi="Calibri" w:cs="Calibri"/>
          <w:color w:val="FF0000"/>
          <w:szCs w:val="24"/>
          <w:shd w:val="clear" w:color="auto" w:fill="FFFFFF"/>
          <w:lang w:eastAsia="nl-NL"/>
        </w:rPr>
        <w:t>@i@</w:t>
      </w:r>
      <w:r w:rsidRPr="00D91979">
        <w:rPr>
          <w:rFonts w:eastAsia="Times New Roman" w:cs="Times New Roman"/>
          <w:color w:val="FF0000"/>
          <w:szCs w:val="24"/>
          <w:lang w:eastAsia="nl-NL"/>
        </w:rPr>
        <w:t>[[[</w:t>
      </w:r>
      <w:r w:rsidR="00E7180C">
        <w:rPr>
          <w:rFonts w:eastAsia="Times New Roman" w:cs="Times New Roman"/>
          <w:color w:val="FF0000"/>
          <w:szCs w:val="24"/>
          <w:lang w:eastAsia="nl-NL"/>
        </w:rPr>
        <w:t>75</w:t>
      </w:r>
      <w:r w:rsidRPr="00D91979">
        <w:rPr>
          <w:rFonts w:eastAsia="Times New Roman" w:cs="Times New Roman"/>
          <w:color w:val="FF0000"/>
          <w:szCs w:val="24"/>
          <w:lang w:eastAsia="nl-NL"/>
        </w:rPr>
        <w:t>-02_</w:t>
      </w:r>
      <w:r w:rsidRPr="00D91979">
        <w:rPr>
          <w:rFonts w:cstheme="minorHAnsi"/>
          <w:color w:val="FF0000"/>
        </w:rPr>
        <w:t>IJsbreker.png]]]</w:t>
      </w:r>
      <w:r w:rsidRPr="00D91979">
        <w:rPr>
          <w:rFonts w:ascii="Calibri" w:eastAsia="Times New Roman" w:hAnsi="Calibri" w:cs="Calibri"/>
          <w:color w:val="FF0000"/>
          <w:szCs w:val="24"/>
          <w:shd w:val="clear" w:color="auto" w:fill="FFFFFF"/>
          <w:lang w:eastAsia="nl-NL"/>
        </w:rPr>
        <w:t>@/i@​</w:t>
      </w:r>
      <w:r>
        <w:rPr>
          <w:rFonts w:ascii="Calibri" w:eastAsia="Times New Roman" w:hAnsi="Calibri" w:cs="Calibri"/>
          <w:color w:val="FF0000"/>
          <w:szCs w:val="24"/>
          <w:shd w:val="clear" w:color="auto" w:fill="FFFFFF"/>
          <w:lang w:eastAsia="nl-NL"/>
        </w:rPr>
        <w:br/>
      </w:r>
      <w:bookmarkEnd w:id="83"/>
    </w:p>
    <w:p w14:paraId="5A28EFFD" w14:textId="468AB136" w:rsidR="00AC756D" w:rsidRDefault="00AC756D" w:rsidP="00DE08B1">
      <w:pPr>
        <w:jc w:val="left"/>
      </w:pPr>
    </w:p>
    <w:p w14:paraId="2BB56FCC" w14:textId="6998B5A7" w:rsidR="00CD7369" w:rsidRDefault="00CD7369" w:rsidP="0026167F">
      <w:pPr>
        <w:pStyle w:val="Heading2"/>
        <w:jc w:val="left"/>
      </w:pPr>
      <w:r>
        <w:t>Concurrentie in de binnenvaart zelf</w:t>
      </w:r>
      <w:r w:rsidR="00023D2F">
        <w:br/>
      </w:r>
    </w:p>
    <w:p w14:paraId="6A8EBDE6" w14:textId="2622A87C" w:rsidR="00CD7369" w:rsidRDefault="00CD7369" w:rsidP="00DE08B1">
      <w:pPr>
        <w:jc w:val="left"/>
      </w:pPr>
      <w:r>
        <w:t xml:space="preserve">Meestal was de concurrentie in de binnenvaartsector zelf scherper dan die met het wegvervoer. De onderlinge concurrentieverhoudingen in het binnenvaartvervoer werden bepaald door vier factoren: de scheepsgrootte, de voortstuwing en uitrusting van de vaartuigen, de transportorganisatie en logistieke dienstverlening, en het aanpassingsvermogen van de ondernemers. Vervoer met grote vaartuigen is, mits de vaarwegafmetingen dit toelaten, meestal goedkoper dan met kleine schepen. Reders en schippers investeerden daarom voortdurend in grotere schepen, temeer omdat deze ook meer </w:t>
      </w:r>
      <w:proofErr w:type="spellStart"/>
      <w:r>
        <w:t>leefcomfort</w:t>
      </w:r>
      <w:proofErr w:type="spellEnd"/>
      <w:r>
        <w:t xml:space="preserve"> en prestige boden.</w:t>
      </w:r>
      <w:r w:rsidRPr="001F508E">
        <w:t xml:space="preserve"> </w:t>
      </w:r>
      <w:r>
        <w:t>Het gevolg was een verbluffende schaalvergro</w:t>
      </w:r>
      <w:r w:rsidR="00EC643B">
        <w:t xml:space="preserve">ting. </w:t>
      </w:r>
      <w:r>
        <w:t>Omstreeks 1890 bedroeg de gemiddelde scheeps</w:t>
      </w:r>
      <w:r>
        <w:softHyphen/>
        <w:t>grootte van de Nederlandse binnenschepen nog geen 50 ton, in 2018 ruim 1</w:t>
      </w:r>
      <w:r w:rsidR="00343D47">
        <w:t>.</w:t>
      </w:r>
      <w:r>
        <w:t xml:space="preserve">500 ton, terwijl de grote </w:t>
      </w:r>
      <w:proofErr w:type="spellStart"/>
      <w:r>
        <w:t>zesbaksduwstellen</w:t>
      </w:r>
      <w:proofErr w:type="spellEnd"/>
      <w:r>
        <w:t xml:space="preserve"> 18.000 ton kunnen vervoeren.</w:t>
      </w:r>
    </w:p>
    <w:p w14:paraId="50D0B585" w14:textId="43601CA0" w:rsidR="00B06BC9" w:rsidRDefault="00B06BC9" w:rsidP="0026167F">
      <w:pPr>
        <w:ind w:firstLine="708"/>
        <w:jc w:val="left"/>
      </w:pPr>
      <w:r>
        <w:t xml:space="preserve">Onderlinge concurrentie dwong reders en schippers </w:t>
      </w:r>
      <w:r w:rsidR="002A62EF">
        <w:t>óó</w:t>
      </w:r>
      <w:r>
        <w:t xml:space="preserve">k om hun vaartuigen te moderniseren. Zeilvaart en jaagpaarden maakten plaats voor stoomsleepvaart en opduwers, en later voor motorschepen en duwvaart, met steeds krachtigere en efficiëntere motoren. Radar en marifoon maakten continuvaart bij mist en duisternis mogelijk. Zware </w:t>
      </w:r>
      <w:proofErr w:type="spellStart"/>
      <w:r>
        <w:t>dekwerkzaamheden</w:t>
      </w:r>
      <w:proofErr w:type="spellEnd"/>
      <w:r>
        <w:t xml:space="preserve"> op de grootste schepen werden gemechaniseerd, waardoor de schippersvrouw een matroos kon vervangen.</w:t>
      </w:r>
      <w:r w:rsidRPr="0059100D">
        <w:t xml:space="preserve"> </w:t>
      </w:r>
      <w:r>
        <w:t xml:space="preserve">Grote rederijen beschikten lange tijd over meer kapitaal en meer gespecialiseerde krachten dan particuliere schippers en konden hun vloot dus sneller aanpassen aan nieuwe ontwikkelingen.  </w:t>
      </w:r>
    </w:p>
    <w:p w14:paraId="71D09CB6" w14:textId="77777777" w:rsidR="00B06BC9" w:rsidRDefault="00B06BC9" w:rsidP="0026167F">
      <w:pPr>
        <w:ind w:firstLine="708"/>
        <w:jc w:val="left"/>
      </w:pPr>
      <w:r>
        <w:t xml:space="preserve">Ook bij de transportorganisatie en de logistieke dienstverlening waren grote rederijen en walondernemingen met eigen vervoer lange tijd in het voordeel boven particuliere schippers. Immers, ze konden de scheepsgrootte, het scheepstype, de ladingbehandeling, de vervoersfrequentie en de aankomst- en vertrektijden beter op de klantenwensen afstemmen, ze hoefden geen provisie te betalen aan bevrachters, en ze konden betere afspraken maken met sleepvaartondernemers of beschikten zelf over sleep- of duwboten. </w:t>
      </w:r>
    </w:p>
    <w:p w14:paraId="6B18D372" w14:textId="77777777" w:rsidR="00B06BC9" w:rsidRDefault="00B06BC9" w:rsidP="007C04FF">
      <w:pPr>
        <w:ind w:firstLine="708"/>
        <w:jc w:val="left"/>
      </w:pPr>
      <w:r>
        <w:t xml:space="preserve">Daar stond tegenover dat particuliere schippers over veel meer aanpassingsvermogen beschikten dan rederijen, vooral in slechte tijden. Schippersgezinnen konden langdurig met een laag inkomen volstaan, schippers verrichtten zelf een deel van hun onderhoud, terwijl de meewerkende schippersvrouw het loon van een matroos uitspaarde. Rederijen konden hun kostenniveau slechts in beperkte mate aanpassen. </w:t>
      </w:r>
    </w:p>
    <w:p w14:paraId="3274BAD2" w14:textId="77777777" w:rsidR="00B06BC9" w:rsidRDefault="00B06BC9" w:rsidP="0026167F">
      <w:pPr>
        <w:ind w:firstLine="708"/>
        <w:jc w:val="left"/>
      </w:pPr>
      <w:r>
        <w:t xml:space="preserve">Beide laatstgenoemde factoren leidden ertoe dat de meeste rederijen na 1970 werden vervangen door bevrachtingskantoren die de regie van het vervoer verzorgen, terwijl de vloot grotendeels in handen is van particuliere schippers. </w:t>
      </w:r>
    </w:p>
    <w:p w14:paraId="5FB1EB8E" w14:textId="73462B55" w:rsidR="004F4EF9" w:rsidRDefault="004F4EF9" w:rsidP="00DE08B1">
      <w:pPr>
        <w:jc w:val="left"/>
      </w:pPr>
    </w:p>
    <w:p w14:paraId="65F94DD8" w14:textId="77777777" w:rsidR="00DE5ECA" w:rsidRDefault="00DE5ECA" w:rsidP="00DE08B1">
      <w:pPr>
        <w:jc w:val="left"/>
      </w:pPr>
    </w:p>
    <w:p w14:paraId="7ACF671D" w14:textId="50013EEA" w:rsidR="004B6976" w:rsidRDefault="004B6976" w:rsidP="00DE5ECA">
      <w:pPr>
        <w:pStyle w:val="Heading2"/>
      </w:pPr>
      <w:bookmarkStart w:id="84" w:name="_Hlk90105056"/>
      <w:r>
        <w:t>De schippers en hun gezinnen</w:t>
      </w:r>
    </w:p>
    <w:p w14:paraId="5AD77292" w14:textId="77777777" w:rsidR="00DE5ECA" w:rsidRPr="00DE5ECA" w:rsidRDefault="00DE5ECA" w:rsidP="00DE5ECA"/>
    <w:p w14:paraId="16A4F9E3" w14:textId="019A1723" w:rsidR="00186015" w:rsidRDefault="004B6976" w:rsidP="00DE08B1">
      <w:pPr>
        <w:jc w:val="left"/>
      </w:pPr>
      <w:r>
        <w:t>Door</w:t>
      </w:r>
      <w:r w:rsidR="005D2757">
        <w:t xml:space="preserve"> </w:t>
      </w:r>
      <w:r w:rsidR="00186015">
        <w:t xml:space="preserve">hun varend bestaan, zonder vaste woon- of verblijfplaats, leefden de meeste schippersgezinnen </w:t>
      </w:r>
      <w:r w:rsidR="00AF1AF6">
        <w:t xml:space="preserve">lange tijd </w:t>
      </w:r>
      <w:r w:rsidR="00186015">
        <w:t>in een aparte</w:t>
      </w:r>
      <w:r w:rsidR="004E340A">
        <w:t xml:space="preserve">, </w:t>
      </w:r>
      <w:r w:rsidR="00186015">
        <w:t>geïsoleerde gemeenschap met een eigen levenswijze en mentaliteit, die afweek van de walsamenleving.</w:t>
      </w:r>
      <w:r w:rsidR="004E340A">
        <w:t xml:space="preserve"> </w:t>
      </w:r>
      <w:r w:rsidR="00AF1AF6">
        <w:t xml:space="preserve">Omdat de leerplichtwet van 1900 niet voor schipperskinderen gold, kregen deze geen of slechts gebrekkig onderwijs. </w:t>
      </w:r>
      <w:r w:rsidR="00CE2EED">
        <w:lastRenderedPageBreak/>
        <w:t xml:space="preserve">Beide factoren </w:t>
      </w:r>
      <w:r w:rsidR="00AF1AF6">
        <w:t>leidde</w:t>
      </w:r>
      <w:r w:rsidR="00CE2EED">
        <w:t>n</w:t>
      </w:r>
      <w:r w:rsidR="00AF1AF6">
        <w:t xml:space="preserve"> ertoe dat de schippers, als groep, in ontwikkeling achterbleven bij de walbewoners, juist in een tijd waarin de vele veranderingen – ook in de binnenvaart – om kennis en inzicht vroegen.</w:t>
      </w:r>
      <w:r w:rsidR="00186015">
        <w:t xml:space="preserve"> </w:t>
      </w:r>
      <w:r w:rsidR="006F7422">
        <w:t>Dankzij hun gebrekkige opleiding, hun geïsoleerde levenswijze en de kleinschaligheid van hun ondernemingen hadden de schippers een zwakke positie bij de bevrachtingen</w:t>
      </w:r>
      <w:r w:rsidR="00CE2EED">
        <w:t xml:space="preserve">. Tegelijkertijd kampten </w:t>
      </w:r>
      <w:r w:rsidR="006F7422">
        <w:t xml:space="preserve">de schippersbonden </w:t>
      </w:r>
      <w:r w:rsidR="00CE2EED">
        <w:t xml:space="preserve">lange tijd </w:t>
      </w:r>
      <w:r w:rsidR="006F7422">
        <w:t>met een tekort aan mensen met voldoende leidinggevend vermogen en inzicht om hun eigenzinnige en heetgebakerde achterban door moeilijke tijden te loodsen.</w:t>
      </w:r>
    </w:p>
    <w:p w14:paraId="3D4B2F8B" w14:textId="46A2516B" w:rsidR="003F5502" w:rsidRDefault="00723B86" w:rsidP="00CE611E">
      <w:pPr>
        <w:ind w:firstLine="708"/>
        <w:jc w:val="left"/>
      </w:pPr>
      <w:r>
        <w:t xml:space="preserve">Aan de ontwikkelingsachterstand kwam na de Tweede Wereldoorlog een einde, </w:t>
      </w:r>
      <w:r w:rsidR="00F5750E">
        <w:t xml:space="preserve">toen de toenemende welvaart het mogelijk maakte om </w:t>
      </w:r>
      <w:r w:rsidR="00F72191">
        <w:t xml:space="preserve">meer </w:t>
      </w:r>
      <w:r w:rsidR="00F5750E">
        <w:t xml:space="preserve">schipperskinderen naar school te sturen. </w:t>
      </w:r>
      <w:r w:rsidR="00BD5639">
        <w:t xml:space="preserve">Het sluitstuk van deze ontwikkeling was de invoering van de leerplicht voor schipperskinderen, in 1969. </w:t>
      </w:r>
      <w:r w:rsidR="003F5502">
        <w:t>Betere opleidingen betekenden ook dat de kwaliteit van de schippers als ondernemer en als vervoerder aanzienlijk verbeterde. Vooral het tegenwoordige vervoer van containers en chemicaliën vraagt veel vakkennis.</w:t>
      </w:r>
    </w:p>
    <w:p w14:paraId="4D185328" w14:textId="4EB08B8F" w:rsidR="0042230A" w:rsidRPr="001D0AB2" w:rsidRDefault="003F5502" w:rsidP="001D0AB2">
      <w:pPr>
        <w:ind w:firstLine="708"/>
        <w:jc w:val="left"/>
        <w:rPr>
          <w:rFonts w:eastAsia="Calibri" w:cs="Times New Roman"/>
        </w:rPr>
      </w:pPr>
      <w:r>
        <w:t xml:space="preserve">De geïsoleerde levenswijze verdween na de Tweede Wereldoorlog door de komst van de televisie, de verbeterde opleidingen, de komst van de autotelefoon en later </w:t>
      </w:r>
      <w:r w:rsidR="00C26DC1">
        <w:t>de mobiele telefoon</w:t>
      </w:r>
      <w:r>
        <w:t xml:space="preserve">, de auto die aan boord werd meegenomen, de familieleden die een ander beroep kozen en een walwoning betrokken, en de </w:t>
      </w:r>
      <w:r w:rsidR="00BD5639">
        <w:t>S</w:t>
      </w:r>
      <w:r>
        <w:t xml:space="preserve">ociale en </w:t>
      </w:r>
      <w:r w:rsidR="00BD5639">
        <w:t>C</w:t>
      </w:r>
      <w:r>
        <w:t xml:space="preserve">ulturele </w:t>
      </w:r>
      <w:r w:rsidR="00BD5639">
        <w:t>S</w:t>
      </w:r>
      <w:r w:rsidR="00FB5AC3">
        <w:t>chippers</w:t>
      </w:r>
      <w:r>
        <w:t xml:space="preserve">centra </w:t>
      </w:r>
      <w:r w:rsidRPr="00197BB6">
        <w:rPr>
          <w:rFonts w:eastAsia="Calibri" w:cs="Times New Roman"/>
        </w:rPr>
        <w:t>met hun cursussen, lezingen, bibliotheken, sociale begeleiding en kerkelijk werk</w:t>
      </w:r>
      <w:r w:rsidR="00CE611E">
        <w:br/>
      </w:r>
    </w:p>
    <w:p w14:paraId="26F266FE" w14:textId="77777777" w:rsidR="000C6810" w:rsidRDefault="000C6810" w:rsidP="00DE08B1">
      <w:pPr>
        <w:jc w:val="left"/>
      </w:pPr>
    </w:p>
    <w:bookmarkEnd w:id="84"/>
    <w:p w14:paraId="10CC03D2" w14:textId="3B0065E5" w:rsidR="00E835E4" w:rsidRDefault="00F811D4" w:rsidP="00CE611E">
      <w:pPr>
        <w:pStyle w:val="Heading2"/>
        <w:jc w:val="left"/>
      </w:pPr>
      <w:r>
        <w:t>De rol van de overheid</w:t>
      </w:r>
      <w:r w:rsidR="00CE611E">
        <w:br/>
      </w:r>
      <w:r w:rsidR="00F5750E">
        <w:t xml:space="preserve"> </w:t>
      </w:r>
    </w:p>
    <w:p w14:paraId="1071B326" w14:textId="14064D5F" w:rsidR="008E1D6B" w:rsidRDefault="00CA6D07" w:rsidP="00DE08B1">
      <w:pPr>
        <w:jc w:val="left"/>
      </w:pPr>
      <w:r>
        <w:t xml:space="preserve">De </w:t>
      </w:r>
      <w:r w:rsidR="00722910">
        <w:t xml:space="preserve">Nederlandse </w:t>
      </w:r>
      <w:r>
        <w:t>overheid was verantwoordelijk voor de vaarwegen,</w:t>
      </w:r>
      <w:r w:rsidR="0089144C">
        <w:t xml:space="preserve"> de verkeersveiligheid en</w:t>
      </w:r>
      <w:r>
        <w:t xml:space="preserve"> </w:t>
      </w:r>
      <w:r w:rsidR="00722910">
        <w:t xml:space="preserve">de regels </w:t>
      </w:r>
      <w:r w:rsidR="00691660">
        <w:t xml:space="preserve">voor het </w:t>
      </w:r>
      <w:r w:rsidR="00722910">
        <w:t xml:space="preserve">binnenlandse </w:t>
      </w:r>
      <w:r w:rsidR="00AA124B">
        <w:t>goederen</w:t>
      </w:r>
      <w:r w:rsidR="00722910">
        <w:t>vervoer</w:t>
      </w:r>
      <w:r w:rsidR="0089144C">
        <w:t xml:space="preserve">. </w:t>
      </w:r>
      <w:r w:rsidR="00094991">
        <w:t xml:space="preserve">Gedurende de laatste 150 jaar investeerde de staat voortdurend in de verbetering van het vaarwegennet. </w:t>
      </w:r>
      <w:r w:rsidR="008E1D6B">
        <w:t>Z</w:t>
      </w:r>
      <w:r w:rsidR="005F4EF3">
        <w:t>o</w:t>
      </w:r>
      <w:r w:rsidR="00094991">
        <w:t>nder</w:t>
      </w:r>
      <w:r w:rsidR="008E1D6B">
        <w:t xml:space="preserve"> </w:t>
      </w:r>
      <w:r w:rsidR="00094991">
        <w:t xml:space="preserve">deze investeringen </w:t>
      </w:r>
      <w:r w:rsidR="005F4EF3">
        <w:t xml:space="preserve">zou de binnenvaart na de Tweede Wereldoorlog geleidelijk zijn verdwenen. Tussen de beide wereldoorlogen lag het accent vooral op betere verbindingen </w:t>
      </w:r>
      <w:r w:rsidR="002E4706">
        <w:t xml:space="preserve">vanuit de beide </w:t>
      </w:r>
      <w:r w:rsidR="005F4EF3">
        <w:t>grote zeehavens</w:t>
      </w:r>
      <w:r w:rsidR="002E4706">
        <w:t xml:space="preserve"> en de Randstad met de noordelijke, zuidelijke en oostelijke provincies. Na de Tweede Wereldoorlog </w:t>
      </w:r>
      <w:r w:rsidR="008E1D6B">
        <w:t xml:space="preserve">werden </w:t>
      </w:r>
      <w:r w:rsidR="00691660">
        <w:t xml:space="preserve">aanvankelijk vooral </w:t>
      </w:r>
      <w:r w:rsidR="008E1D6B">
        <w:t xml:space="preserve">de internationale verbindingen naar Duitsland en België </w:t>
      </w:r>
      <w:r w:rsidR="00434577">
        <w:t>verbeterd. G</w:t>
      </w:r>
      <w:r w:rsidR="00691660">
        <w:t xml:space="preserve">edurende </w:t>
      </w:r>
      <w:r w:rsidR="00434577">
        <w:t xml:space="preserve">de laatste </w:t>
      </w:r>
      <w:r w:rsidR="00691660">
        <w:t xml:space="preserve">decennia </w:t>
      </w:r>
      <w:r w:rsidR="008E1D6B">
        <w:t xml:space="preserve">werd </w:t>
      </w:r>
      <w:r w:rsidR="00691660">
        <w:t xml:space="preserve">ons </w:t>
      </w:r>
      <w:r w:rsidR="008E1D6B">
        <w:t xml:space="preserve">land beter voor het containervervoer ontsloten. </w:t>
      </w:r>
    </w:p>
    <w:p w14:paraId="7B6B8B84" w14:textId="17F7E226" w:rsidR="00253292" w:rsidRDefault="00B81757" w:rsidP="00CE611E">
      <w:pPr>
        <w:ind w:firstLine="708"/>
        <w:jc w:val="left"/>
      </w:pPr>
      <w:r>
        <w:t xml:space="preserve">In de Rijnvaart heerste gedurende bijna de hele twintigste eeuw vrije concurrentie. In het binnenlands vervoer ontstond tijdens de economische crisis van de jaren dertig een noodtoestand onder de schippers, die de regering dwong om de vrije concurrentie overboord te zetten en – als tijdelijke noodmaatregel – de zogenaamde Evenredige Vrachtverdeling (EV) </w:t>
      </w:r>
      <w:r w:rsidR="00253292">
        <w:t xml:space="preserve">in te voeren. </w:t>
      </w:r>
    </w:p>
    <w:p w14:paraId="5F59E42F" w14:textId="65979033" w:rsidR="0042230A" w:rsidRDefault="00617CA1" w:rsidP="00CE611E">
      <w:pPr>
        <w:ind w:firstLine="708"/>
        <w:jc w:val="left"/>
      </w:pPr>
      <w:r>
        <w:t xml:space="preserve">Gegeven de toenmalige omstandigheden beschikte de regering nauwelijks over beleidsalternatieven. Voortzetting van de vrije markt had tot ernstige schippersonlusten en ontwrichting van het vervoer kunnen leiden. </w:t>
      </w:r>
      <w:r w:rsidR="0042230A">
        <w:t>Het</w:t>
      </w:r>
      <w:r>
        <w:t xml:space="preserve"> EV-stelsel </w:t>
      </w:r>
      <w:r w:rsidR="0042230A">
        <w:t xml:space="preserve">functioneerde </w:t>
      </w:r>
      <w:r>
        <w:t xml:space="preserve">tot de Tweede Wereldoorlog betrekkelijk bevredigend. </w:t>
      </w:r>
    </w:p>
    <w:p w14:paraId="0A1BF9A5" w14:textId="219AEF6D" w:rsidR="00B046AE" w:rsidRDefault="005C3EC6" w:rsidP="00B046AE">
      <w:pPr>
        <w:ind w:firstLine="708"/>
        <w:jc w:val="left"/>
      </w:pPr>
      <w:r>
        <w:t xml:space="preserve">Na de Tweede Wereldoorlog leidde de voortzetting van de EV tot een volslagen mislukking. </w:t>
      </w:r>
      <w:r w:rsidR="000E66AD">
        <w:t xml:space="preserve">Omdat Rijnschepen hun toegang </w:t>
      </w:r>
      <w:r w:rsidR="004655A8">
        <w:t xml:space="preserve">tot de EV behielden, </w:t>
      </w:r>
      <w:r w:rsidR="0042230A">
        <w:t xml:space="preserve">maakte het stelsel geen einde aan de periodieke overcapaciteit. Daardoor werd het primaire EV-doel – bescherming </w:t>
      </w:r>
      <w:r w:rsidR="0042230A">
        <w:lastRenderedPageBreak/>
        <w:t xml:space="preserve">van de </w:t>
      </w:r>
      <w:r w:rsidR="005B039C">
        <w:t xml:space="preserve">kleine </w:t>
      </w:r>
      <w:r w:rsidR="0042230A">
        <w:t>particuliere schippers in tijden van crisis – niet bereikt.</w:t>
      </w:r>
      <w:r w:rsidR="005B039C" w:rsidRPr="005B039C">
        <w:t xml:space="preserve"> </w:t>
      </w:r>
      <w:r w:rsidR="005B039C">
        <w:t xml:space="preserve">Ten tweede leidde het stelsel tot een verhoging van de vrachtprijzen. Ten derde hield het onrendabele ondernemingen in stand, remde het de modernisering van de vloot en beperkte het de mogelijkheden voor logistieke innovatie. En tenslotte leidde de EV met zijn onduidelijke regels en wisselende uitzonderingsbepalingen tot eindeloze conflicten, relletjes en blokkades, die de binnenvaart bij de verladers een slechte naam bezorgden. De EV werd in 1998 opgeheven. </w:t>
      </w:r>
    </w:p>
    <w:p w14:paraId="75F836FD" w14:textId="291B7881" w:rsidR="00097169" w:rsidRPr="001D0AB2" w:rsidRDefault="00AC613C" w:rsidP="00DE08B1">
      <w:pPr>
        <w:jc w:val="left"/>
        <w:rPr>
          <w:color w:val="FF0000"/>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1D69B9" w:rsidRPr="001D69B9">
        <w:rPr>
          <w:color w:val="FF0000"/>
        </w:rPr>
        <w:t>76-55_Oranjesluizen.jpg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7BB62F17" w14:textId="32754699" w:rsidR="00396FCC" w:rsidRDefault="00396FCC" w:rsidP="00DE08B1">
      <w:pPr>
        <w:jc w:val="left"/>
        <w:rPr>
          <w:rFonts w:eastAsia="Calibri" w:cs="Times New Roman"/>
        </w:rPr>
      </w:pPr>
    </w:p>
    <w:p w14:paraId="58223A71" w14:textId="77777777" w:rsidR="00B1349F" w:rsidRDefault="00B1349F" w:rsidP="00DE08B1">
      <w:pPr>
        <w:jc w:val="left"/>
        <w:rPr>
          <w:rFonts w:eastAsia="Calibri" w:cs="Times New Roman"/>
        </w:rPr>
      </w:pPr>
    </w:p>
    <w:p w14:paraId="635FF5F6" w14:textId="2B565F6D" w:rsidR="00857CEB" w:rsidRPr="00396FCC" w:rsidRDefault="00B2574D" w:rsidP="00E87A38">
      <w:pPr>
        <w:pStyle w:val="Heading2"/>
      </w:pPr>
      <w:r w:rsidRPr="00396FCC">
        <w:t>Bijlage 1: Verbetering vaarwegen (1945-2020</w:t>
      </w:r>
      <w:r w:rsidRPr="00396FCC">
        <w:rPr>
          <w:rStyle w:val="Heading2Char"/>
          <w:color w:val="2F5496" w:themeColor="accent1" w:themeShade="BF"/>
        </w:rPr>
        <w:t>)</w:t>
      </w:r>
      <w:r w:rsidR="007B6E8E">
        <w:t>.</w:t>
      </w:r>
      <w:r w:rsidR="00857CEB" w:rsidRPr="00096BC7">
        <w:rPr>
          <w:rFonts w:ascii="Times New Roman" w:hAnsi="Times New Roman"/>
          <w:color w:val="auto"/>
          <w:vertAlign w:val="superscript"/>
        </w:rPr>
        <w:endnoteReference w:id="147"/>
      </w:r>
    </w:p>
    <w:p w14:paraId="07C88C72" w14:textId="77777777" w:rsidR="00857CEB" w:rsidRDefault="00857CEB" w:rsidP="00857CE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4733"/>
        <w:gridCol w:w="1637"/>
      </w:tblGrid>
      <w:tr w:rsidR="00857CEB" w:rsidRPr="00CD498A" w14:paraId="2FB85000" w14:textId="77777777" w:rsidTr="00AD2AE5">
        <w:trPr>
          <w:trHeight w:val="162"/>
        </w:trPr>
        <w:tc>
          <w:tcPr>
            <w:tcW w:w="1216" w:type="dxa"/>
          </w:tcPr>
          <w:p w14:paraId="33C0A364" w14:textId="77777777" w:rsidR="00857CEB" w:rsidRPr="00CD498A" w:rsidRDefault="00857CEB" w:rsidP="0046487A">
            <w:pPr>
              <w:jc w:val="center"/>
              <w:rPr>
                <w:b/>
                <w:sz w:val="20"/>
                <w:szCs w:val="20"/>
              </w:rPr>
            </w:pPr>
            <w:r w:rsidRPr="00CD498A">
              <w:rPr>
                <w:b/>
                <w:sz w:val="20"/>
                <w:szCs w:val="20"/>
              </w:rPr>
              <w:t>Vaarroute</w:t>
            </w:r>
          </w:p>
        </w:tc>
        <w:tc>
          <w:tcPr>
            <w:tcW w:w="4733" w:type="dxa"/>
          </w:tcPr>
          <w:p w14:paraId="00491317" w14:textId="77777777" w:rsidR="00857CEB" w:rsidRPr="00CD498A" w:rsidRDefault="00857CEB" w:rsidP="0046487A">
            <w:pPr>
              <w:jc w:val="center"/>
              <w:rPr>
                <w:b/>
                <w:sz w:val="20"/>
                <w:szCs w:val="20"/>
              </w:rPr>
            </w:pPr>
            <w:r w:rsidRPr="00CD498A">
              <w:rPr>
                <w:b/>
                <w:sz w:val="20"/>
                <w:szCs w:val="20"/>
              </w:rPr>
              <w:t>Project</w:t>
            </w:r>
          </w:p>
        </w:tc>
        <w:tc>
          <w:tcPr>
            <w:tcW w:w="1637" w:type="dxa"/>
          </w:tcPr>
          <w:p w14:paraId="0E6E1214" w14:textId="77777777" w:rsidR="00857CEB" w:rsidRPr="00CD498A" w:rsidRDefault="00857CEB" w:rsidP="0046487A">
            <w:pPr>
              <w:jc w:val="center"/>
              <w:rPr>
                <w:b/>
                <w:sz w:val="20"/>
                <w:szCs w:val="20"/>
              </w:rPr>
            </w:pPr>
            <w:r w:rsidRPr="00CD498A">
              <w:rPr>
                <w:b/>
                <w:sz w:val="20"/>
                <w:szCs w:val="20"/>
              </w:rPr>
              <w:t>Jaar</w:t>
            </w:r>
          </w:p>
        </w:tc>
      </w:tr>
      <w:tr w:rsidR="00857CEB" w14:paraId="435CBEFD" w14:textId="77777777" w:rsidTr="00AD2AE5">
        <w:trPr>
          <w:trHeight w:val="1385"/>
        </w:trPr>
        <w:tc>
          <w:tcPr>
            <w:tcW w:w="1216" w:type="dxa"/>
          </w:tcPr>
          <w:p w14:paraId="41AF0D3D" w14:textId="77777777" w:rsidR="00A12B8D" w:rsidRDefault="00857CEB" w:rsidP="0046487A">
            <w:pPr>
              <w:rPr>
                <w:sz w:val="20"/>
                <w:szCs w:val="20"/>
              </w:rPr>
            </w:pPr>
            <w:r w:rsidRPr="005B67A5">
              <w:rPr>
                <w:sz w:val="20"/>
                <w:szCs w:val="20"/>
              </w:rPr>
              <w:t>Rotterdam-</w:t>
            </w:r>
          </w:p>
          <w:p w14:paraId="4CE1E3D3" w14:textId="05EF2019" w:rsidR="00857CEB" w:rsidRPr="005B67A5" w:rsidRDefault="00857CEB" w:rsidP="0046487A">
            <w:pPr>
              <w:rPr>
                <w:sz w:val="20"/>
                <w:szCs w:val="20"/>
              </w:rPr>
            </w:pPr>
            <w:r w:rsidRPr="005B67A5">
              <w:rPr>
                <w:sz w:val="20"/>
                <w:szCs w:val="20"/>
              </w:rPr>
              <w:t>Duitsland</w:t>
            </w:r>
          </w:p>
        </w:tc>
        <w:tc>
          <w:tcPr>
            <w:tcW w:w="4733" w:type="dxa"/>
          </w:tcPr>
          <w:p w14:paraId="10EE012D" w14:textId="69ED633F" w:rsidR="00857CEB" w:rsidRPr="005B67A5" w:rsidRDefault="00857CEB" w:rsidP="003A048A">
            <w:pPr>
              <w:jc w:val="left"/>
              <w:rPr>
                <w:sz w:val="20"/>
                <w:szCs w:val="20"/>
              </w:rPr>
            </w:pPr>
            <w:r w:rsidRPr="005B67A5">
              <w:rPr>
                <w:sz w:val="20"/>
                <w:szCs w:val="20"/>
              </w:rPr>
              <w:t xml:space="preserve">Aanleg </w:t>
            </w:r>
            <w:proofErr w:type="spellStart"/>
            <w:r w:rsidRPr="005B67A5">
              <w:rPr>
                <w:sz w:val="20"/>
                <w:szCs w:val="20"/>
              </w:rPr>
              <w:t>Hartelkanaal</w:t>
            </w:r>
            <w:proofErr w:type="spellEnd"/>
            <w:r w:rsidRPr="005B67A5">
              <w:rPr>
                <w:sz w:val="20"/>
                <w:szCs w:val="20"/>
              </w:rPr>
              <w:t>.</w:t>
            </w:r>
          </w:p>
          <w:p w14:paraId="15AFE7ED" w14:textId="10E4D27B" w:rsidR="00857CEB" w:rsidRPr="005B67A5" w:rsidRDefault="00857CEB" w:rsidP="003A048A">
            <w:pPr>
              <w:jc w:val="left"/>
              <w:rPr>
                <w:sz w:val="20"/>
                <w:szCs w:val="20"/>
              </w:rPr>
            </w:pPr>
            <w:r w:rsidRPr="005B67A5">
              <w:rPr>
                <w:sz w:val="20"/>
                <w:szCs w:val="20"/>
              </w:rPr>
              <w:t xml:space="preserve">Aanleg </w:t>
            </w:r>
            <w:r>
              <w:rPr>
                <w:sz w:val="20"/>
                <w:szCs w:val="20"/>
              </w:rPr>
              <w:t xml:space="preserve">tweede </w:t>
            </w:r>
            <w:proofErr w:type="spellStart"/>
            <w:r w:rsidRPr="005B67A5">
              <w:rPr>
                <w:sz w:val="20"/>
                <w:szCs w:val="20"/>
              </w:rPr>
              <w:t>Hartelsluis</w:t>
            </w:r>
            <w:proofErr w:type="spellEnd"/>
            <w:r>
              <w:rPr>
                <w:sz w:val="20"/>
                <w:szCs w:val="20"/>
              </w:rPr>
              <w:t>, geschikt voor duwvaart</w:t>
            </w:r>
            <w:r w:rsidRPr="005B67A5">
              <w:rPr>
                <w:sz w:val="20"/>
                <w:szCs w:val="20"/>
              </w:rPr>
              <w:t>.</w:t>
            </w:r>
          </w:p>
          <w:p w14:paraId="18613B01" w14:textId="77777777" w:rsidR="00857CEB" w:rsidRPr="005B67A5" w:rsidRDefault="00857CEB" w:rsidP="003A048A">
            <w:pPr>
              <w:jc w:val="left"/>
              <w:rPr>
                <w:sz w:val="20"/>
                <w:szCs w:val="20"/>
              </w:rPr>
            </w:pPr>
            <w:r w:rsidRPr="005B67A5">
              <w:rPr>
                <w:sz w:val="20"/>
                <w:szCs w:val="20"/>
              </w:rPr>
              <w:t>Spoorbrug Dordrecht, bouw hefbrug.</w:t>
            </w:r>
          </w:p>
          <w:p w14:paraId="589DAB7B" w14:textId="77777777" w:rsidR="00560051" w:rsidRDefault="00857CEB" w:rsidP="003A048A">
            <w:pPr>
              <w:jc w:val="left"/>
              <w:rPr>
                <w:sz w:val="20"/>
                <w:szCs w:val="20"/>
              </w:rPr>
            </w:pPr>
            <w:r w:rsidRPr="005B67A5">
              <w:rPr>
                <w:sz w:val="20"/>
                <w:szCs w:val="20"/>
              </w:rPr>
              <w:t>Splitsingspunt Noord-</w:t>
            </w:r>
            <w:r>
              <w:rPr>
                <w:sz w:val="20"/>
                <w:szCs w:val="20"/>
              </w:rPr>
              <w:t>Beneden Merwede-</w:t>
            </w:r>
          </w:p>
          <w:p w14:paraId="652148E9" w14:textId="6FB39D12" w:rsidR="00857CEB" w:rsidRPr="005B67A5" w:rsidRDefault="00857CEB" w:rsidP="003A048A">
            <w:pPr>
              <w:jc w:val="left"/>
              <w:rPr>
                <w:sz w:val="20"/>
                <w:szCs w:val="20"/>
              </w:rPr>
            </w:pPr>
            <w:r w:rsidRPr="005B67A5">
              <w:rPr>
                <w:sz w:val="20"/>
                <w:szCs w:val="20"/>
              </w:rPr>
              <w:t>Oude Maas,</w:t>
            </w:r>
            <w:r w:rsidR="00F322FC">
              <w:rPr>
                <w:sz w:val="20"/>
                <w:szCs w:val="20"/>
              </w:rPr>
              <w:t xml:space="preserve"> </w:t>
            </w:r>
            <w:r>
              <w:rPr>
                <w:sz w:val="20"/>
                <w:szCs w:val="20"/>
              </w:rPr>
              <w:t>verruiming</w:t>
            </w:r>
            <w:r w:rsidRPr="005B67A5">
              <w:rPr>
                <w:sz w:val="20"/>
                <w:szCs w:val="20"/>
              </w:rPr>
              <w:t xml:space="preserve">. </w:t>
            </w:r>
          </w:p>
          <w:p w14:paraId="48F711A6" w14:textId="77777777" w:rsidR="00857CEB" w:rsidRPr="005B67A5" w:rsidRDefault="00857CEB" w:rsidP="003A048A">
            <w:pPr>
              <w:jc w:val="left"/>
              <w:rPr>
                <w:sz w:val="20"/>
                <w:szCs w:val="20"/>
              </w:rPr>
            </w:pPr>
            <w:r w:rsidRPr="005B67A5">
              <w:rPr>
                <w:sz w:val="20"/>
                <w:szCs w:val="20"/>
              </w:rPr>
              <w:t xml:space="preserve">Oude Maas, </w:t>
            </w:r>
            <w:proofErr w:type="spellStart"/>
            <w:r>
              <w:rPr>
                <w:sz w:val="20"/>
                <w:szCs w:val="20"/>
              </w:rPr>
              <w:t>Spijkenisserbrug</w:t>
            </w:r>
            <w:proofErr w:type="spellEnd"/>
            <w:r>
              <w:rPr>
                <w:sz w:val="20"/>
                <w:szCs w:val="20"/>
              </w:rPr>
              <w:t xml:space="preserve">, </w:t>
            </w:r>
            <w:r w:rsidRPr="005B67A5">
              <w:rPr>
                <w:sz w:val="20"/>
                <w:szCs w:val="20"/>
              </w:rPr>
              <w:t>rivierverbreding.</w:t>
            </w:r>
          </w:p>
          <w:p w14:paraId="302DFF9B" w14:textId="77777777" w:rsidR="00560051" w:rsidRDefault="00857CEB" w:rsidP="003A048A">
            <w:pPr>
              <w:jc w:val="left"/>
              <w:rPr>
                <w:sz w:val="20"/>
                <w:szCs w:val="20"/>
              </w:rPr>
            </w:pPr>
            <w:r w:rsidRPr="005B67A5">
              <w:rPr>
                <w:sz w:val="20"/>
                <w:szCs w:val="20"/>
              </w:rPr>
              <w:t xml:space="preserve">Oude Maas, bocht Heerjansdam, </w:t>
            </w:r>
          </w:p>
          <w:p w14:paraId="496CE293" w14:textId="5FFAB63C" w:rsidR="00857CEB" w:rsidRPr="005B67A5" w:rsidRDefault="00857CEB" w:rsidP="003A048A">
            <w:pPr>
              <w:jc w:val="left"/>
              <w:rPr>
                <w:sz w:val="20"/>
                <w:szCs w:val="20"/>
              </w:rPr>
            </w:pPr>
            <w:r w:rsidRPr="005B67A5">
              <w:rPr>
                <w:sz w:val="20"/>
                <w:szCs w:val="20"/>
              </w:rPr>
              <w:t>vaargeulverbreding (1).</w:t>
            </w:r>
          </w:p>
          <w:p w14:paraId="713CF000" w14:textId="77777777" w:rsidR="00857CEB" w:rsidRPr="005B67A5" w:rsidRDefault="00857CEB" w:rsidP="003A048A">
            <w:pPr>
              <w:jc w:val="left"/>
              <w:rPr>
                <w:sz w:val="20"/>
                <w:szCs w:val="20"/>
              </w:rPr>
            </w:pPr>
            <w:r w:rsidRPr="005B67A5">
              <w:rPr>
                <w:sz w:val="20"/>
                <w:szCs w:val="20"/>
              </w:rPr>
              <w:t>Baanhoekbrug, bouw beweegbare brug.</w:t>
            </w:r>
          </w:p>
          <w:p w14:paraId="49D01E98" w14:textId="77777777" w:rsidR="00857CEB" w:rsidRDefault="00857CEB" w:rsidP="003A048A">
            <w:pPr>
              <w:jc w:val="left"/>
              <w:rPr>
                <w:sz w:val="20"/>
                <w:szCs w:val="20"/>
              </w:rPr>
            </w:pPr>
            <w:proofErr w:type="spellStart"/>
            <w:r w:rsidRPr="005B67A5">
              <w:rPr>
                <w:sz w:val="20"/>
                <w:szCs w:val="20"/>
              </w:rPr>
              <w:t>Dintelhavenbrug</w:t>
            </w:r>
            <w:proofErr w:type="spellEnd"/>
            <w:r w:rsidRPr="005B67A5">
              <w:rPr>
                <w:sz w:val="20"/>
                <w:szCs w:val="20"/>
              </w:rPr>
              <w:t>, aanpassing.</w:t>
            </w:r>
          </w:p>
          <w:p w14:paraId="5D50DABD" w14:textId="77777777" w:rsidR="00412146" w:rsidRDefault="00857CEB" w:rsidP="003A048A">
            <w:pPr>
              <w:jc w:val="left"/>
              <w:rPr>
                <w:sz w:val="20"/>
                <w:szCs w:val="20"/>
              </w:rPr>
            </w:pPr>
            <w:r>
              <w:rPr>
                <w:sz w:val="20"/>
                <w:szCs w:val="20"/>
              </w:rPr>
              <w:t xml:space="preserve">Open verbinding tussen het </w:t>
            </w:r>
            <w:proofErr w:type="spellStart"/>
            <w:r>
              <w:rPr>
                <w:sz w:val="20"/>
                <w:szCs w:val="20"/>
              </w:rPr>
              <w:t>Hartelkanaal</w:t>
            </w:r>
            <w:proofErr w:type="spellEnd"/>
            <w:r>
              <w:rPr>
                <w:sz w:val="20"/>
                <w:szCs w:val="20"/>
              </w:rPr>
              <w:t xml:space="preserve"> en</w:t>
            </w:r>
          </w:p>
          <w:p w14:paraId="50328AF4" w14:textId="7E7DA9C9" w:rsidR="00857CEB" w:rsidRPr="005B67A5" w:rsidRDefault="00857CEB" w:rsidP="003A048A">
            <w:pPr>
              <w:jc w:val="left"/>
              <w:rPr>
                <w:sz w:val="20"/>
                <w:szCs w:val="20"/>
              </w:rPr>
            </w:pPr>
            <w:r>
              <w:rPr>
                <w:sz w:val="20"/>
                <w:szCs w:val="20"/>
              </w:rPr>
              <w:t>de Oude Maas</w:t>
            </w:r>
            <w:r w:rsidR="00F61941">
              <w:rPr>
                <w:sz w:val="20"/>
                <w:szCs w:val="20"/>
              </w:rPr>
              <w:t>.</w:t>
            </w:r>
          </w:p>
          <w:p w14:paraId="3E099566" w14:textId="77777777" w:rsidR="00857CEB" w:rsidRPr="005B67A5" w:rsidRDefault="00857CEB" w:rsidP="003A048A">
            <w:pPr>
              <w:jc w:val="left"/>
              <w:rPr>
                <w:sz w:val="20"/>
                <w:szCs w:val="20"/>
              </w:rPr>
            </w:pPr>
            <w:r w:rsidRPr="005B67A5">
              <w:rPr>
                <w:sz w:val="20"/>
                <w:szCs w:val="20"/>
              </w:rPr>
              <w:t>Spoorbrug Nijmegen, verwijdering rivierpijler.</w:t>
            </w:r>
          </w:p>
          <w:p w14:paraId="10B52CF8" w14:textId="77777777" w:rsidR="00857CEB" w:rsidRPr="005B67A5" w:rsidRDefault="00857CEB" w:rsidP="003A048A">
            <w:pPr>
              <w:jc w:val="left"/>
              <w:rPr>
                <w:sz w:val="20"/>
                <w:szCs w:val="20"/>
              </w:rPr>
            </w:pPr>
            <w:r w:rsidRPr="005B67A5">
              <w:rPr>
                <w:sz w:val="20"/>
                <w:szCs w:val="20"/>
              </w:rPr>
              <w:t>Waalbocht Nijmegen, vaargeulverbreding.</w:t>
            </w:r>
          </w:p>
          <w:p w14:paraId="118AE171" w14:textId="77777777" w:rsidR="00857CEB" w:rsidRPr="005B67A5" w:rsidRDefault="00857CEB" w:rsidP="003A048A">
            <w:pPr>
              <w:jc w:val="left"/>
              <w:rPr>
                <w:sz w:val="20"/>
                <w:szCs w:val="20"/>
              </w:rPr>
            </w:pPr>
            <w:r w:rsidRPr="005B67A5">
              <w:rPr>
                <w:sz w:val="20"/>
                <w:szCs w:val="20"/>
              </w:rPr>
              <w:t>Spoorbrug Dordrecht, verhoging.</w:t>
            </w:r>
          </w:p>
          <w:p w14:paraId="17F75A22" w14:textId="77777777" w:rsidR="00857CEB" w:rsidRPr="005B67A5" w:rsidRDefault="00857CEB" w:rsidP="003A048A">
            <w:pPr>
              <w:jc w:val="left"/>
              <w:rPr>
                <w:sz w:val="20"/>
                <w:szCs w:val="20"/>
              </w:rPr>
            </w:pPr>
            <w:r w:rsidRPr="005B67A5">
              <w:rPr>
                <w:sz w:val="20"/>
                <w:szCs w:val="20"/>
              </w:rPr>
              <w:t>Waalbocht St. Andries, vaargeulverbreding.</w:t>
            </w:r>
          </w:p>
          <w:p w14:paraId="71197AD6" w14:textId="77777777" w:rsidR="00C119CF" w:rsidRDefault="00857CEB" w:rsidP="003A048A">
            <w:pPr>
              <w:jc w:val="left"/>
              <w:rPr>
                <w:sz w:val="20"/>
                <w:szCs w:val="20"/>
              </w:rPr>
            </w:pPr>
            <w:r w:rsidRPr="005B67A5">
              <w:rPr>
                <w:sz w:val="20"/>
                <w:szCs w:val="20"/>
              </w:rPr>
              <w:t xml:space="preserve">Oude Maas, bocht Heerjansdam, </w:t>
            </w:r>
          </w:p>
          <w:p w14:paraId="07499908" w14:textId="7A7B8E92" w:rsidR="00857CEB" w:rsidRPr="005B67A5" w:rsidRDefault="00857CEB" w:rsidP="003A048A">
            <w:pPr>
              <w:jc w:val="left"/>
              <w:rPr>
                <w:sz w:val="20"/>
                <w:szCs w:val="20"/>
              </w:rPr>
            </w:pPr>
            <w:r w:rsidRPr="005B67A5">
              <w:rPr>
                <w:sz w:val="20"/>
                <w:szCs w:val="20"/>
              </w:rPr>
              <w:t>vaargeulverbreding (2).</w:t>
            </w:r>
          </w:p>
          <w:p w14:paraId="337202A4" w14:textId="6E0FA204" w:rsidR="00857CEB" w:rsidRPr="005B67A5" w:rsidRDefault="00857CEB" w:rsidP="003A048A">
            <w:pPr>
              <w:jc w:val="left"/>
              <w:rPr>
                <w:sz w:val="20"/>
                <w:szCs w:val="20"/>
              </w:rPr>
            </w:pPr>
            <w:r w:rsidRPr="005B67A5">
              <w:rPr>
                <w:sz w:val="20"/>
                <w:szCs w:val="20"/>
              </w:rPr>
              <w:t>Waalbocht Erlecom, vaargeulverbreding.</w:t>
            </w:r>
          </w:p>
        </w:tc>
        <w:tc>
          <w:tcPr>
            <w:tcW w:w="1637" w:type="dxa"/>
          </w:tcPr>
          <w:p w14:paraId="37DC0A59" w14:textId="0DFED3FE" w:rsidR="00857CEB" w:rsidRPr="005B67A5" w:rsidRDefault="00857CEB" w:rsidP="004D72AC">
            <w:pPr>
              <w:jc w:val="left"/>
              <w:rPr>
                <w:sz w:val="20"/>
                <w:szCs w:val="20"/>
              </w:rPr>
            </w:pPr>
            <w:r w:rsidRPr="005B67A5">
              <w:rPr>
                <w:sz w:val="20"/>
                <w:szCs w:val="20"/>
              </w:rPr>
              <w:t>1962-1968</w:t>
            </w:r>
          </w:p>
          <w:p w14:paraId="0F85B7BA" w14:textId="54CA0A32" w:rsidR="00857CEB" w:rsidRPr="005B67A5" w:rsidRDefault="007B218A" w:rsidP="004D72AC">
            <w:pPr>
              <w:jc w:val="left"/>
              <w:rPr>
                <w:sz w:val="20"/>
                <w:szCs w:val="20"/>
              </w:rPr>
            </w:pPr>
            <w:r>
              <w:rPr>
                <w:sz w:val="20"/>
                <w:szCs w:val="20"/>
              </w:rPr>
              <w:t>G</w:t>
            </w:r>
            <w:r w:rsidR="00857CEB" w:rsidRPr="005B67A5">
              <w:rPr>
                <w:sz w:val="20"/>
                <w:szCs w:val="20"/>
              </w:rPr>
              <w:t>ereed</w:t>
            </w:r>
            <w:r w:rsidR="00466599">
              <w:rPr>
                <w:sz w:val="20"/>
                <w:szCs w:val="20"/>
              </w:rPr>
              <w:t xml:space="preserve"> </w:t>
            </w:r>
            <w:r w:rsidR="00857CEB" w:rsidRPr="005B67A5">
              <w:rPr>
                <w:sz w:val="20"/>
                <w:szCs w:val="20"/>
              </w:rPr>
              <w:t>1969</w:t>
            </w:r>
          </w:p>
          <w:p w14:paraId="17E60150" w14:textId="77777777" w:rsidR="00857CEB" w:rsidRPr="005B67A5" w:rsidRDefault="00857CEB" w:rsidP="004D72AC">
            <w:pPr>
              <w:jc w:val="left"/>
              <w:rPr>
                <w:sz w:val="20"/>
                <w:szCs w:val="20"/>
              </w:rPr>
            </w:pPr>
            <w:r w:rsidRPr="005B67A5">
              <w:rPr>
                <w:sz w:val="20"/>
                <w:szCs w:val="20"/>
              </w:rPr>
              <w:t>1970</w:t>
            </w:r>
          </w:p>
          <w:p w14:paraId="30B3EA0E" w14:textId="77777777" w:rsidR="00412146" w:rsidRDefault="00412146" w:rsidP="004D72AC">
            <w:pPr>
              <w:jc w:val="left"/>
              <w:rPr>
                <w:sz w:val="20"/>
                <w:szCs w:val="20"/>
              </w:rPr>
            </w:pPr>
          </w:p>
          <w:p w14:paraId="6E061EE1" w14:textId="01E45C41" w:rsidR="00857CEB" w:rsidRPr="005B67A5" w:rsidRDefault="00857CEB" w:rsidP="004D72AC">
            <w:pPr>
              <w:jc w:val="left"/>
              <w:rPr>
                <w:sz w:val="20"/>
                <w:szCs w:val="20"/>
              </w:rPr>
            </w:pPr>
            <w:r w:rsidRPr="005B67A5">
              <w:rPr>
                <w:sz w:val="20"/>
                <w:szCs w:val="20"/>
              </w:rPr>
              <w:t>1970</w:t>
            </w:r>
            <w:r w:rsidR="000E4DBE">
              <w:rPr>
                <w:sz w:val="20"/>
                <w:szCs w:val="20"/>
              </w:rPr>
              <w:br/>
            </w:r>
            <w:r w:rsidRPr="005B67A5">
              <w:rPr>
                <w:sz w:val="20"/>
                <w:szCs w:val="20"/>
              </w:rPr>
              <w:t>1976</w:t>
            </w:r>
          </w:p>
          <w:p w14:paraId="344E1902" w14:textId="77777777" w:rsidR="00C119CF" w:rsidRDefault="00C119CF" w:rsidP="004D72AC">
            <w:pPr>
              <w:jc w:val="left"/>
              <w:rPr>
                <w:sz w:val="20"/>
                <w:szCs w:val="20"/>
              </w:rPr>
            </w:pPr>
          </w:p>
          <w:p w14:paraId="7BDB9F70" w14:textId="58D66784" w:rsidR="00857CEB" w:rsidRPr="005B67A5" w:rsidRDefault="00857CEB" w:rsidP="004D72AC">
            <w:pPr>
              <w:jc w:val="left"/>
              <w:rPr>
                <w:sz w:val="20"/>
                <w:szCs w:val="20"/>
              </w:rPr>
            </w:pPr>
            <w:r w:rsidRPr="005B67A5">
              <w:rPr>
                <w:sz w:val="20"/>
                <w:szCs w:val="20"/>
              </w:rPr>
              <w:t>1979</w:t>
            </w:r>
          </w:p>
          <w:p w14:paraId="338075B6" w14:textId="77777777" w:rsidR="00857CEB" w:rsidRPr="005B67A5" w:rsidRDefault="00857CEB" w:rsidP="004D72AC">
            <w:pPr>
              <w:jc w:val="left"/>
              <w:rPr>
                <w:sz w:val="20"/>
                <w:szCs w:val="20"/>
              </w:rPr>
            </w:pPr>
            <w:r w:rsidRPr="005B67A5">
              <w:rPr>
                <w:sz w:val="20"/>
                <w:szCs w:val="20"/>
              </w:rPr>
              <w:t>1980</w:t>
            </w:r>
          </w:p>
          <w:p w14:paraId="6230A1DB" w14:textId="688B3F35" w:rsidR="00857CEB" w:rsidRPr="005B67A5" w:rsidRDefault="00857CEB" w:rsidP="004D72AC">
            <w:pPr>
              <w:jc w:val="left"/>
              <w:rPr>
                <w:sz w:val="20"/>
                <w:szCs w:val="20"/>
              </w:rPr>
            </w:pPr>
            <w:r w:rsidRPr="005B67A5">
              <w:rPr>
                <w:sz w:val="20"/>
                <w:szCs w:val="20"/>
              </w:rPr>
              <w:t xml:space="preserve">   </w:t>
            </w:r>
            <w:r w:rsidR="00BF056C">
              <w:rPr>
                <w:sz w:val="20"/>
                <w:szCs w:val="20"/>
              </w:rPr>
              <w:t>-</w:t>
            </w:r>
          </w:p>
          <w:p w14:paraId="4A05C505" w14:textId="77777777" w:rsidR="00412146" w:rsidRDefault="00412146" w:rsidP="004D72AC">
            <w:pPr>
              <w:jc w:val="left"/>
              <w:rPr>
                <w:sz w:val="20"/>
                <w:szCs w:val="20"/>
              </w:rPr>
            </w:pPr>
          </w:p>
          <w:p w14:paraId="3D969C30" w14:textId="5A64306D" w:rsidR="00412146" w:rsidRDefault="00857CEB" w:rsidP="004D72AC">
            <w:pPr>
              <w:jc w:val="left"/>
              <w:rPr>
                <w:sz w:val="20"/>
                <w:szCs w:val="20"/>
              </w:rPr>
            </w:pPr>
            <w:r>
              <w:rPr>
                <w:sz w:val="20"/>
                <w:szCs w:val="20"/>
              </w:rPr>
              <w:t>1982</w:t>
            </w:r>
          </w:p>
          <w:p w14:paraId="5FEFC4EC" w14:textId="6BE4A4E3" w:rsidR="00857CEB" w:rsidRPr="005B67A5" w:rsidRDefault="00857CEB" w:rsidP="004D72AC">
            <w:pPr>
              <w:jc w:val="left"/>
              <w:rPr>
                <w:sz w:val="20"/>
                <w:szCs w:val="20"/>
              </w:rPr>
            </w:pPr>
            <w:r w:rsidRPr="005B67A5">
              <w:rPr>
                <w:sz w:val="20"/>
                <w:szCs w:val="20"/>
              </w:rPr>
              <w:t>1983</w:t>
            </w:r>
          </w:p>
          <w:p w14:paraId="0C628AE6" w14:textId="77777777" w:rsidR="00857CEB" w:rsidRPr="005B67A5" w:rsidRDefault="00857CEB" w:rsidP="004D72AC">
            <w:pPr>
              <w:jc w:val="left"/>
              <w:rPr>
                <w:sz w:val="20"/>
                <w:szCs w:val="20"/>
              </w:rPr>
            </w:pPr>
            <w:r w:rsidRPr="005B67A5">
              <w:rPr>
                <w:sz w:val="20"/>
                <w:szCs w:val="20"/>
              </w:rPr>
              <w:t>1988</w:t>
            </w:r>
          </w:p>
          <w:p w14:paraId="3B774204" w14:textId="77777777" w:rsidR="00857CEB" w:rsidRPr="005B67A5" w:rsidRDefault="00857CEB" w:rsidP="004D72AC">
            <w:pPr>
              <w:jc w:val="left"/>
              <w:rPr>
                <w:sz w:val="20"/>
                <w:szCs w:val="20"/>
              </w:rPr>
            </w:pPr>
            <w:r w:rsidRPr="005B67A5">
              <w:rPr>
                <w:sz w:val="20"/>
                <w:szCs w:val="20"/>
              </w:rPr>
              <w:t>1990, 1996</w:t>
            </w:r>
          </w:p>
          <w:p w14:paraId="692C7096" w14:textId="77777777" w:rsidR="00857CEB" w:rsidRPr="005B67A5" w:rsidRDefault="00857CEB" w:rsidP="004D72AC">
            <w:pPr>
              <w:jc w:val="left"/>
              <w:rPr>
                <w:sz w:val="20"/>
                <w:szCs w:val="20"/>
              </w:rPr>
            </w:pPr>
            <w:r w:rsidRPr="005B67A5">
              <w:rPr>
                <w:sz w:val="20"/>
                <w:szCs w:val="20"/>
              </w:rPr>
              <w:t>1990/1999</w:t>
            </w:r>
          </w:p>
          <w:p w14:paraId="4A54AD40" w14:textId="77777777" w:rsidR="00C119CF" w:rsidRDefault="00C119CF" w:rsidP="004D72AC">
            <w:pPr>
              <w:jc w:val="left"/>
              <w:rPr>
                <w:sz w:val="20"/>
                <w:szCs w:val="20"/>
              </w:rPr>
            </w:pPr>
          </w:p>
          <w:p w14:paraId="68E8223A" w14:textId="798A510F" w:rsidR="00857CEB" w:rsidRPr="005B67A5" w:rsidRDefault="00857CEB" w:rsidP="004D72AC">
            <w:pPr>
              <w:jc w:val="left"/>
              <w:rPr>
                <w:sz w:val="20"/>
                <w:szCs w:val="20"/>
              </w:rPr>
            </w:pPr>
            <w:r w:rsidRPr="005B67A5">
              <w:rPr>
                <w:sz w:val="20"/>
                <w:szCs w:val="20"/>
              </w:rPr>
              <w:t>ca. 1991</w:t>
            </w:r>
          </w:p>
          <w:p w14:paraId="2C75EEF4" w14:textId="68C76B90" w:rsidR="000003D3" w:rsidRPr="005B67A5" w:rsidRDefault="00857CEB" w:rsidP="004D72AC">
            <w:pPr>
              <w:jc w:val="left"/>
              <w:rPr>
                <w:sz w:val="20"/>
                <w:szCs w:val="20"/>
              </w:rPr>
            </w:pPr>
            <w:r w:rsidRPr="005B67A5">
              <w:rPr>
                <w:sz w:val="20"/>
                <w:szCs w:val="20"/>
              </w:rPr>
              <w:t>1996</w:t>
            </w:r>
          </w:p>
        </w:tc>
      </w:tr>
      <w:tr w:rsidR="00857CEB" w14:paraId="06B5D35B" w14:textId="77777777" w:rsidTr="00AD2AE5">
        <w:trPr>
          <w:trHeight w:val="840"/>
        </w:trPr>
        <w:tc>
          <w:tcPr>
            <w:tcW w:w="1216" w:type="dxa"/>
          </w:tcPr>
          <w:p w14:paraId="70526E5A" w14:textId="77777777" w:rsidR="000C56CC" w:rsidRDefault="00857CEB" w:rsidP="0046487A">
            <w:pPr>
              <w:rPr>
                <w:sz w:val="20"/>
                <w:szCs w:val="20"/>
              </w:rPr>
            </w:pPr>
            <w:r w:rsidRPr="005B67A5">
              <w:rPr>
                <w:sz w:val="20"/>
                <w:szCs w:val="20"/>
              </w:rPr>
              <w:t>Rotterdam-</w:t>
            </w:r>
          </w:p>
          <w:p w14:paraId="5817BA2A" w14:textId="1781F9A2" w:rsidR="00857CEB" w:rsidRPr="005B67A5" w:rsidRDefault="00857CEB" w:rsidP="0046487A">
            <w:pPr>
              <w:rPr>
                <w:sz w:val="20"/>
                <w:szCs w:val="20"/>
              </w:rPr>
            </w:pPr>
            <w:r w:rsidRPr="005B67A5">
              <w:rPr>
                <w:sz w:val="20"/>
                <w:szCs w:val="20"/>
              </w:rPr>
              <w:t>België</w:t>
            </w:r>
          </w:p>
        </w:tc>
        <w:tc>
          <w:tcPr>
            <w:tcW w:w="4733" w:type="dxa"/>
          </w:tcPr>
          <w:p w14:paraId="214DB753" w14:textId="2EB75AE7" w:rsidR="00857CEB" w:rsidRPr="005B67A5" w:rsidRDefault="00857CEB" w:rsidP="003A048A">
            <w:pPr>
              <w:jc w:val="left"/>
              <w:rPr>
                <w:sz w:val="20"/>
                <w:szCs w:val="20"/>
              </w:rPr>
            </w:pPr>
            <w:r w:rsidRPr="005B67A5">
              <w:rPr>
                <w:sz w:val="20"/>
                <w:szCs w:val="20"/>
              </w:rPr>
              <w:t xml:space="preserve">Aanleg Schelde-Rijnverbinding (klasse </w:t>
            </w:r>
            <w:proofErr w:type="spellStart"/>
            <w:r w:rsidRPr="005B67A5">
              <w:rPr>
                <w:sz w:val="20"/>
                <w:szCs w:val="20"/>
              </w:rPr>
              <w:t>VIb</w:t>
            </w:r>
            <w:proofErr w:type="spellEnd"/>
            <w:r w:rsidRPr="005B67A5">
              <w:rPr>
                <w:sz w:val="20"/>
                <w:szCs w:val="20"/>
              </w:rPr>
              <w:t>).</w:t>
            </w:r>
          </w:p>
          <w:p w14:paraId="3D7EAB5E" w14:textId="77777777" w:rsidR="00857CEB" w:rsidRPr="005B67A5" w:rsidRDefault="00857CEB" w:rsidP="003A048A">
            <w:pPr>
              <w:jc w:val="left"/>
              <w:rPr>
                <w:sz w:val="20"/>
                <w:szCs w:val="20"/>
              </w:rPr>
            </w:pPr>
            <w:r w:rsidRPr="005B67A5">
              <w:rPr>
                <w:sz w:val="20"/>
                <w:szCs w:val="20"/>
              </w:rPr>
              <w:t xml:space="preserve">Aanleg </w:t>
            </w:r>
            <w:proofErr w:type="spellStart"/>
            <w:r w:rsidRPr="005B67A5">
              <w:rPr>
                <w:sz w:val="20"/>
                <w:szCs w:val="20"/>
              </w:rPr>
              <w:t>Volkeraksluizen</w:t>
            </w:r>
            <w:proofErr w:type="spellEnd"/>
            <w:r w:rsidRPr="005B67A5">
              <w:rPr>
                <w:sz w:val="20"/>
                <w:szCs w:val="20"/>
              </w:rPr>
              <w:t xml:space="preserve">. </w:t>
            </w:r>
          </w:p>
          <w:p w14:paraId="222ED8B3" w14:textId="77777777" w:rsidR="0004299F" w:rsidRDefault="00857CEB" w:rsidP="003A048A">
            <w:pPr>
              <w:jc w:val="left"/>
              <w:rPr>
                <w:sz w:val="20"/>
                <w:szCs w:val="20"/>
              </w:rPr>
            </w:pPr>
            <w:r w:rsidRPr="005B67A5">
              <w:rPr>
                <w:sz w:val="20"/>
                <w:szCs w:val="20"/>
              </w:rPr>
              <w:t xml:space="preserve">Verbetering Kanaal Gent-Terneuzen (zeevaart, </w:t>
            </w:r>
          </w:p>
          <w:p w14:paraId="3F81022D" w14:textId="66DF5E3B" w:rsidR="00857CEB" w:rsidRPr="005B67A5" w:rsidRDefault="00857CEB" w:rsidP="003A048A">
            <w:pPr>
              <w:jc w:val="left"/>
              <w:rPr>
                <w:sz w:val="20"/>
                <w:szCs w:val="20"/>
              </w:rPr>
            </w:pPr>
            <w:r w:rsidRPr="005B67A5">
              <w:rPr>
                <w:sz w:val="20"/>
                <w:szCs w:val="20"/>
              </w:rPr>
              <w:t xml:space="preserve">klasse </w:t>
            </w:r>
            <w:proofErr w:type="spellStart"/>
            <w:r w:rsidRPr="005B67A5">
              <w:rPr>
                <w:sz w:val="20"/>
                <w:szCs w:val="20"/>
              </w:rPr>
              <w:t>VIb</w:t>
            </w:r>
            <w:proofErr w:type="spellEnd"/>
            <w:r w:rsidRPr="005B67A5">
              <w:rPr>
                <w:sz w:val="20"/>
                <w:szCs w:val="20"/>
              </w:rPr>
              <w:t>).</w:t>
            </w:r>
          </w:p>
          <w:p w14:paraId="533D47B2" w14:textId="77777777" w:rsidR="00857CEB" w:rsidRPr="005B67A5" w:rsidRDefault="00857CEB" w:rsidP="003A048A">
            <w:pPr>
              <w:jc w:val="left"/>
              <w:rPr>
                <w:sz w:val="20"/>
                <w:szCs w:val="20"/>
              </w:rPr>
            </w:pPr>
            <w:r w:rsidRPr="005B67A5">
              <w:rPr>
                <w:sz w:val="20"/>
                <w:szCs w:val="20"/>
              </w:rPr>
              <w:t>Aanleg Kreekraksluizen.</w:t>
            </w:r>
          </w:p>
          <w:p w14:paraId="70F45F36" w14:textId="00673F8A" w:rsidR="00857CEB" w:rsidRPr="005B67A5" w:rsidRDefault="00857CEB" w:rsidP="003A048A">
            <w:pPr>
              <w:jc w:val="left"/>
              <w:rPr>
                <w:sz w:val="20"/>
                <w:szCs w:val="20"/>
              </w:rPr>
            </w:pPr>
            <w:r w:rsidRPr="005B67A5">
              <w:rPr>
                <w:sz w:val="20"/>
                <w:szCs w:val="20"/>
              </w:rPr>
              <w:t xml:space="preserve">Uitbreiding </w:t>
            </w:r>
            <w:proofErr w:type="spellStart"/>
            <w:r w:rsidRPr="005B67A5">
              <w:rPr>
                <w:sz w:val="20"/>
                <w:szCs w:val="20"/>
              </w:rPr>
              <w:t>Volkeraksluizen</w:t>
            </w:r>
            <w:proofErr w:type="spellEnd"/>
            <w:r w:rsidRPr="005B67A5">
              <w:rPr>
                <w:sz w:val="20"/>
                <w:szCs w:val="20"/>
              </w:rPr>
              <w:t xml:space="preserve"> (3</w:t>
            </w:r>
            <w:r w:rsidRPr="005B67A5">
              <w:rPr>
                <w:sz w:val="20"/>
                <w:szCs w:val="20"/>
                <w:vertAlign w:val="superscript"/>
              </w:rPr>
              <w:t>e</w:t>
            </w:r>
            <w:r w:rsidRPr="005B67A5">
              <w:rPr>
                <w:sz w:val="20"/>
                <w:szCs w:val="20"/>
              </w:rPr>
              <w:t xml:space="preserve"> </w:t>
            </w:r>
            <w:r w:rsidR="00873323">
              <w:rPr>
                <w:sz w:val="20"/>
                <w:szCs w:val="20"/>
              </w:rPr>
              <w:t xml:space="preserve"> </w:t>
            </w:r>
            <w:r w:rsidRPr="005B67A5">
              <w:rPr>
                <w:sz w:val="20"/>
                <w:szCs w:val="20"/>
              </w:rPr>
              <w:t>schutkolk, sluis recreatievaart).</w:t>
            </w:r>
          </w:p>
          <w:p w14:paraId="69F59BDE" w14:textId="77777777" w:rsidR="00857CEB" w:rsidRPr="005B67A5" w:rsidRDefault="00857CEB" w:rsidP="003A048A">
            <w:pPr>
              <w:jc w:val="left"/>
              <w:rPr>
                <w:sz w:val="20"/>
                <w:szCs w:val="20"/>
              </w:rPr>
            </w:pPr>
            <w:r w:rsidRPr="005B67A5">
              <w:rPr>
                <w:sz w:val="20"/>
                <w:szCs w:val="20"/>
              </w:rPr>
              <w:t xml:space="preserve">Verbetering Dordtse Kil (zeevaart, klasse </w:t>
            </w:r>
            <w:proofErr w:type="spellStart"/>
            <w:r w:rsidRPr="005B67A5">
              <w:rPr>
                <w:sz w:val="20"/>
                <w:szCs w:val="20"/>
              </w:rPr>
              <w:t>VIb</w:t>
            </w:r>
            <w:proofErr w:type="spellEnd"/>
            <w:r w:rsidRPr="005B67A5">
              <w:rPr>
                <w:sz w:val="20"/>
                <w:szCs w:val="20"/>
              </w:rPr>
              <w:t>).</w:t>
            </w:r>
          </w:p>
          <w:p w14:paraId="0E697A3B" w14:textId="77777777" w:rsidR="00857CEB" w:rsidRPr="005B67A5" w:rsidRDefault="00857CEB" w:rsidP="003A048A">
            <w:pPr>
              <w:jc w:val="left"/>
              <w:rPr>
                <w:sz w:val="20"/>
                <w:szCs w:val="20"/>
              </w:rPr>
            </w:pPr>
            <w:r w:rsidRPr="005B67A5">
              <w:rPr>
                <w:sz w:val="20"/>
                <w:szCs w:val="20"/>
              </w:rPr>
              <w:t xml:space="preserve">Aanleg Krammersluizen. </w:t>
            </w:r>
          </w:p>
          <w:p w14:paraId="58761E6E" w14:textId="71FA51DF" w:rsidR="00857CEB" w:rsidRPr="005B67A5" w:rsidRDefault="00857CEB" w:rsidP="003A048A">
            <w:pPr>
              <w:jc w:val="left"/>
              <w:rPr>
                <w:sz w:val="20"/>
                <w:szCs w:val="20"/>
              </w:rPr>
            </w:pPr>
            <w:r w:rsidRPr="005B67A5">
              <w:rPr>
                <w:sz w:val="20"/>
                <w:szCs w:val="20"/>
              </w:rPr>
              <w:t xml:space="preserve">Verbetering Kanaal door Zuid-Beveland (klasse </w:t>
            </w:r>
            <w:proofErr w:type="spellStart"/>
            <w:r w:rsidRPr="005B67A5">
              <w:rPr>
                <w:sz w:val="20"/>
                <w:szCs w:val="20"/>
              </w:rPr>
              <w:t>VIb</w:t>
            </w:r>
            <w:proofErr w:type="spellEnd"/>
            <w:r w:rsidRPr="005B67A5">
              <w:rPr>
                <w:sz w:val="20"/>
                <w:szCs w:val="20"/>
              </w:rPr>
              <w:t>).</w:t>
            </w:r>
          </w:p>
        </w:tc>
        <w:tc>
          <w:tcPr>
            <w:tcW w:w="1637" w:type="dxa"/>
          </w:tcPr>
          <w:p w14:paraId="467A4996" w14:textId="35A569BD" w:rsidR="00857CEB" w:rsidRPr="005B67A5" w:rsidRDefault="00857CEB" w:rsidP="004D72AC">
            <w:pPr>
              <w:jc w:val="left"/>
              <w:rPr>
                <w:sz w:val="20"/>
                <w:szCs w:val="20"/>
              </w:rPr>
            </w:pPr>
            <w:r w:rsidRPr="005B67A5">
              <w:rPr>
                <w:sz w:val="20"/>
                <w:szCs w:val="20"/>
              </w:rPr>
              <w:t>1963-1975</w:t>
            </w:r>
          </w:p>
          <w:p w14:paraId="5C65E159" w14:textId="33AA2162" w:rsidR="00857CEB" w:rsidRPr="005B67A5" w:rsidRDefault="007B218A" w:rsidP="004D72AC">
            <w:pPr>
              <w:jc w:val="left"/>
              <w:rPr>
                <w:sz w:val="20"/>
                <w:szCs w:val="20"/>
              </w:rPr>
            </w:pPr>
            <w:r>
              <w:rPr>
                <w:sz w:val="20"/>
                <w:szCs w:val="20"/>
              </w:rPr>
              <w:t>G</w:t>
            </w:r>
            <w:r w:rsidR="00857CEB" w:rsidRPr="005B67A5">
              <w:rPr>
                <w:sz w:val="20"/>
                <w:szCs w:val="20"/>
              </w:rPr>
              <w:t>ereed 1967</w:t>
            </w:r>
          </w:p>
          <w:p w14:paraId="6BFE1CC1" w14:textId="77777777" w:rsidR="0004299F" w:rsidRDefault="0004299F" w:rsidP="004D72AC">
            <w:pPr>
              <w:jc w:val="left"/>
              <w:rPr>
                <w:sz w:val="20"/>
                <w:szCs w:val="20"/>
              </w:rPr>
            </w:pPr>
          </w:p>
          <w:p w14:paraId="4B82F5B6" w14:textId="7A3C07A4" w:rsidR="00857CEB" w:rsidRPr="005B67A5" w:rsidRDefault="00857CEB" w:rsidP="004D72AC">
            <w:pPr>
              <w:jc w:val="left"/>
              <w:rPr>
                <w:sz w:val="20"/>
                <w:szCs w:val="20"/>
              </w:rPr>
            </w:pPr>
            <w:r w:rsidRPr="005B67A5">
              <w:rPr>
                <w:sz w:val="20"/>
                <w:szCs w:val="20"/>
              </w:rPr>
              <w:t>1960-1968</w:t>
            </w:r>
          </w:p>
          <w:p w14:paraId="2BC82696" w14:textId="7BF20732" w:rsidR="002B6C7E" w:rsidRDefault="007B218A" w:rsidP="004D72AC">
            <w:pPr>
              <w:jc w:val="left"/>
              <w:rPr>
                <w:sz w:val="20"/>
                <w:szCs w:val="20"/>
              </w:rPr>
            </w:pPr>
            <w:r>
              <w:rPr>
                <w:sz w:val="20"/>
                <w:szCs w:val="20"/>
              </w:rPr>
              <w:t>G</w:t>
            </w:r>
            <w:r w:rsidR="00857CEB" w:rsidRPr="005B67A5">
              <w:rPr>
                <w:sz w:val="20"/>
                <w:szCs w:val="20"/>
              </w:rPr>
              <w:t>ereed 1975</w:t>
            </w:r>
          </w:p>
          <w:p w14:paraId="7ADF34EE" w14:textId="77777777" w:rsidR="0004299F" w:rsidRDefault="0004299F" w:rsidP="004D72AC">
            <w:pPr>
              <w:jc w:val="left"/>
              <w:rPr>
                <w:sz w:val="20"/>
                <w:szCs w:val="20"/>
              </w:rPr>
            </w:pPr>
          </w:p>
          <w:p w14:paraId="33E967F5" w14:textId="0EA213D3" w:rsidR="00857CEB" w:rsidRPr="005B67A5" w:rsidRDefault="007B218A" w:rsidP="004D72AC">
            <w:pPr>
              <w:jc w:val="left"/>
              <w:rPr>
                <w:sz w:val="20"/>
                <w:szCs w:val="20"/>
              </w:rPr>
            </w:pPr>
            <w:r>
              <w:rPr>
                <w:sz w:val="20"/>
                <w:szCs w:val="20"/>
              </w:rPr>
              <w:t>G</w:t>
            </w:r>
            <w:r w:rsidR="00857CEB" w:rsidRPr="005B67A5">
              <w:rPr>
                <w:sz w:val="20"/>
                <w:szCs w:val="20"/>
              </w:rPr>
              <w:t>ereed 1977</w:t>
            </w:r>
          </w:p>
          <w:p w14:paraId="1C45F4A7" w14:textId="77777777" w:rsidR="00857CEB" w:rsidRPr="005B67A5" w:rsidRDefault="00857CEB" w:rsidP="004D72AC">
            <w:pPr>
              <w:jc w:val="left"/>
              <w:rPr>
                <w:sz w:val="20"/>
                <w:szCs w:val="20"/>
              </w:rPr>
            </w:pPr>
            <w:r w:rsidRPr="005B67A5">
              <w:rPr>
                <w:sz w:val="20"/>
                <w:szCs w:val="20"/>
              </w:rPr>
              <w:t>1971-1980</w:t>
            </w:r>
          </w:p>
          <w:p w14:paraId="42C76B8E" w14:textId="7BF40AAF" w:rsidR="00857CEB" w:rsidRPr="005B67A5" w:rsidRDefault="007B218A" w:rsidP="004D72AC">
            <w:pPr>
              <w:jc w:val="left"/>
              <w:rPr>
                <w:sz w:val="20"/>
                <w:szCs w:val="20"/>
              </w:rPr>
            </w:pPr>
            <w:r>
              <w:rPr>
                <w:sz w:val="20"/>
                <w:szCs w:val="20"/>
              </w:rPr>
              <w:t>G</w:t>
            </w:r>
            <w:r w:rsidR="00857CEB" w:rsidRPr="005B67A5">
              <w:rPr>
                <w:sz w:val="20"/>
                <w:szCs w:val="20"/>
              </w:rPr>
              <w:t xml:space="preserve">ereed 1987 </w:t>
            </w:r>
          </w:p>
          <w:p w14:paraId="77760BF6" w14:textId="67779775" w:rsidR="00857CEB" w:rsidRPr="005B67A5" w:rsidRDefault="00857CEB" w:rsidP="004D72AC">
            <w:pPr>
              <w:jc w:val="left"/>
              <w:rPr>
                <w:sz w:val="20"/>
                <w:szCs w:val="20"/>
              </w:rPr>
            </w:pPr>
            <w:r w:rsidRPr="005B67A5">
              <w:rPr>
                <w:sz w:val="20"/>
                <w:szCs w:val="20"/>
              </w:rPr>
              <w:t xml:space="preserve">1982-1994 </w:t>
            </w:r>
          </w:p>
        </w:tc>
      </w:tr>
      <w:tr w:rsidR="00857CEB" w14:paraId="0468986F" w14:textId="77777777" w:rsidTr="00AD2AE5">
        <w:trPr>
          <w:trHeight w:val="381"/>
        </w:trPr>
        <w:tc>
          <w:tcPr>
            <w:tcW w:w="1216" w:type="dxa"/>
          </w:tcPr>
          <w:p w14:paraId="087A0E9F" w14:textId="77777777" w:rsidR="00857CEB" w:rsidRPr="005B67A5" w:rsidRDefault="00857CEB" w:rsidP="0046487A">
            <w:pPr>
              <w:rPr>
                <w:sz w:val="20"/>
                <w:szCs w:val="20"/>
              </w:rPr>
            </w:pPr>
            <w:r w:rsidRPr="005B67A5">
              <w:rPr>
                <w:sz w:val="20"/>
                <w:szCs w:val="20"/>
              </w:rPr>
              <w:t>Amsterdam-Rijnkanaal</w:t>
            </w:r>
          </w:p>
        </w:tc>
        <w:tc>
          <w:tcPr>
            <w:tcW w:w="4733" w:type="dxa"/>
          </w:tcPr>
          <w:p w14:paraId="4D8FA4F4" w14:textId="00067319" w:rsidR="00857CEB" w:rsidRPr="005B67A5" w:rsidRDefault="00857CEB" w:rsidP="003A048A">
            <w:pPr>
              <w:jc w:val="left"/>
              <w:rPr>
                <w:sz w:val="20"/>
                <w:szCs w:val="20"/>
              </w:rPr>
            </w:pPr>
            <w:r w:rsidRPr="005B67A5">
              <w:rPr>
                <w:sz w:val="20"/>
                <w:szCs w:val="20"/>
              </w:rPr>
              <w:t>Aanleg Amsterdam-Rijnkanaal (klasse V).</w:t>
            </w:r>
          </w:p>
          <w:p w14:paraId="1AB81184" w14:textId="2C118C28" w:rsidR="00857CEB" w:rsidRPr="005B67A5" w:rsidRDefault="00857CEB" w:rsidP="003A048A">
            <w:pPr>
              <w:jc w:val="left"/>
              <w:rPr>
                <w:sz w:val="20"/>
                <w:szCs w:val="20"/>
              </w:rPr>
            </w:pPr>
            <w:r w:rsidRPr="005B67A5">
              <w:rPr>
                <w:sz w:val="20"/>
                <w:szCs w:val="20"/>
              </w:rPr>
              <w:t>Aanleg Lekkanaal</w:t>
            </w:r>
            <w:r w:rsidR="00C14C7A">
              <w:rPr>
                <w:sz w:val="20"/>
                <w:szCs w:val="20"/>
              </w:rPr>
              <w:t>.</w:t>
            </w:r>
          </w:p>
          <w:p w14:paraId="2284A582" w14:textId="77777777" w:rsidR="00857CEB" w:rsidRPr="005B67A5" w:rsidRDefault="00857CEB" w:rsidP="003A048A">
            <w:pPr>
              <w:jc w:val="left"/>
              <w:rPr>
                <w:sz w:val="20"/>
                <w:szCs w:val="20"/>
              </w:rPr>
            </w:pPr>
            <w:r w:rsidRPr="005B67A5">
              <w:rPr>
                <w:sz w:val="20"/>
                <w:szCs w:val="20"/>
              </w:rPr>
              <w:t xml:space="preserve">Verbetering Amsterdam-Rijnkanaal (klasse </w:t>
            </w:r>
            <w:proofErr w:type="spellStart"/>
            <w:r w:rsidRPr="005B67A5">
              <w:rPr>
                <w:sz w:val="20"/>
                <w:szCs w:val="20"/>
              </w:rPr>
              <w:t>VIb</w:t>
            </w:r>
            <w:proofErr w:type="spellEnd"/>
            <w:r w:rsidRPr="005B67A5">
              <w:rPr>
                <w:sz w:val="20"/>
                <w:szCs w:val="20"/>
              </w:rPr>
              <w:t>).</w:t>
            </w:r>
          </w:p>
          <w:p w14:paraId="63ADDF81" w14:textId="27CFEF00" w:rsidR="00857CEB" w:rsidRPr="005B67A5" w:rsidRDefault="00857CEB" w:rsidP="003A048A">
            <w:pPr>
              <w:jc w:val="left"/>
              <w:rPr>
                <w:sz w:val="20"/>
                <w:szCs w:val="20"/>
              </w:rPr>
            </w:pPr>
            <w:r w:rsidRPr="005B67A5">
              <w:rPr>
                <w:sz w:val="20"/>
                <w:szCs w:val="20"/>
              </w:rPr>
              <w:t>Verbetering Lekkanaal, 3</w:t>
            </w:r>
            <w:r w:rsidRPr="005B67A5">
              <w:rPr>
                <w:sz w:val="20"/>
                <w:szCs w:val="20"/>
                <w:vertAlign w:val="superscript"/>
              </w:rPr>
              <w:t xml:space="preserve">e </w:t>
            </w:r>
            <w:r w:rsidR="00873323">
              <w:rPr>
                <w:sz w:val="20"/>
                <w:szCs w:val="20"/>
                <w:vertAlign w:val="superscript"/>
              </w:rPr>
              <w:t xml:space="preserve"> </w:t>
            </w:r>
            <w:r w:rsidR="00873323">
              <w:rPr>
                <w:sz w:val="20"/>
                <w:szCs w:val="20"/>
              </w:rPr>
              <w:t xml:space="preserve"> </w:t>
            </w:r>
            <w:r w:rsidRPr="005B67A5">
              <w:rPr>
                <w:sz w:val="20"/>
                <w:szCs w:val="20"/>
              </w:rPr>
              <w:t>schutkolk Beatrixsluizen</w:t>
            </w:r>
            <w:r>
              <w:rPr>
                <w:sz w:val="20"/>
                <w:szCs w:val="20"/>
              </w:rPr>
              <w:t>.</w:t>
            </w:r>
          </w:p>
        </w:tc>
        <w:tc>
          <w:tcPr>
            <w:tcW w:w="1637" w:type="dxa"/>
          </w:tcPr>
          <w:p w14:paraId="20643DD8" w14:textId="45F362DE" w:rsidR="00857CEB" w:rsidRPr="005B67A5" w:rsidRDefault="00857CEB" w:rsidP="004D72AC">
            <w:pPr>
              <w:jc w:val="left"/>
              <w:rPr>
                <w:sz w:val="20"/>
                <w:szCs w:val="20"/>
              </w:rPr>
            </w:pPr>
            <w:r w:rsidRPr="005B67A5">
              <w:rPr>
                <w:sz w:val="20"/>
                <w:szCs w:val="20"/>
              </w:rPr>
              <w:t>1931-1952</w:t>
            </w:r>
          </w:p>
          <w:p w14:paraId="40A5431D" w14:textId="4360DC1A" w:rsidR="00857CEB" w:rsidRPr="005B67A5" w:rsidRDefault="007B218A" w:rsidP="004D72AC">
            <w:pPr>
              <w:jc w:val="left"/>
              <w:rPr>
                <w:sz w:val="20"/>
                <w:szCs w:val="20"/>
              </w:rPr>
            </w:pPr>
            <w:r>
              <w:rPr>
                <w:sz w:val="20"/>
                <w:szCs w:val="20"/>
              </w:rPr>
              <w:t>G</w:t>
            </w:r>
            <w:r w:rsidR="00857CEB" w:rsidRPr="005B67A5">
              <w:rPr>
                <w:sz w:val="20"/>
                <w:szCs w:val="20"/>
              </w:rPr>
              <w:t>ereed 1938</w:t>
            </w:r>
          </w:p>
          <w:p w14:paraId="1F0C797E" w14:textId="77777777" w:rsidR="00857CEB" w:rsidRPr="005B67A5" w:rsidRDefault="00857CEB" w:rsidP="004D72AC">
            <w:pPr>
              <w:jc w:val="left"/>
              <w:rPr>
                <w:sz w:val="20"/>
                <w:szCs w:val="20"/>
              </w:rPr>
            </w:pPr>
            <w:r w:rsidRPr="005B67A5">
              <w:rPr>
                <w:sz w:val="20"/>
                <w:szCs w:val="20"/>
              </w:rPr>
              <w:t>1965-1981</w:t>
            </w:r>
          </w:p>
          <w:p w14:paraId="3C9D94F7" w14:textId="77777777" w:rsidR="00857CEB" w:rsidRPr="005B67A5" w:rsidRDefault="00857CEB" w:rsidP="004D72AC">
            <w:pPr>
              <w:jc w:val="left"/>
              <w:rPr>
                <w:sz w:val="20"/>
                <w:szCs w:val="20"/>
              </w:rPr>
            </w:pPr>
            <w:r>
              <w:rPr>
                <w:sz w:val="20"/>
                <w:szCs w:val="20"/>
              </w:rPr>
              <w:t>2019</w:t>
            </w:r>
          </w:p>
        </w:tc>
      </w:tr>
      <w:tr w:rsidR="00857CEB" w14:paraId="7CDCC7E0" w14:textId="77777777" w:rsidTr="00AD2AE5">
        <w:trPr>
          <w:trHeight w:val="265"/>
        </w:trPr>
        <w:tc>
          <w:tcPr>
            <w:tcW w:w="1216" w:type="dxa"/>
          </w:tcPr>
          <w:p w14:paraId="3BAC7F7D" w14:textId="77777777" w:rsidR="00857CEB" w:rsidRPr="005B67A5" w:rsidRDefault="00857CEB" w:rsidP="0046487A">
            <w:pPr>
              <w:rPr>
                <w:sz w:val="20"/>
                <w:szCs w:val="20"/>
              </w:rPr>
            </w:pPr>
            <w:r w:rsidRPr="005B67A5">
              <w:rPr>
                <w:sz w:val="20"/>
                <w:szCs w:val="20"/>
              </w:rPr>
              <w:t>Maasroute</w:t>
            </w:r>
          </w:p>
          <w:p w14:paraId="63A3BBD8" w14:textId="77777777" w:rsidR="00857CEB" w:rsidRPr="005B67A5" w:rsidRDefault="00857CEB" w:rsidP="0046487A">
            <w:pPr>
              <w:rPr>
                <w:sz w:val="20"/>
                <w:szCs w:val="20"/>
              </w:rPr>
            </w:pPr>
          </w:p>
        </w:tc>
        <w:tc>
          <w:tcPr>
            <w:tcW w:w="4733" w:type="dxa"/>
          </w:tcPr>
          <w:p w14:paraId="2C603886" w14:textId="77777777" w:rsidR="00560051" w:rsidRDefault="00857CEB" w:rsidP="003A048A">
            <w:pPr>
              <w:jc w:val="left"/>
              <w:rPr>
                <w:sz w:val="20"/>
                <w:szCs w:val="20"/>
              </w:rPr>
            </w:pPr>
            <w:r>
              <w:rPr>
                <w:sz w:val="20"/>
                <w:szCs w:val="20"/>
              </w:rPr>
              <w:t>Vergroting</w:t>
            </w:r>
            <w:r w:rsidRPr="005B67A5">
              <w:rPr>
                <w:sz w:val="20"/>
                <w:szCs w:val="20"/>
              </w:rPr>
              <w:t xml:space="preserve"> Julianakanaal. Uitbreiding </w:t>
            </w:r>
          </w:p>
          <w:p w14:paraId="1B6A3AB7" w14:textId="02652E19" w:rsidR="00857CEB" w:rsidRPr="005B67A5" w:rsidRDefault="00857CEB" w:rsidP="003A048A">
            <w:pPr>
              <w:jc w:val="left"/>
              <w:rPr>
                <w:sz w:val="20"/>
                <w:szCs w:val="20"/>
              </w:rPr>
            </w:pPr>
            <w:r w:rsidRPr="005B67A5">
              <w:rPr>
                <w:sz w:val="20"/>
                <w:szCs w:val="20"/>
              </w:rPr>
              <w:t>sluiscomplexen Born en Maasbracht.</w:t>
            </w:r>
          </w:p>
          <w:p w14:paraId="555B51E0" w14:textId="1DAC91EF" w:rsidR="00857CEB" w:rsidRPr="005B67A5" w:rsidRDefault="00857CEB" w:rsidP="003A048A">
            <w:pPr>
              <w:jc w:val="left"/>
              <w:rPr>
                <w:sz w:val="20"/>
                <w:szCs w:val="20"/>
              </w:rPr>
            </w:pPr>
            <w:r w:rsidRPr="005B67A5">
              <w:rPr>
                <w:sz w:val="20"/>
                <w:szCs w:val="20"/>
              </w:rPr>
              <w:t>Suis Ternaaien, bouw 2</w:t>
            </w:r>
            <w:r w:rsidRPr="005B67A5">
              <w:rPr>
                <w:sz w:val="20"/>
                <w:szCs w:val="20"/>
                <w:vertAlign w:val="superscript"/>
              </w:rPr>
              <w:t>e</w:t>
            </w:r>
            <w:r w:rsidR="00873323">
              <w:rPr>
                <w:sz w:val="20"/>
                <w:szCs w:val="20"/>
                <w:vertAlign w:val="superscript"/>
              </w:rPr>
              <w:t xml:space="preserve"> </w:t>
            </w:r>
            <w:r w:rsidRPr="005B67A5">
              <w:rPr>
                <w:sz w:val="20"/>
                <w:szCs w:val="20"/>
                <w:vertAlign w:val="superscript"/>
              </w:rPr>
              <w:t xml:space="preserve"> </w:t>
            </w:r>
            <w:r w:rsidRPr="005B67A5">
              <w:rPr>
                <w:sz w:val="20"/>
                <w:szCs w:val="20"/>
              </w:rPr>
              <w:t>schutkolk (klasse</w:t>
            </w:r>
            <w:r>
              <w:rPr>
                <w:sz w:val="20"/>
                <w:szCs w:val="20"/>
              </w:rPr>
              <w:t xml:space="preserve"> </w:t>
            </w:r>
            <w:r w:rsidRPr="005B67A5">
              <w:rPr>
                <w:sz w:val="20"/>
                <w:szCs w:val="20"/>
              </w:rPr>
              <w:t>Va)</w:t>
            </w:r>
            <w:r w:rsidR="00B62937">
              <w:rPr>
                <w:sz w:val="20"/>
                <w:szCs w:val="20"/>
              </w:rPr>
              <w:t>.</w:t>
            </w:r>
          </w:p>
          <w:p w14:paraId="7B0300FA" w14:textId="77777777" w:rsidR="00C14C7A" w:rsidRDefault="00857CEB" w:rsidP="003A048A">
            <w:pPr>
              <w:jc w:val="left"/>
              <w:rPr>
                <w:sz w:val="20"/>
                <w:szCs w:val="20"/>
              </w:rPr>
            </w:pPr>
            <w:r w:rsidRPr="005B67A5">
              <w:rPr>
                <w:sz w:val="20"/>
                <w:szCs w:val="20"/>
              </w:rPr>
              <w:lastRenderedPageBreak/>
              <w:t>Verbetering Maasroute. Uitbreiding sluiscomplexen</w:t>
            </w:r>
            <w:r w:rsidR="00C14C7A">
              <w:rPr>
                <w:sz w:val="20"/>
                <w:szCs w:val="20"/>
              </w:rPr>
              <w:t>.</w:t>
            </w:r>
            <w:r w:rsidRPr="005B67A5">
              <w:rPr>
                <w:sz w:val="20"/>
                <w:szCs w:val="20"/>
              </w:rPr>
              <w:t xml:space="preserve"> Belfeld, Sambeek en Grave; aanleg lateraal kanaal </w:t>
            </w:r>
          </w:p>
          <w:p w14:paraId="2B60DE96" w14:textId="02686BFA" w:rsidR="00857CEB" w:rsidRPr="005B67A5" w:rsidRDefault="00857CEB" w:rsidP="003A048A">
            <w:pPr>
              <w:jc w:val="left"/>
              <w:rPr>
                <w:sz w:val="20"/>
                <w:szCs w:val="20"/>
              </w:rPr>
            </w:pPr>
            <w:r w:rsidRPr="005B67A5">
              <w:rPr>
                <w:sz w:val="20"/>
                <w:szCs w:val="20"/>
              </w:rPr>
              <w:t>Linne-Buggenum, bouw sluizencomplex Linne.</w:t>
            </w:r>
          </w:p>
          <w:p w14:paraId="3E47DCA9" w14:textId="77777777" w:rsidR="00857CEB" w:rsidRPr="005B67A5" w:rsidRDefault="00857CEB" w:rsidP="003A048A">
            <w:pPr>
              <w:jc w:val="left"/>
              <w:rPr>
                <w:sz w:val="20"/>
                <w:szCs w:val="20"/>
              </w:rPr>
            </w:pPr>
            <w:r w:rsidRPr="005B67A5">
              <w:rPr>
                <w:sz w:val="20"/>
                <w:szCs w:val="20"/>
              </w:rPr>
              <w:t>Ver</w:t>
            </w:r>
            <w:r>
              <w:rPr>
                <w:sz w:val="20"/>
                <w:szCs w:val="20"/>
              </w:rPr>
              <w:t>groting</w:t>
            </w:r>
            <w:r w:rsidRPr="005B67A5">
              <w:rPr>
                <w:sz w:val="20"/>
                <w:szCs w:val="20"/>
              </w:rPr>
              <w:t xml:space="preserve"> Maas-Waalkanaal.</w:t>
            </w:r>
          </w:p>
          <w:p w14:paraId="65E913C3" w14:textId="6F1090F7" w:rsidR="00857CEB" w:rsidRPr="005B67A5" w:rsidRDefault="00857CEB" w:rsidP="003A048A">
            <w:pPr>
              <w:jc w:val="left"/>
              <w:rPr>
                <w:sz w:val="20"/>
                <w:szCs w:val="20"/>
              </w:rPr>
            </w:pPr>
            <w:r w:rsidRPr="005B67A5">
              <w:rPr>
                <w:sz w:val="20"/>
                <w:szCs w:val="20"/>
              </w:rPr>
              <w:t>Sluis Weurt, bouw 2</w:t>
            </w:r>
            <w:r w:rsidRPr="005B67A5">
              <w:rPr>
                <w:sz w:val="20"/>
                <w:szCs w:val="20"/>
                <w:vertAlign w:val="superscript"/>
              </w:rPr>
              <w:t xml:space="preserve">e </w:t>
            </w:r>
            <w:r w:rsidR="00873323">
              <w:rPr>
                <w:sz w:val="20"/>
                <w:szCs w:val="20"/>
                <w:vertAlign w:val="superscript"/>
              </w:rPr>
              <w:t xml:space="preserve"> </w:t>
            </w:r>
            <w:r w:rsidRPr="005B67A5">
              <w:rPr>
                <w:sz w:val="20"/>
                <w:szCs w:val="20"/>
              </w:rPr>
              <w:t>schutkolk.</w:t>
            </w:r>
          </w:p>
          <w:p w14:paraId="39A80DE9" w14:textId="77777777" w:rsidR="00857CEB" w:rsidRPr="005B67A5" w:rsidRDefault="00857CEB" w:rsidP="003A048A">
            <w:pPr>
              <w:jc w:val="left"/>
              <w:rPr>
                <w:sz w:val="20"/>
                <w:szCs w:val="20"/>
              </w:rPr>
            </w:pPr>
            <w:r w:rsidRPr="005B67A5">
              <w:rPr>
                <w:sz w:val="20"/>
                <w:szCs w:val="20"/>
              </w:rPr>
              <w:t>Maas, afsnijding bocht Boxmeer.</w:t>
            </w:r>
          </w:p>
          <w:p w14:paraId="7F2A76F6" w14:textId="699635E2" w:rsidR="00857CEB" w:rsidRPr="005B67A5" w:rsidRDefault="00857CEB" w:rsidP="003A048A">
            <w:pPr>
              <w:jc w:val="left"/>
              <w:rPr>
                <w:sz w:val="20"/>
                <w:szCs w:val="20"/>
              </w:rPr>
            </w:pPr>
            <w:r w:rsidRPr="005B67A5">
              <w:rPr>
                <w:sz w:val="20"/>
                <w:szCs w:val="20"/>
              </w:rPr>
              <w:t>Prinses Maximasluizen, bouw 2</w:t>
            </w:r>
            <w:r w:rsidRPr="005B67A5">
              <w:rPr>
                <w:sz w:val="20"/>
                <w:szCs w:val="20"/>
                <w:vertAlign w:val="superscript"/>
              </w:rPr>
              <w:t xml:space="preserve">e </w:t>
            </w:r>
            <w:r w:rsidR="00873323">
              <w:rPr>
                <w:sz w:val="20"/>
                <w:szCs w:val="20"/>
                <w:vertAlign w:val="superscript"/>
              </w:rPr>
              <w:t xml:space="preserve"> </w:t>
            </w:r>
            <w:r w:rsidRPr="005B67A5">
              <w:rPr>
                <w:sz w:val="20"/>
                <w:szCs w:val="20"/>
              </w:rPr>
              <w:t>schutkolk.</w:t>
            </w:r>
          </w:p>
          <w:p w14:paraId="1E6BA2D3" w14:textId="5615FB65" w:rsidR="00B30EF7" w:rsidRPr="00B30EF7" w:rsidRDefault="00857CEB" w:rsidP="00B30EF7">
            <w:pPr>
              <w:jc w:val="left"/>
              <w:rPr>
                <w:sz w:val="20"/>
                <w:szCs w:val="20"/>
              </w:rPr>
            </w:pPr>
            <w:r w:rsidRPr="005B67A5">
              <w:rPr>
                <w:sz w:val="20"/>
                <w:szCs w:val="20"/>
              </w:rPr>
              <w:t xml:space="preserve">Julianakanaal, </w:t>
            </w:r>
            <w:r>
              <w:rPr>
                <w:sz w:val="20"/>
                <w:szCs w:val="20"/>
              </w:rPr>
              <w:t>vergroting</w:t>
            </w:r>
            <w:r w:rsidRPr="005B67A5">
              <w:rPr>
                <w:sz w:val="20"/>
                <w:szCs w:val="20"/>
              </w:rPr>
              <w:t xml:space="preserve"> (klasse </w:t>
            </w:r>
            <w:proofErr w:type="spellStart"/>
            <w:r w:rsidRPr="005B67A5">
              <w:rPr>
                <w:sz w:val="20"/>
                <w:szCs w:val="20"/>
              </w:rPr>
              <w:t>Vb</w:t>
            </w:r>
            <w:proofErr w:type="spellEnd"/>
            <w:r w:rsidRPr="005B67A5">
              <w:rPr>
                <w:sz w:val="20"/>
                <w:szCs w:val="20"/>
              </w:rPr>
              <w:t>).</w:t>
            </w:r>
          </w:p>
        </w:tc>
        <w:tc>
          <w:tcPr>
            <w:tcW w:w="1637" w:type="dxa"/>
          </w:tcPr>
          <w:p w14:paraId="444022AF" w14:textId="77777777" w:rsidR="00C14C7A" w:rsidRDefault="00C14C7A" w:rsidP="004D72AC">
            <w:pPr>
              <w:jc w:val="left"/>
              <w:rPr>
                <w:sz w:val="20"/>
                <w:szCs w:val="20"/>
              </w:rPr>
            </w:pPr>
          </w:p>
          <w:p w14:paraId="459EDDB8" w14:textId="3D4968A4" w:rsidR="00857CEB" w:rsidRPr="005B67A5" w:rsidRDefault="00857CEB" w:rsidP="004D72AC">
            <w:pPr>
              <w:jc w:val="left"/>
              <w:rPr>
                <w:sz w:val="20"/>
                <w:szCs w:val="20"/>
              </w:rPr>
            </w:pPr>
            <w:r>
              <w:rPr>
                <w:sz w:val="20"/>
                <w:szCs w:val="20"/>
              </w:rPr>
              <w:t>1956-1970</w:t>
            </w:r>
          </w:p>
          <w:p w14:paraId="7AACC424" w14:textId="35DE3EC3" w:rsidR="00857CEB" w:rsidRPr="005B67A5" w:rsidRDefault="00857CEB" w:rsidP="004D72AC">
            <w:pPr>
              <w:jc w:val="left"/>
              <w:rPr>
                <w:sz w:val="20"/>
                <w:szCs w:val="20"/>
              </w:rPr>
            </w:pPr>
            <w:r w:rsidRPr="005B67A5">
              <w:rPr>
                <w:sz w:val="20"/>
                <w:szCs w:val="20"/>
              </w:rPr>
              <w:t>1959-1961</w:t>
            </w:r>
          </w:p>
          <w:p w14:paraId="50ED9349" w14:textId="77777777" w:rsidR="00857CEB" w:rsidRDefault="00857CEB" w:rsidP="004D72AC">
            <w:pPr>
              <w:jc w:val="left"/>
              <w:rPr>
                <w:sz w:val="20"/>
                <w:szCs w:val="20"/>
              </w:rPr>
            </w:pPr>
          </w:p>
          <w:p w14:paraId="45383B40" w14:textId="77777777" w:rsidR="00857CEB" w:rsidRDefault="00857CEB" w:rsidP="004D72AC">
            <w:pPr>
              <w:jc w:val="left"/>
              <w:rPr>
                <w:sz w:val="20"/>
                <w:szCs w:val="20"/>
              </w:rPr>
            </w:pPr>
          </w:p>
          <w:p w14:paraId="1945D706" w14:textId="77777777" w:rsidR="00857CEB" w:rsidRPr="005B67A5" w:rsidRDefault="00857CEB" w:rsidP="004D72AC">
            <w:pPr>
              <w:jc w:val="left"/>
              <w:rPr>
                <w:sz w:val="20"/>
                <w:szCs w:val="20"/>
              </w:rPr>
            </w:pPr>
            <w:r w:rsidRPr="005B67A5">
              <w:rPr>
                <w:sz w:val="20"/>
                <w:szCs w:val="20"/>
              </w:rPr>
              <w:t>1964-1970</w:t>
            </w:r>
          </w:p>
          <w:p w14:paraId="2756D3AD" w14:textId="77777777" w:rsidR="00857CEB" w:rsidRPr="005B67A5" w:rsidRDefault="00857CEB" w:rsidP="004D72AC">
            <w:pPr>
              <w:jc w:val="left"/>
              <w:rPr>
                <w:sz w:val="20"/>
                <w:szCs w:val="20"/>
              </w:rPr>
            </w:pPr>
            <w:r w:rsidRPr="005B67A5">
              <w:rPr>
                <w:sz w:val="20"/>
                <w:szCs w:val="20"/>
              </w:rPr>
              <w:t>1970-1977</w:t>
            </w:r>
          </w:p>
          <w:p w14:paraId="49036D29" w14:textId="77777777" w:rsidR="00857CEB" w:rsidRPr="005B67A5" w:rsidRDefault="00857CEB" w:rsidP="004D72AC">
            <w:pPr>
              <w:jc w:val="left"/>
              <w:rPr>
                <w:sz w:val="20"/>
                <w:szCs w:val="20"/>
              </w:rPr>
            </w:pPr>
            <w:r w:rsidRPr="005B67A5">
              <w:rPr>
                <w:sz w:val="20"/>
                <w:szCs w:val="20"/>
              </w:rPr>
              <w:t>1977</w:t>
            </w:r>
          </w:p>
          <w:p w14:paraId="237FAB84" w14:textId="77777777" w:rsidR="00857CEB" w:rsidRPr="005B67A5" w:rsidRDefault="00857CEB" w:rsidP="004D72AC">
            <w:pPr>
              <w:jc w:val="left"/>
              <w:rPr>
                <w:sz w:val="20"/>
                <w:szCs w:val="20"/>
              </w:rPr>
            </w:pPr>
            <w:r w:rsidRPr="005B67A5">
              <w:rPr>
                <w:sz w:val="20"/>
                <w:szCs w:val="20"/>
              </w:rPr>
              <w:t>1979-1982</w:t>
            </w:r>
          </w:p>
          <w:p w14:paraId="73E3B6D3" w14:textId="77777777" w:rsidR="00857CEB" w:rsidRPr="005B67A5" w:rsidRDefault="00857CEB" w:rsidP="004D72AC">
            <w:pPr>
              <w:jc w:val="left"/>
              <w:rPr>
                <w:sz w:val="20"/>
                <w:szCs w:val="20"/>
              </w:rPr>
            </w:pPr>
            <w:r w:rsidRPr="005B67A5">
              <w:rPr>
                <w:sz w:val="20"/>
                <w:szCs w:val="20"/>
              </w:rPr>
              <w:t xml:space="preserve">2002 </w:t>
            </w:r>
          </w:p>
          <w:p w14:paraId="01E9AE9F" w14:textId="1A2FB75E" w:rsidR="00857CEB" w:rsidRPr="005B67A5" w:rsidRDefault="007B218A" w:rsidP="004D72AC">
            <w:pPr>
              <w:jc w:val="left"/>
              <w:rPr>
                <w:sz w:val="20"/>
                <w:szCs w:val="20"/>
              </w:rPr>
            </w:pPr>
            <w:r>
              <w:rPr>
                <w:sz w:val="20"/>
                <w:szCs w:val="20"/>
              </w:rPr>
              <w:t>I</w:t>
            </w:r>
            <w:r w:rsidR="00857CEB" w:rsidRPr="005B67A5">
              <w:rPr>
                <w:sz w:val="20"/>
                <w:szCs w:val="20"/>
              </w:rPr>
              <w:t>n uitvoering</w:t>
            </w:r>
          </w:p>
        </w:tc>
      </w:tr>
      <w:tr w:rsidR="00857CEB" w14:paraId="59F54216" w14:textId="77777777" w:rsidTr="00AD2AE5">
        <w:trPr>
          <w:trHeight w:val="1690"/>
        </w:trPr>
        <w:tc>
          <w:tcPr>
            <w:tcW w:w="1216" w:type="dxa"/>
          </w:tcPr>
          <w:p w14:paraId="7CD79952" w14:textId="77777777" w:rsidR="000C56CC" w:rsidRDefault="00857CEB" w:rsidP="0046487A">
            <w:pPr>
              <w:rPr>
                <w:sz w:val="20"/>
                <w:szCs w:val="20"/>
              </w:rPr>
            </w:pPr>
            <w:r>
              <w:rPr>
                <w:sz w:val="20"/>
                <w:szCs w:val="20"/>
              </w:rPr>
              <w:lastRenderedPageBreak/>
              <w:t>Amsterdam-</w:t>
            </w:r>
          </w:p>
          <w:p w14:paraId="3CECCC78" w14:textId="25605CDF" w:rsidR="00857CEB" w:rsidRPr="005B67A5" w:rsidRDefault="00857CEB" w:rsidP="0046487A">
            <w:pPr>
              <w:rPr>
                <w:sz w:val="20"/>
                <w:szCs w:val="20"/>
              </w:rPr>
            </w:pPr>
            <w:r>
              <w:rPr>
                <w:sz w:val="20"/>
                <w:szCs w:val="20"/>
              </w:rPr>
              <w:t>Delfzijl</w:t>
            </w:r>
          </w:p>
        </w:tc>
        <w:tc>
          <w:tcPr>
            <w:tcW w:w="4733" w:type="dxa"/>
          </w:tcPr>
          <w:p w14:paraId="636CFE52" w14:textId="5E95906B" w:rsidR="00857CEB" w:rsidRDefault="00857CEB" w:rsidP="003A048A">
            <w:pPr>
              <w:jc w:val="left"/>
              <w:rPr>
                <w:sz w:val="20"/>
                <w:szCs w:val="20"/>
              </w:rPr>
            </w:pPr>
            <w:r>
              <w:rPr>
                <w:sz w:val="20"/>
                <w:szCs w:val="20"/>
              </w:rPr>
              <w:t>Aanleg Prinses Margrietkanaal (klasse IV).</w:t>
            </w:r>
          </w:p>
          <w:p w14:paraId="67656AC0" w14:textId="77777777" w:rsidR="00857CEB" w:rsidRDefault="00857CEB" w:rsidP="003A048A">
            <w:pPr>
              <w:jc w:val="left"/>
              <w:rPr>
                <w:sz w:val="20"/>
                <w:szCs w:val="20"/>
              </w:rPr>
            </w:pPr>
            <w:r>
              <w:rPr>
                <w:sz w:val="20"/>
                <w:szCs w:val="20"/>
              </w:rPr>
              <w:t xml:space="preserve">Aanleg Van </w:t>
            </w:r>
            <w:proofErr w:type="spellStart"/>
            <w:r>
              <w:rPr>
                <w:sz w:val="20"/>
                <w:szCs w:val="20"/>
              </w:rPr>
              <w:t>Harinxmakanaal</w:t>
            </w:r>
            <w:proofErr w:type="spellEnd"/>
            <w:r>
              <w:rPr>
                <w:sz w:val="20"/>
                <w:szCs w:val="20"/>
              </w:rPr>
              <w:t xml:space="preserve"> (klasse IV).</w:t>
            </w:r>
          </w:p>
          <w:p w14:paraId="38BD3539" w14:textId="77777777" w:rsidR="00857CEB" w:rsidRDefault="00857CEB" w:rsidP="003A048A">
            <w:pPr>
              <w:jc w:val="left"/>
              <w:rPr>
                <w:sz w:val="20"/>
                <w:szCs w:val="20"/>
              </w:rPr>
            </w:pPr>
            <w:r>
              <w:rPr>
                <w:sz w:val="20"/>
                <w:szCs w:val="20"/>
              </w:rPr>
              <w:t>Vergroting Eemskanaal (klasse V).</w:t>
            </w:r>
          </w:p>
          <w:p w14:paraId="4DAF8DA5" w14:textId="77777777" w:rsidR="00857CEB" w:rsidRDefault="00857CEB" w:rsidP="003A048A">
            <w:pPr>
              <w:jc w:val="left"/>
              <w:rPr>
                <w:sz w:val="20"/>
                <w:szCs w:val="20"/>
              </w:rPr>
            </w:pPr>
            <w:r>
              <w:rPr>
                <w:sz w:val="20"/>
                <w:szCs w:val="20"/>
              </w:rPr>
              <w:t>Nieuwe zeesluizen Delfzijl.</w:t>
            </w:r>
          </w:p>
          <w:p w14:paraId="62D9C6C9" w14:textId="77777777" w:rsidR="00857CEB" w:rsidRDefault="00857CEB" w:rsidP="003A048A">
            <w:pPr>
              <w:jc w:val="left"/>
              <w:rPr>
                <w:sz w:val="20"/>
                <w:szCs w:val="20"/>
              </w:rPr>
            </w:pPr>
            <w:r>
              <w:rPr>
                <w:sz w:val="20"/>
                <w:szCs w:val="20"/>
              </w:rPr>
              <w:t>Aansluiting Drachten.</w:t>
            </w:r>
          </w:p>
          <w:p w14:paraId="57ABF0AC" w14:textId="77777777" w:rsidR="00857CEB" w:rsidRDefault="00857CEB" w:rsidP="003A048A">
            <w:pPr>
              <w:jc w:val="left"/>
              <w:rPr>
                <w:sz w:val="20"/>
                <w:szCs w:val="20"/>
              </w:rPr>
            </w:pPr>
            <w:r>
              <w:rPr>
                <w:sz w:val="20"/>
                <w:szCs w:val="20"/>
              </w:rPr>
              <w:t>Aansluiting Sneek.</w:t>
            </w:r>
          </w:p>
          <w:p w14:paraId="7A3CE6A6" w14:textId="77777777" w:rsidR="00857CEB" w:rsidRDefault="00857CEB" w:rsidP="003A048A">
            <w:pPr>
              <w:jc w:val="left"/>
              <w:rPr>
                <w:sz w:val="20"/>
                <w:szCs w:val="20"/>
              </w:rPr>
            </w:pPr>
            <w:r>
              <w:rPr>
                <w:sz w:val="20"/>
                <w:szCs w:val="20"/>
              </w:rPr>
              <w:t>Aansluiting Heerenveen.</w:t>
            </w:r>
          </w:p>
          <w:p w14:paraId="0D696B4A" w14:textId="6B7F7BDF" w:rsidR="00857CEB" w:rsidRDefault="00857CEB" w:rsidP="003A048A">
            <w:pPr>
              <w:jc w:val="left"/>
              <w:rPr>
                <w:sz w:val="20"/>
                <w:szCs w:val="20"/>
              </w:rPr>
            </w:pPr>
            <w:r>
              <w:rPr>
                <w:sz w:val="20"/>
                <w:szCs w:val="20"/>
              </w:rPr>
              <w:t xml:space="preserve">Zuiderzeewerken. Aanleg </w:t>
            </w:r>
            <w:proofErr w:type="spellStart"/>
            <w:r>
              <w:rPr>
                <w:sz w:val="20"/>
                <w:szCs w:val="20"/>
              </w:rPr>
              <w:t>Krabbersgatsluis</w:t>
            </w:r>
            <w:proofErr w:type="spellEnd"/>
            <w:r w:rsidR="00C14C7A">
              <w:rPr>
                <w:sz w:val="20"/>
                <w:szCs w:val="20"/>
              </w:rPr>
              <w:t>.</w:t>
            </w:r>
          </w:p>
          <w:p w14:paraId="2045A876" w14:textId="77777777" w:rsidR="00857CEB" w:rsidRDefault="00857CEB" w:rsidP="003A048A">
            <w:pPr>
              <w:jc w:val="left"/>
              <w:rPr>
                <w:sz w:val="20"/>
                <w:szCs w:val="20"/>
              </w:rPr>
            </w:pPr>
            <w:r>
              <w:rPr>
                <w:sz w:val="20"/>
                <w:szCs w:val="20"/>
              </w:rPr>
              <w:t>Vernieuwing sluis Gaarkeuken.</w:t>
            </w:r>
          </w:p>
          <w:p w14:paraId="2B5C81A6" w14:textId="77777777" w:rsidR="00857CEB" w:rsidRDefault="00857CEB" w:rsidP="003A048A">
            <w:pPr>
              <w:jc w:val="left"/>
              <w:rPr>
                <w:sz w:val="20"/>
                <w:szCs w:val="20"/>
              </w:rPr>
            </w:pPr>
            <w:r>
              <w:rPr>
                <w:sz w:val="20"/>
                <w:szCs w:val="20"/>
              </w:rPr>
              <w:t>Zuiderzeewerken. Aanleg Houtribsluizen.</w:t>
            </w:r>
          </w:p>
          <w:p w14:paraId="16E67B6C" w14:textId="14C01439" w:rsidR="00857CEB" w:rsidRDefault="00857CEB" w:rsidP="003A048A">
            <w:pPr>
              <w:jc w:val="left"/>
              <w:rPr>
                <w:sz w:val="20"/>
                <w:szCs w:val="20"/>
              </w:rPr>
            </w:pPr>
            <w:r>
              <w:rPr>
                <w:sz w:val="20"/>
                <w:szCs w:val="20"/>
              </w:rPr>
              <w:t>Aanleg Prins Willem-Alexandersluis</w:t>
            </w:r>
            <w:r w:rsidR="00C14C7A">
              <w:rPr>
                <w:sz w:val="20"/>
                <w:szCs w:val="20"/>
              </w:rPr>
              <w:t>.</w:t>
            </w:r>
          </w:p>
          <w:p w14:paraId="2319A7F7" w14:textId="77777777" w:rsidR="00857CEB" w:rsidRDefault="00857CEB" w:rsidP="003A048A">
            <w:pPr>
              <w:jc w:val="left"/>
              <w:rPr>
                <w:sz w:val="20"/>
                <w:szCs w:val="20"/>
              </w:rPr>
            </w:pPr>
            <w:r>
              <w:rPr>
                <w:sz w:val="20"/>
                <w:szCs w:val="20"/>
              </w:rPr>
              <w:t>Vernieuwing Oostersluis Groningen.</w:t>
            </w:r>
          </w:p>
          <w:p w14:paraId="2A4D7E62" w14:textId="77777777" w:rsidR="00857CEB" w:rsidRPr="005B67A5" w:rsidRDefault="00857CEB" w:rsidP="003A048A">
            <w:pPr>
              <w:jc w:val="left"/>
              <w:rPr>
                <w:sz w:val="20"/>
                <w:szCs w:val="20"/>
              </w:rPr>
            </w:pPr>
            <w:r>
              <w:rPr>
                <w:sz w:val="20"/>
                <w:szCs w:val="20"/>
              </w:rPr>
              <w:t>Vergroting vaarweg Lemmer-Delfzijl (klasse Va).</w:t>
            </w:r>
          </w:p>
        </w:tc>
        <w:tc>
          <w:tcPr>
            <w:tcW w:w="1637" w:type="dxa"/>
          </w:tcPr>
          <w:p w14:paraId="79F62C4C" w14:textId="605FDA37" w:rsidR="00857CEB" w:rsidRDefault="00857CEB" w:rsidP="004D72AC">
            <w:pPr>
              <w:jc w:val="left"/>
              <w:rPr>
                <w:sz w:val="20"/>
                <w:szCs w:val="20"/>
              </w:rPr>
            </w:pPr>
            <w:r>
              <w:rPr>
                <w:sz w:val="20"/>
                <w:szCs w:val="20"/>
              </w:rPr>
              <w:t>1936-1951</w:t>
            </w:r>
          </w:p>
          <w:p w14:paraId="740E5060" w14:textId="77777777" w:rsidR="00857CEB" w:rsidRDefault="00857CEB" w:rsidP="004D72AC">
            <w:pPr>
              <w:jc w:val="left"/>
              <w:rPr>
                <w:sz w:val="20"/>
                <w:szCs w:val="20"/>
              </w:rPr>
            </w:pPr>
            <w:r>
              <w:rPr>
                <w:sz w:val="20"/>
                <w:szCs w:val="20"/>
              </w:rPr>
              <w:t>1936-1951</w:t>
            </w:r>
          </w:p>
          <w:p w14:paraId="642E5AF3" w14:textId="77777777" w:rsidR="00857CEB" w:rsidRDefault="00857CEB" w:rsidP="004D72AC">
            <w:pPr>
              <w:jc w:val="left"/>
              <w:rPr>
                <w:sz w:val="20"/>
                <w:szCs w:val="20"/>
              </w:rPr>
            </w:pPr>
            <w:r>
              <w:rPr>
                <w:sz w:val="20"/>
                <w:szCs w:val="20"/>
              </w:rPr>
              <w:t>1954-1963</w:t>
            </w:r>
          </w:p>
          <w:p w14:paraId="616401A7" w14:textId="77777777" w:rsidR="00857CEB" w:rsidRDefault="00857CEB" w:rsidP="004D72AC">
            <w:pPr>
              <w:jc w:val="left"/>
              <w:rPr>
                <w:sz w:val="20"/>
                <w:szCs w:val="20"/>
              </w:rPr>
            </w:pPr>
            <w:r>
              <w:rPr>
                <w:sz w:val="20"/>
                <w:szCs w:val="20"/>
              </w:rPr>
              <w:t xml:space="preserve">1958 </w:t>
            </w:r>
          </w:p>
          <w:p w14:paraId="54A05AA7" w14:textId="6D580168" w:rsidR="00857CEB" w:rsidRDefault="00857CEB" w:rsidP="00466599">
            <w:pPr>
              <w:jc w:val="left"/>
              <w:rPr>
                <w:sz w:val="20"/>
                <w:szCs w:val="20"/>
              </w:rPr>
            </w:pPr>
            <w:r>
              <w:rPr>
                <w:sz w:val="20"/>
                <w:szCs w:val="20"/>
              </w:rPr>
              <w:t xml:space="preserve">        </w:t>
            </w:r>
            <w:r w:rsidR="00BF056C">
              <w:rPr>
                <w:sz w:val="20"/>
                <w:szCs w:val="20"/>
              </w:rPr>
              <w:t>-</w:t>
            </w:r>
          </w:p>
          <w:p w14:paraId="26C2A398" w14:textId="7D8139A4" w:rsidR="00857CEB" w:rsidRDefault="00857CEB" w:rsidP="00466599">
            <w:pPr>
              <w:jc w:val="left"/>
              <w:rPr>
                <w:sz w:val="20"/>
                <w:szCs w:val="20"/>
              </w:rPr>
            </w:pPr>
            <w:r>
              <w:rPr>
                <w:sz w:val="20"/>
                <w:szCs w:val="20"/>
              </w:rPr>
              <w:t xml:space="preserve">        </w:t>
            </w:r>
            <w:r w:rsidR="00BF056C">
              <w:rPr>
                <w:sz w:val="20"/>
                <w:szCs w:val="20"/>
              </w:rPr>
              <w:t>-</w:t>
            </w:r>
          </w:p>
          <w:p w14:paraId="140AB96A" w14:textId="3EA022F9" w:rsidR="00857CEB" w:rsidRDefault="00857CEB" w:rsidP="00466599">
            <w:pPr>
              <w:jc w:val="left"/>
              <w:rPr>
                <w:sz w:val="20"/>
                <w:szCs w:val="20"/>
              </w:rPr>
            </w:pPr>
            <w:r>
              <w:rPr>
                <w:sz w:val="20"/>
                <w:szCs w:val="20"/>
              </w:rPr>
              <w:t xml:space="preserve">        </w:t>
            </w:r>
            <w:r w:rsidR="00BF056C">
              <w:rPr>
                <w:sz w:val="20"/>
                <w:szCs w:val="20"/>
              </w:rPr>
              <w:t>-</w:t>
            </w:r>
          </w:p>
          <w:p w14:paraId="7A77DE03" w14:textId="77777777" w:rsidR="00857CEB" w:rsidRDefault="00857CEB" w:rsidP="004D72AC">
            <w:pPr>
              <w:jc w:val="left"/>
              <w:rPr>
                <w:sz w:val="20"/>
                <w:szCs w:val="20"/>
              </w:rPr>
            </w:pPr>
            <w:r>
              <w:rPr>
                <w:sz w:val="20"/>
                <w:szCs w:val="20"/>
              </w:rPr>
              <w:t>1971</w:t>
            </w:r>
          </w:p>
          <w:p w14:paraId="638D165E" w14:textId="77777777" w:rsidR="00857CEB" w:rsidRDefault="00857CEB" w:rsidP="004D72AC">
            <w:pPr>
              <w:jc w:val="left"/>
              <w:rPr>
                <w:sz w:val="20"/>
                <w:szCs w:val="20"/>
              </w:rPr>
            </w:pPr>
            <w:r>
              <w:rPr>
                <w:sz w:val="20"/>
                <w:szCs w:val="20"/>
              </w:rPr>
              <w:t>1976-1980</w:t>
            </w:r>
          </w:p>
          <w:p w14:paraId="36A008F6" w14:textId="77777777" w:rsidR="00857CEB" w:rsidRDefault="00857CEB" w:rsidP="004D72AC">
            <w:pPr>
              <w:jc w:val="left"/>
              <w:rPr>
                <w:sz w:val="20"/>
                <w:szCs w:val="20"/>
              </w:rPr>
            </w:pPr>
            <w:r>
              <w:rPr>
                <w:sz w:val="20"/>
                <w:szCs w:val="20"/>
              </w:rPr>
              <w:t>1975</w:t>
            </w:r>
          </w:p>
          <w:p w14:paraId="3484A607" w14:textId="77777777" w:rsidR="00857CEB" w:rsidRDefault="00857CEB" w:rsidP="004D72AC">
            <w:pPr>
              <w:jc w:val="left"/>
              <w:rPr>
                <w:sz w:val="20"/>
                <w:szCs w:val="20"/>
              </w:rPr>
            </w:pPr>
            <w:r>
              <w:rPr>
                <w:sz w:val="20"/>
                <w:szCs w:val="20"/>
              </w:rPr>
              <w:t>1995</w:t>
            </w:r>
          </w:p>
          <w:p w14:paraId="5FE21A28" w14:textId="77777777" w:rsidR="00857CEB" w:rsidRDefault="00857CEB" w:rsidP="004D72AC">
            <w:pPr>
              <w:jc w:val="left"/>
              <w:rPr>
                <w:sz w:val="20"/>
                <w:szCs w:val="20"/>
              </w:rPr>
            </w:pPr>
            <w:r>
              <w:rPr>
                <w:sz w:val="20"/>
                <w:szCs w:val="20"/>
              </w:rPr>
              <w:t xml:space="preserve">1990-1996 </w:t>
            </w:r>
          </w:p>
          <w:p w14:paraId="0012528B" w14:textId="59407E4E" w:rsidR="00857CEB" w:rsidRPr="005B67A5" w:rsidRDefault="00857CEB" w:rsidP="004D72AC">
            <w:pPr>
              <w:jc w:val="left"/>
              <w:rPr>
                <w:sz w:val="20"/>
                <w:szCs w:val="20"/>
              </w:rPr>
            </w:pPr>
            <w:r>
              <w:rPr>
                <w:sz w:val="20"/>
                <w:szCs w:val="20"/>
              </w:rPr>
              <w:t>1991-2001</w:t>
            </w:r>
          </w:p>
        </w:tc>
      </w:tr>
      <w:tr w:rsidR="00034DDF" w14:paraId="53364857" w14:textId="77777777" w:rsidTr="00AD2AE5">
        <w:trPr>
          <w:trHeight w:val="381"/>
        </w:trPr>
        <w:tc>
          <w:tcPr>
            <w:tcW w:w="1216" w:type="dxa"/>
          </w:tcPr>
          <w:p w14:paraId="0A6D1DA8" w14:textId="77777777" w:rsidR="00034DDF" w:rsidRDefault="00034DDF" w:rsidP="00034DDF">
            <w:pPr>
              <w:rPr>
                <w:sz w:val="20"/>
                <w:szCs w:val="20"/>
              </w:rPr>
            </w:pPr>
            <w:r>
              <w:rPr>
                <w:sz w:val="20"/>
                <w:szCs w:val="20"/>
              </w:rPr>
              <w:t xml:space="preserve">Amsterdam-Delfzijl </w:t>
            </w:r>
          </w:p>
          <w:p w14:paraId="43D1EED2" w14:textId="77777777" w:rsidR="00034DDF" w:rsidRDefault="00034DDF" w:rsidP="00034DDF">
            <w:pPr>
              <w:rPr>
                <w:sz w:val="20"/>
                <w:szCs w:val="20"/>
              </w:rPr>
            </w:pPr>
          </w:p>
        </w:tc>
        <w:tc>
          <w:tcPr>
            <w:tcW w:w="4733" w:type="dxa"/>
          </w:tcPr>
          <w:p w14:paraId="55C4E42B" w14:textId="29204734" w:rsidR="002644FF" w:rsidRDefault="00034DDF" w:rsidP="003A048A">
            <w:pPr>
              <w:jc w:val="left"/>
              <w:rPr>
                <w:sz w:val="20"/>
                <w:szCs w:val="20"/>
              </w:rPr>
            </w:pPr>
            <w:r w:rsidRPr="00A26D80">
              <w:rPr>
                <w:sz w:val="20"/>
                <w:szCs w:val="20"/>
              </w:rPr>
              <w:t xml:space="preserve">Vergroting vaarweg Lemmer-Delfzijl (containervaart, </w:t>
            </w:r>
          </w:p>
          <w:p w14:paraId="29EA81EE" w14:textId="1AD418B7" w:rsidR="00034DDF" w:rsidRDefault="00034DDF" w:rsidP="003A048A">
            <w:pPr>
              <w:jc w:val="left"/>
              <w:rPr>
                <w:sz w:val="20"/>
                <w:szCs w:val="20"/>
              </w:rPr>
            </w:pPr>
            <w:r w:rsidRPr="00A26D80">
              <w:rPr>
                <w:sz w:val="20"/>
                <w:szCs w:val="20"/>
              </w:rPr>
              <w:t>3000 ton).</w:t>
            </w:r>
          </w:p>
          <w:p w14:paraId="2072696B" w14:textId="77777777" w:rsidR="002644FF" w:rsidRDefault="00034DDF" w:rsidP="003A048A">
            <w:pPr>
              <w:jc w:val="left"/>
              <w:rPr>
                <w:sz w:val="20"/>
                <w:szCs w:val="20"/>
              </w:rPr>
            </w:pPr>
            <w:r w:rsidRPr="00A26D80">
              <w:rPr>
                <w:sz w:val="20"/>
                <w:szCs w:val="20"/>
              </w:rPr>
              <w:t xml:space="preserve">Vergroting vaarweg Lemmer-Delfzijl (containervaart, </w:t>
            </w:r>
          </w:p>
          <w:p w14:paraId="67C3BA0A" w14:textId="2FDF33DA" w:rsidR="00034DDF" w:rsidRDefault="00034DDF" w:rsidP="003A048A">
            <w:pPr>
              <w:jc w:val="left"/>
              <w:rPr>
                <w:sz w:val="20"/>
                <w:szCs w:val="20"/>
              </w:rPr>
            </w:pPr>
            <w:r w:rsidRPr="00A26D80">
              <w:rPr>
                <w:sz w:val="20"/>
                <w:szCs w:val="20"/>
              </w:rPr>
              <w:t>4 lagen).</w:t>
            </w:r>
          </w:p>
        </w:tc>
        <w:tc>
          <w:tcPr>
            <w:tcW w:w="1637" w:type="dxa"/>
          </w:tcPr>
          <w:p w14:paraId="4B1CB4C5" w14:textId="77777777" w:rsidR="00751BFF" w:rsidRDefault="00751BFF" w:rsidP="004D72AC">
            <w:pPr>
              <w:jc w:val="left"/>
              <w:rPr>
                <w:sz w:val="20"/>
                <w:szCs w:val="20"/>
              </w:rPr>
            </w:pPr>
          </w:p>
          <w:p w14:paraId="76954561" w14:textId="1A3A56B2" w:rsidR="00034DDF" w:rsidRDefault="007B218A" w:rsidP="004D72AC">
            <w:pPr>
              <w:jc w:val="left"/>
              <w:rPr>
                <w:sz w:val="20"/>
                <w:szCs w:val="20"/>
              </w:rPr>
            </w:pPr>
            <w:r>
              <w:rPr>
                <w:sz w:val="20"/>
                <w:szCs w:val="20"/>
              </w:rPr>
              <w:t>V</w:t>
            </w:r>
            <w:r w:rsidR="00034DDF">
              <w:rPr>
                <w:sz w:val="20"/>
                <w:szCs w:val="20"/>
              </w:rPr>
              <w:t>oltooid</w:t>
            </w:r>
          </w:p>
          <w:p w14:paraId="3BF7D38C" w14:textId="77777777" w:rsidR="00DB00E8" w:rsidRDefault="00DB00E8" w:rsidP="004D72AC">
            <w:pPr>
              <w:jc w:val="left"/>
              <w:rPr>
                <w:sz w:val="20"/>
                <w:szCs w:val="20"/>
              </w:rPr>
            </w:pPr>
          </w:p>
          <w:p w14:paraId="5AC503F9" w14:textId="274FB5B2" w:rsidR="00034DDF" w:rsidRDefault="007B218A" w:rsidP="004D72AC">
            <w:pPr>
              <w:jc w:val="left"/>
              <w:rPr>
                <w:sz w:val="20"/>
                <w:szCs w:val="20"/>
              </w:rPr>
            </w:pPr>
            <w:r>
              <w:rPr>
                <w:sz w:val="20"/>
                <w:szCs w:val="20"/>
              </w:rPr>
              <w:t>I</w:t>
            </w:r>
            <w:r w:rsidR="00034DDF">
              <w:rPr>
                <w:sz w:val="20"/>
                <w:szCs w:val="20"/>
              </w:rPr>
              <w:t>n uitvoering.</w:t>
            </w:r>
          </w:p>
        </w:tc>
      </w:tr>
      <w:tr w:rsidR="00034DDF" w14:paraId="6647E596" w14:textId="77777777" w:rsidTr="00AD2AE5">
        <w:trPr>
          <w:trHeight w:val="303"/>
        </w:trPr>
        <w:tc>
          <w:tcPr>
            <w:tcW w:w="1216" w:type="dxa"/>
          </w:tcPr>
          <w:p w14:paraId="500F5318" w14:textId="2C008E45" w:rsidR="00034DDF" w:rsidRDefault="00BC0624" w:rsidP="00034DDF">
            <w:pPr>
              <w:rPr>
                <w:sz w:val="20"/>
                <w:szCs w:val="20"/>
              </w:rPr>
            </w:pPr>
            <w:r w:rsidRPr="00E351E9">
              <w:rPr>
                <w:sz w:val="20"/>
                <w:szCs w:val="20"/>
              </w:rPr>
              <w:t>Twente</w:t>
            </w:r>
            <w:r w:rsidR="000003D3">
              <w:rPr>
                <w:sz w:val="20"/>
                <w:szCs w:val="20"/>
              </w:rPr>
              <w:t>-</w:t>
            </w:r>
            <w:r w:rsidRPr="00E351E9">
              <w:rPr>
                <w:sz w:val="20"/>
                <w:szCs w:val="20"/>
              </w:rPr>
              <w:t>kanalen</w:t>
            </w:r>
          </w:p>
        </w:tc>
        <w:tc>
          <w:tcPr>
            <w:tcW w:w="4733" w:type="dxa"/>
          </w:tcPr>
          <w:p w14:paraId="29FF3474" w14:textId="749132CD" w:rsidR="00BC0624" w:rsidRPr="00E351E9" w:rsidRDefault="00BC0624" w:rsidP="003A048A">
            <w:pPr>
              <w:jc w:val="left"/>
              <w:rPr>
                <w:sz w:val="20"/>
                <w:szCs w:val="20"/>
              </w:rPr>
            </w:pPr>
            <w:r w:rsidRPr="00E351E9">
              <w:rPr>
                <w:sz w:val="20"/>
                <w:szCs w:val="20"/>
              </w:rPr>
              <w:t>Vergroting kanaalgedeelte Eefde-Goor (klasse V</w:t>
            </w:r>
            <w:r>
              <w:rPr>
                <w:sz w:val="20"/>
                <w:szCs w:val="20"/>
              </w:rPr>
              <w:t>a</w:t>
            </w:r>
            <w:r w:rsidRPr="00E351E9">
              <w:rPr>
                <w:sz w:val="20"/>
                <w:szCs w:val="20"/>
              </w:rPr>
              <w:t>).</w:t>
            </w:r>
          </w:p>
          <w:p w14:paraId="65F3DC83" w14:textId="77777777" w:rsidR="00BC0624" w:rsidRPr="00E351E9" w:rsidRDefault="00BC0624" w:rsidP="003A048A">
            <w:pPr>
              <w:jc w:val="left"/>
              <w:rPr>
                <w:sz w:val="20"/>
                <w:szCs w:val="20"/>
              </w:rPr>
            </w:pPr>
            <w:r w:rsidRPr="00E351E9">
              <w:rPr>
                <w:sz w:val="20"/>
                <w:szCs w:val="20"/>
              </w:rPr>
              <w:t>Vergroting overige kanaalgedeelten.</w:t>
            </w:r>
          </w:p>
          <w:p w14:paraId="76F39AAE" w14:textId="37FA361F" w:rsidR="00034DDF" w:rsidRDefault="00BC0624" w:rsidP="003A048A">
            <w:pPr>
              <w:jc w:val="left"/>
              <w:rPr>
                <w:sz w:val="20"/>
                <w:szCs w:val="20"/>
              </w:rPr>
            </w:pPr>
            <w:r>
              <w:rPr>
                <w:sz w:val="20"/>
                <w:szCs w:val="20"/>
              </w:rPr>
              <w:t>Sluis Eefde, tweede schutkolk.</w:t>
            </w:r>
          </w:p>
        </w:tc>
        <w:tc>
          <w:tcPr>
            <w:tcW w:w="1637" w:type="dxa"/>
          </w:tcPr>
          <w:p w14:paraId="054CB640" w14:textId="7DE99117" w:rsidR="00BC0624" w:rsidRPr="00E351E9" w:rsidRDefault="00BC0624" w:rsidP="004D72AC">
            <w:pPr>
              <w:jc w:val="left"/>
              <w:rPr>
                <w:sz w:val="20"/>
                <w:szCs w:val="20"/>
              </w:rPr>
            </w:pPr>
            <w:r w:rsidRPr="00E351E9">
              <w:rPr>
                <w:sz w:val="20"/>
                <w:szCs w:val="20"/>
              </w:rPr>
              <w:t>2003-2007</w:t>
            </w:r>
          </w:p>
          <w:p w14:paraId="7EF5C0AB" w14:textId="1DD78B56" w:rsidR="00BC0624" w:rsidRDefault="007B218A" w:rsidP="004D72AC">
            <w:pPr>
              <w:jc w:val="left"/>
              <w:rPr>
                <w:sz w:val="20"/>
                <w:szCs w:val="20"/>
              </w:rPr>
            </w:pPr>
            <w:r>
              <w:rPr>
                <w:sz w:val="20"/>
                <w:szCs w:val="20"/>
              </w:rPr>
              <w:t>I</w:t>
            </w:r>
            <w:r w:rsidR="00BC0624" w:rsidRPr="00E351E9">
              <w:rPr>
                <w:sz w:val="20"/>
                <w:szCs w:val="20"/>
              </w:rPr>
              <w:t>n uitvoering</w:t>
            </w:r>
          </w:p>
          <w:p w14:paraId="7A81F2AE" w14:textId="6F860E5D" w:rsidR="00034DDF" w:rsidRDefault="00BC0624" w:rsidP="004D72AC">
            <w:pPr>
              <w:jc w:val="left"/>
              <w:rPr>
                <w:sz w:val="20"/>
                <w:szCs w:val="20"/>
              </w:rPr>
            </w:pPr>
            <w:r>
              <w:rPr>
                <w:sz w:val="20"/>
                <w:szCs w:val="20"/>
              </w:rPr>
              <w:t>2020</w:t>
            </w:r>
          </w:p>
        </w:tc>
      </w:tr>
      <w:tr w:rsidR="005F5BCC" w14:paraId="3BEA831A" w14:textId="77777777" w:rsidTr="00AD2AE5">
        <w:trPr>
          <w:trHeight w:val="303"/>
        </w:trPr>
        <w:tc>
          <w:tcPr>
            <w:tcW w:w="1216" w:type="dxa"/>
          </w:tcPr>
          <w:p w14:paraId="170EC0A1" w14:textId="77777777" w:rsidR="000003D3" w:rsidRDefault="00F658B4" w:rsidP="00034DDF">
            <w:pPr>
              <w:rPr>
                <w:sz w:val="20"/>
                <w:szCs w:val="20"/>
              </w:rPr>
            </w:pPr>
            <w:proofErr w:type="spellStart"/>
            <w:r w:rsidRPr="00E351E9">
              <w:rPr>
                <w:sz w:val="20"/>
                <w:szCs w:val="20"/>
              </w:rPr>
              <w:t>Meppeler</w:t>
            </w:r>
            <w:proofErr w:type="spellEnd"/>
            <w:r w:rsidRPr="00E351E9">
              <w:rPr>
                <w:sz w:val="20"/>
                <w:szCs w:val="20"/>
              </w:rPr>
              <w:t xml:space="preserve"> </w:t>
            </w:r>
          </w:p>
          <w:p w14:paraId="5AE12CAB" w14:textId="5C1E722B" w:rsidR="005F5BCC" w:rsidRDefault="00F658B4" w:rsidP="00034DDF">
            <w:pPr>
              <w:rPr>
                <w:sz w:val="20"/>
                <w:szCs w:val="20"/>
              </w:rPr>
            </w:pPr>
            <w:r w:rsidRPr="00E351E9">
              <w:rPr>
                <w:sz w:val="20"/>
                <w:szCs w:val="20"/>
              </w:rPr>
              <w:t>Diep</w:t>
            </w:r>
          </w:p>
        </w:tc>
        <w:tc>
          <w:tcPr>
            <w:tcW w:w="4733" w:type="dxa"/>
          </w:tcPr>
          <w:p w14:paraId="2FB14770" w14:textId="3A4BC47A" w:rsidR="00F658B4" w:rsidRPr="00E351E9" w:rsidRDefault="00F658B4" w:rsidP="003A048A">
            <w:pPr>
              <w:jc w:val="left"/>
              <w:rPr>
                <w:sz w:val="20"/>
                <w:szCs w:val="20"/>
              </w:rPr>
            </w:pPr>
            <w:r w:rsidRPr="00E351E9">
              <w:rPr>
                <w:sz w:val="20"/>
                <w:szCs w:val="20"/>
              </w:rPr>
              <w:t>Aanleg nieuwe sluis Zwartsluis.</w:t>
            </w:r>
          </w:p>
          <w:p w14:paraId="4A486AF3" w14:textId="77777777" w:rsidR="00F658B4" w:rsidRDefault="00F658B4" w:rsidP="003A048A">
            <w:pPr>
              <w:jc w:val="left"/>
              <w:rPr>
                <w:sz w:val="20"/>
                <w:szCs w:val="20"/>
              </w:rPr>
            </w:pPr>
            <w:r w:rsidRPr="00E351E9">
              <w:rPr>
                <w:sz w:val="20"/>
                <w:szCs w:val="20"/>
              </w:rPr>
              <w:t xml:space="preserve">Vergroting </w:t>
            </w:r>
            <w:proofErr w:type="spellStart"/>
            <w:r w:rsidRPr="00E351E9">
              <w:rPr>
                <w:sz w:val="20"/>
                <w:szCs w:val="20"/>
              </w:rPr>
              <w:t>Meppeler</w:t>
            </w:r>
            <w:proofErr w:type="spellEnd"/>
            <w:r w:rsidRPr="00E351E9">
              <w:rPr>
                <w:sz w:val="20"/>
                <w:szCs w:val="20"/>
              </w:rPr>
              <w:t xml:space="preserve"> Diep (klasse Va).</w:t>
            </w:r>
          </w:p>
          <w:p w14:paraId="0B7B956F" w14:textId="3A944136" w:rsidR="005F5BCC" w:rsidRDefault="00F658B4" w:rsidP="003A048A">
            <w:pPr>
              <w:jc w:val="left"/>
              <w:rPr>
                <w:sz w:val="20"/>
                <w:szCs w:val="20"/>
              </w:rPr>
            </w:pPr>
            <w:proofErr w:type="spellStart"/>
            <w:r>
              <w:rPr>
                <w:sz w:val="20"/>
                <w:szCs w:val="20"/>
              </w:rPr>
              <w:t>Meppelerdiepsluis</w:t>
            </w:r>
            <w:proofErr w:type="spellEnd"/>
            <w:r>
              <w:rPr>
                <w:sz w:val="20"/>
                <w:szCs w:val="20"/>
              </w:rPr>
              <w:t>.</w:t>
            </w:r>
          </w:p>
        </w:tc>
        <w:tc>
          <w:tcPr>
            <w:tcW w:w="1637" w:type="dxa"/>
          </w:tcPr>
          <w:p w14:paraId="0358CE8B" w14:textId="566D60CA" w:rsidR="00F658B4" w:rsidRPr="00E351E9" w:rsidRDefault="007B218A" w:rsidP="004D72AC">
            <w:pPr>
              <w:jc w:val="left"/>
              <w:rPr>
                <w:sz w:val="20"/>
                <w:szCs w:val="20"/>
              </w:rPr>
            </w:pPr>
            <w:r>
              <w:rPr>
                <w:sz w:val="20"/>
                <w:szCs w:val="20"/>
              </w:rPr>
              <w:t>G</w:t>
            </w:r>
            <w:r w:rsidR="00F658B4" w:rsidRPr="00E351E9">
              <w:rPr>
                <w:sz w:val="20"/>
                <w:szCs w:val="20"/>
              </w:rPr>
              <w:t>ereed 1958</w:t>
            </w:r>
          </w:p>
          <w:p w14:paraId="3A2486DA" w14:textId="3274F977" w:rsidR="005F5BCC" w:rsidRDefault="00BF056C" w:rsidP="004D72AC">
            <w:pPr>
              <w:jc w:val="left"/>
              <w:rPr>
                <w:sz w:val="20"/>
                <w:szCs w:val="20"/>
              </w:rPr>
            </w:pPr>
            <w:r>
              <w:rPr>
                <w:sz w:val="20"/>
                <w:szCs w:val="20"/>
              </w:rPr>
              <w:t>-</w:t>
            </w:r>
          </w:p>
          <w:p w14:paraId="1F2079B9" w14:textId="4107C269" w:rsidR="00F658B4" w:rsidRDefault="00F658B4" w:rsidP="004D72AC">
            <w:pPr>
              <w:jc w:val="left"/>
              <w:rPr>
                <w:sz w:val="20"/>
                <w:szCs w:val="20"/>
              </w:rPr>
            </w:pPr>
            <w:r>
              <w:rPr>
                <w:sz w:val="20"/>
                <w:szCs w:val="20"/>
              </w:rPr>
              <w:t>2017</w:t>
            </w:r>
          </w:p>
        </w:tc>
      </w:tr>
      <w:tr w:rsidR="00034DDF" w14:paraId="5FBDEBDE" w14:textId="77777777" w:rsidTr="00B2768B">
        <w:trPr>
          <w:trHeight w:val="708"/>
        </w:trPr>
        <w:tc>
          <w:tcPr>
            <w:tcW w:w="1216" w:type="dxa"/>
          </w:tcPr>
          <w:p w14:paraId="21F09900" w14:textId="732A30C6" w:rsidR="00034DDF" w:rsidRDefault="00844B1F" w:rsidP="00844B1F">
            <w:pPr>
              <w:jc w:val="left"/>
              <w:rPr>
                <w:sz w:val="20"/>
                <w:szCs w:val="20"/>
              </w:rPr>
            </w:pPr>
            <w:r>
              <w:rPr>
                <w:sz w:val="20"/>
                <w:szCs w:val="20"/>
              </w:rPr>
              <w:t xml:space="preserve">Brabantse </w:t>
            </w:r>
            <w:r w:rsidR="0083401F" w:rsidRPr="00E351E9">
              <w:rPr>
                <w:sz w:val="20"/>
                <w:szCs w:val="20"/>
              </w:rPr>
              <w:t>en Limburgse kanalen</w:t>
            </w:r>
          </w:p>
        </w:tc>
        <w:tc>
          <w:tcPr>
            <w:tcW w:w="4733" w:type="dxa"/>
          </w:tcPr>
          <w:p w14:paraId="1A22F8B5" w14:textId="429E1D81" w:rsidR="0083401F" w:rsidRDefault="0083401F" w:rsidP="003A048A">
            <w:pPr>
              <w:jc w:val="left"/>
              <w:rPr>
                <w:sz w:val="20"/>
                <w:szCs w:val="20"/>
              </w:rPr>
            </w:pPr>
            <w:r w:rsidRPr="00E351E9">
              <w:rPr>
                <w:sz w:val="20"/>
                <w:szCs w:val="20"/>
              </w:rPr>
              <w:t>Vergroting Mar</w:t>
            </w:r>
            <w:r w:rsidR="00873323">
              <w:rPr>
                <w:sz w:val="20"/>
                <w:szCs w:val="20"/>
              </w:rPr>
              <w:t>k</w:t>
            </w:r>
            <w:r w:rsidRPr="00E351E9">
              <w:rPr>
                <w:sz w:val="20"/>
                <w:szCs w:val="20"/>
              </w:rPr>
              <w:t xml:space="preserve">kanaal en deel van de Mark en </w:t>
            </w:r>
            <w:proofErr w:type="spellStart"/>
            <w:r w:rsidRPr="00E351E9">
              <w:rPr>
                <w:sz w:val="20"/>
                <w:szCs w:val="20"/>
              </w:rPr>
              <w:t>Dintel</w:t>
            </w:r>
            <w:proofErr w:type="spellEnd"/>
            <w:r w:rsidRPr="00E351E9">
              <w:rPr>
                <w:sz w:val="20"/>
                <w:szCs w:val="20"/>
              </w:rPr>
              <w:t xml:space="preserve"> (klasse IV).</w:t>
            </w:r>
          </w:p>
          <w:p w14:paraId="10FF32E0" w14:textId="77777777" w:rsidR="0083401F" w:rsidRPr="00E351E9" w:rsidRDefault="0083401F" w:rsidP="003A048A">
            <w:pPr>
              <w:jc w:val="left"/>
              <w:rPr>
                <w:sz w:val="20"/>
                <w:szCs w:val="20"/>
              </w:rPr>
            </w:pPr>
            <w:r w:rsidRPr="00E351E9">
              <w:rPr>
                <w:sz w:val="20"/>
                <w:szCs w:val="20"/>
              </w:rPr>
              <w:t>Vergroting Wilhelminakanaal tot Oosterhout (klasse IV).</w:t>
            </w:r>
          </w:p>
          <w:p w14:paraId="2BAB2516" w14:textId="77777777" w:rsidR="0083401F" w:rsidRPr="00E351E9" w:rsidRDefault="0083401F" w:rsidP="003A048A">
            <w:pPr>
              <w:jc w:val="left"/>
              <w:rPr>
                <w:sz w:val="20"/>
                <w:szCs w:val="20"/>
              </w:rPr>
            </w:pPr>
            <w:r w:rsidRPr="00E351E9">
              <w:rPr>
                <w:sz w:val="20"/>
                <w:szCs w:val="20"/>
              </w:rPr>
              <w:t>Aanleg Mark-Vlietkanaal</w:t>
            </w:r>
            <w:r>
              <w:rPr>
                <w:sz w:val="20"/>
                <w:szCs w:val="20"/>
              </w:rPr>
              <w:t xml:space="preserve"> (klasse IV).</w:t>
            </w:r>
          </w:p>
          <w:p w14:paraId="6BAFC9BD" w14:textId="77777777" w:rsidR="00873323" w:rsidRDefault="00B04F51" w:rsidP="003A048A">
            <w:pPr>
              <w:jc w:val="left"/>
              <w:rPr>
                <w:sz w:val="20"/>
                <w:szCs w:val="20"/>
              </w:rPr>
            </w:pPr>
            <w:r w:rsidRPr="00E351E9">
              <w:rPr>
                <w:sz w:val="20"/>
                <w:szCs w:val="20"/>
              </w:rPr>
              <w:t>Vergroting Wilhelminakanaal van Oosterhout tot</w:t>
            </w:r>
          </w:p>
          <w:p w14:paraId="3AAE63CE" w14:textId="51DB4342" w:rsidR="00034DDF" w:rsidRDefault="00B04F51" w:rsidP="003A048A">
            <w:pPr>
              <w:jc w:val="left"/>
              <w:rPr>
                <w:sz w:val="20"/>
                <w:szCs w:val="20"/>
              </w:rPr>
            </w:pPr>
            <w:r>
              <w:rPr>
                <w:sz w:val="20"/>
                <w:szCs w:val="20"/>
              </w:rPr>
              <w:t>sluis 2.</w:t>
            </w:r>
          </w:p>
          <w:p w14:paraId="0E204B10" w14:textId="77777777" w:rsidR="000003D3" w:rsidRDefault="00B04F51" w:rsidP="003A048A">
            <w:pPr>
              <w:jc w:val="left"/>
              <w:rPr>
                <w:sz w:val="20"/>
                <w:szCs w:val="20"/>
              </w:rPr>
            </w:pPr>
            <w:r w:rsidRPr="00E351E9">
              <w:rPr>
                <w:sz w:val="20"/>
                <w:szCs w:val="20"/>
              </w:rPr>
              <w:t>Nieuwe kanaaltak van Wilhelminakanaal naar Amer</w:t>
            </w:r>
            <w:r>
              <w:rPr>
                <w:sz w:val="20"/>
                <w:szCs w:val="20"/>
              </w:rPr>
              <w:t xml:space="preserve"> </w:t>
            </w:r>
          </w:p>
          <w:p w14:paraId="36D698C7" w14:textId="7531AF55" w:rsidR="00B04F51" w:rsidRDefault="00B04F51" w:rsidP="003A048A">
            <w:pPr>
              <w:jc w:val="left"/>
              <w:rPr>
                <w:sz w:val="20"/>
                <w:szCs w:val="20"/>
              </w:rPr>
            </w:pPr>
            <w:r>
              <w:rPr>
                <w:sz w:val="20"/>
                <w:szCs w:val="20"/>
              </w:rPr>
              <w:t>(klasse Va)</w:t>
            </w:r>
            <w:r w:rsidRPr="00E351E9">
              <w:rPr>
                <w:sz w:val="20"/>
                <w:szCs w:val="20"/>
              </w:rPr>
              <w:t>.</w:t>
            </w:r>
          </w:p>
          <w:p w14:paraId="5CA6DF4B" w14:textId="77777777" w:rsidR="00C705C1" w:rsidRDefault="00B04F51" w:rsidP="003A048A">
            <w:pPr>
              <w:jc w:val="left"/>
              <w:rPr>
                <w:sz w:val="20"/>
                <w:szCs w:val="20"/>
              </w:rPr>
            </w:pPr>
            <w:r w:rsidRPr="00E351E9">
              <w:rPr>
                <w:sz w:val="20"/>
                <w:szCs w:val="20"/>
              </w:rPr>
              <w:t xml:space="preserve">Omlegging en vergroting Zuid-Willemsvaart bij </w:t>
            </w:r>
          </w:p>
          <w:p w14:paraId="5B630ACD" w14:textId="5FA51F19" w:rsidR="00B04F51" w:rsidRPr="00E351E9" w:rsidRDefault="00B04F51" w:rsidP="003A048A">
            <w:pPr>
              <w:jc w:val="left"/>
              <w:rPr>
                <w:sz w:val="20"/>
                <w:szCs w:val="20"/>
              </w:rPr>
            </w:pPr>
            <w:r w:rsidRPr="00E351E9">
              <w:rPr>
                <w:sz w:val="20"/>
                <w:szCs w:val="20"/>
              </w:rPr>
              <w:t>Helmond</w:t>
            </w:r>
            <w:r>
              <w:rPr>
                <w:sz w:val="20"/>
                <w:szCs w:val="20"/>
              </w:rPr>
              <w:t xml:space="preserve"> (klasse IV).</w:t>
            </w:r>
          </w:p>
          <w:p w14:paraId="1A8C311D" w14:textId="77777777" w:rsidR="002D00B1" w:rsidRPr="00E351E9" w:rsidRDefault="002D00B1" w:rsidP="003A048A">
            <w:pPr>
              <w:jc w:val="left"/>
              <w:rPr>
                <w:sz w:val="20"/>
                <w:szCs w:val="20"/>
              </w:rPr>
            </w:pPr>
            <w:r w:rsidRPr="00E351E9">
              <w:rPr>
                <w:sz w:val="20"/>
                <w:szCs w:val="20"/>
              </w:rPr>
              <w:t>Zuid-Willemsvaart. Bouw sluis Schijndel (klasse IV).</w:t>
            </w:r>
          </w:p>
          <w:p w14:paraId="754F92BB" w14:textId="66640288" w:rsidR="00B04F51" w:rsidRPr="00E351E9" w:rsidRDefault="002D00B1" w:rsidP="003A048A">
            <w:pPr>
              <w:jc w:val="left"/>
              <w:rPr>
                <w:sz w:val="20"/>
                <w:szCs w:val="20"/>
              </w:rPr>
            </w:pPr>
            <w:r w:rsidRPr="00E351E9">
              <w:rPr>
                <w:sz w:val="20"/>
                <w:szCs w:val="20"/>
              </w:rPr>
              <w:t>Kanaal Wessem-Nederweert. Sluis Panheel</w:t>
            </w:r>
            <w:r>
              <w:rPr>
                <w:sz w:val="20"/>
                <w:szCs w:val="20"/>
              </w:rPr>
              <w:t xml:space="preserve">, tweede </w:t>
            </w:r>
            <w:r w:rsidRPr="00E351E9">
              <w:rPr>
                <w:sz w:val="20"/>
                <w:szCs w:val="20"/>
              </w:rPr>
              <w:t>schutkolk.</w:t>
            </w:r>
          </w:p>
          <w:p w14:paraId="23BCB301" w14:textId="77777777" w:rsidR="002D00B1" w:rsidRPr="00E351E9" w:rsidRDefault="002D00B1" w:rsidP="003A048A">
            <w:pPr>
              <w:jc w:val="left"/>
              <w:rPr>
                <w:sz w:val="20"/>
                <w:szCs w:val="20"/>
              </w:rPr>
            </w:pPr>
            <w:r w:rsidRPr="00E351E9">
              <w:rPr>
                <w:sz w:val="20"/>
                <w:szCs w:val="20"/>
              </w:rPr>
              <w:t xml:space="preserve">Vergroting Kanaal Wessem-Nederweert (klasse IV). </w:t>
            </w:r>
          </w:p>
          <w:p w14:paraId="44F943F2" w14:textId="77777777" w:rsidR="00560051" w:rsidRDefault="002D00B1" w:rsidP="003A048A">
            <w:pPr>
              <w:jc w:val="left"/>
              <w:rPr>
                <w:sz w:val="20"/>
                <w:szCs w:val="20"/>
              </w:rPr>
            </w:pPr>
            <w:r w:rsidRPr="00E351E9">
              <w:rPr>
                <w:sz w:val="20"/>
                <w:szCs w:val="20"/>
              </w:rPr>
              <w:t xml:space="preserve">Zuid-Willemsvaart. Vervanging en vergroting </w:t>
            </w:r>
          </w:p>
          <w:p w14:paraId="53790432" w14:textId="29B0791A" w:rsidR="002D00B1" w:rsidRPr="00E351E9" w:rsidRDefault="002D00B1" w:rsidP="003A048A">
            <w:pPr>
              <w:jc w:val="left"/>
              <w:rPr>
                <w:sz w:val="20"/>
                <w:szCs w:val="20"/>
              </w:rPr>
            </w:pPr>
            <w:r w:rsidRPr="00E351E9">
              <w:rPr>
                <w:sz w:val="20"/>
                <w:szCs w:val="20"/>
              </w:rPr>
              <w:t>sluizen 4</w:t>
            </w:r>
            <w:r>
              <w:rPr>
                <w:sz w:val="20"/>
                <w:szCs w:val="20"/>
              </w:rPr>
              <w:t xml:space="preserve"> t/m </w:t>
            </w:r>
            <w:r w:rsidRPr="00E351E9">
              <w:rPr>
                <w:sz w:val="20"/>
                <w:szCs w:val="20"/>
              </w:rPr>
              <w:t>6 en 10 t/m 13 (klasse IV).</w:t>
            </w:r>
          </w:p>
          <w:p w14:paraId="24E7128F" w14:textId="77777777" w:rsidR="00B2768B" w:rsidRDefault="002D00B1" w:rsidP="003A048A">
            <w:pPr>
              <w:jc w:val="left"/>
              <w:rPr>
                <w:sz w:val="20"/>
                <w:szCs w:val="20"/>
              </w:rPr>
            </w:pPr>
            <w:r>
              <w:rPr>
                <w:sz w:val="20"/>
                <w:szCs w:val="20"/>
              </w:rPr>
              <w:t xml:space="preserve">Zuid-Willemsvaart. Aanleg Maximakanaal rond </w:t>
            </w:r>
          </w:p>
          <w:p w14:paraId="3C03F531" w14:textId="4FBFBE4E" w:rsidR="002D00B1" w:rsidRPr="00E351E9" w:rsidRDefault="002D00B1" w:rsidP="003A048A">
            <w:pPr>
              <w:jc w:val="left"/>
              <w:rPr>
                <w:sz w:val="20"/>
                <w:szCs w:val="20"/>
              </w:rPr>
            </w:pPr>
            <w:r w:rsidRPr="00E351E9">
              <w:rPr>
                <w:sz w:val="20"/>
                <w:szCs w:val="20"/>
              </w:rPr>
              <w:t>Den Bosch (klasse IV).</w:t>
            </w:r>
          </w:p>
          <w:p w14:paraId="258FC882" w14:textId="5034D6DA" w:rsidR="00107543" w:rsidRDefault="00107543" w:rsidP="003A048A">
            <w:pPr>
              <w:jc w:val="left"/>
              <w:rPr>
                <w:sz w:val="20"/>
                <w:szCs w:val="20"/>
              </w:rPr>
            </w:pPr>
            <w:r>
              <w:rPr>
                <w:sz w:val="20"/>
                <w:szCs w:val="20"/>
              </w:rPr>
              <w:t>Wilhelminakanaal naar Tilburg. Bouw nieuwe sluis 3.</w:t>
            </w:r>
          </w:p>
          <w:p w14:paraId="005F9297" w14:textId="77777777" w:rsidR="00107543" w:rsidRDefault="00107543" w:rsidP="003A048A">
            <w:pPr>
              <w:jc w:val="left"/>
              <w:rPr>
                <w:sz w:val="20"/>
                <w:szCs w:val="20"/>
              </w:rPr>
            </w:pPr>
            <w:r>
              <w:rPr>
                <w:sz w:val="20"/>
                <w:szCs w:val="20"/>
              </w:rPr>
              <w:t>Wilhelminakanaal naar Tilburg. Herbouw sluis 2.</w:t>
            </w:r>
          </w:p>
          <w:p w14:paraId="5192701C" w14:textId="77777777" w:rsidR="00107543" w:rsidRPr="00E351E9" w:rsidRDefault="00107543" w:rsidP="003A048A">
            <w:pPr>
              <w:jc w:val="left"/>
              <w:rPr>
                <w:sz w:val="20"/>
                <w:szCs w:val="20"/>
              </w:rPr>
            </w:pPr>
            <w:r w:rsidRPr="00E351E9">
              <w:rPr>
                <w:sz w:val="20"/>
                <w:szCs w:val="20"/>
              </w:rPr>
              <w:lastRenderedPageBreak/>
              <w:t xml:space="preserve">Vergroting Wilhelminakanaal bij Tilburg (klasse IV). </w:t>
            </w:r>
          </w:p>
          <w:p w14:paraId="262A513F" w14:textId="5D58EFF5" w:rsidR="00B04F51" w:rsidRDefault="009F7577" w:rsidP="003A048A">
            <w:pPr>
              <w:jc w:val="left"/>
              <w:rPr>
                <w:sz w:val="20"/>
                <w:szCs w:val="20"/>
              </w:rPr>
            </w:pPr>
            <w:r>
              <w:rPr>
                <w:sz w:val="20"/>
                <w:szCs w:val="20"/>
              </w:rPr>
              <w:t>Vergroting Julianakanaal</w:t>
            </w:r>
            <w:r w:rsidR="00873323">
              <w:rPr>
                <w:sz w:val="20"/>
                <w:szCs w:val="20"/>
              </w:rPr>
              <w:t>.</w:t>
            </w:r>
          </w:p>
        </w:tc>
        <w:tc>
          <w:tcPr>
            <w:tcW w:w="1637" w:type="dxa"/>
          </w:tcPr>
          <w:p w14:paraId="4AFEB26A" w14:textId="6C617E47" w:rsidR="000003D3" w:rsidRDefault="00107543" w:rsidP="004D72AC">
            <w:pPr>
              <w:jc w:val="left"/>
              <w:rPr>
                <w:sz w:val="20"/>
                <w:szCs w:val="20"/>
              </w:rPr>
            </w:pPr>
            <w:r w:rsidRPr="00C56F00">
              <w:rPr>
                <w:sz w:val="20"/>
                <w:szCs w:val="20"/>
              </w:rPr>
              <w:lastRenderedPageBreak/>
              <w:t>ca.1957-</w:t>
            </w:r>
          </w:p>
          <w:p w14:paraId="1B4084FE" w14:textId="280F7CC1" w:rsidR="006B387A" w:rsidRDefault="00107543" w:rsidP="004D72AC">
            <w:pPr>
              <w:jc w:val="left"/>
              <w:rPr>
                <w:sz w:val="20"/>
                <w:szCs w:val="20"/>
              </w:rPr>
            </w:pPr>
            <w:r w:rsidRPr="00C56F00">
              <w:rPr>
                <w:sz w:val="20"/>
                <w:szCs w:val="20"/>
              </w:rPr>
              <w:t>1976</w:t>
            </w:r>
          </w:p>
          <w:p w14:paraId="244ABC31" w14:textId="77777777" w:rsidR="00B2768B" w:rsidRDefault="00B2768B" w:rsidP="004D72AC">
            <w:pPr>
              <w:jc w:val="left"/>
              <w:rPr>
                <w:sz w:val="20"/>
                <w:szCs w:val="20"/>
              </w:rPr>
            </w:pPr>
          </w:p>
          <w:p w14:paraId="462C13E5" w14:textId="05B8F990" w:rsidR="00107543" w:rsidRPr="00C56F00" w:rsidRDefault="007B218A" w:rsidP="004D72AC">
            <w:pPr>
              <w:jc w:val="left"/>
              <w:rPr>
                <w:sz w:val="20"/>
                <w:szCs w:val="20"/>
              </w:rPr>
            </w:pPr>
            <w:r>
              <w:rPr>
                <w:sz w:val="20"/>
                <w:szCs w:val="20"/>
              </w:rPr>
              <w:t>J</w:t>
            </w:r>
            <w:r w:rsidR="00107543" w:rsidRPr="00C56F00">
              <w:rPr>
                <w:sz w:val="20"/>
                <w:szCs w:val="20"/>
              </w:rPr>
              <w:t xml:space="preserve">aren </w:t>
            </w:r>
            <w:r w:rsidR="00C56F00">
              <w:rPr>
                <w:sz w:val="20"/>
                <w:szCs w:val="20"/>
              </w:rPr>
              <w:t>19</w:t>
            </w:r>
            <w:r w:rsidR="00107543" w:rsidRPr="00C56F00">
              <w:rPr>
                <w:sz w:val="20"/>
                <w:szCs w:val="20"/>
              </w:rPr>
              <w:t>70</w:t>
            </w:r>
          </w:p>
          <w:p w14:paraId="34D6FF01" w14:textId="77777777" w:rsidR="00107543" w:rsidRPr="00C56F00" w:rsidRDefault="00107543" w:rsidP="004D72AC">
            <w:pPr>
              <w:jc w:val="left"/>
              <w:rPr>
                <w:sz w:val="20"/>
                <w:szCs w:val="20"/>
              </w:rPr>
            </w:pPr>
            <w:r w:rsidRPr="00C56F00">
              <w:rPr>
                <w:sz w:val="20"/>
                <w:szCs w:val="20"/>
              </w:rPr>
              <w:t>1983</w:t>
            </w:r>
          </w:p>
          <w:p w14:paraId="5C669A59" w14:textId="77777777" w:rsidR="00B2768B" w:rsidRDefault="00B2768B" w:rsidP="004D72AC">
            <w:pPr>
              <w:jc w:val="left"/>
              <w:rPr>
                <w:sz w:val="20"/>
                <w:szCs w:val="20"/>
              </w:rPr>
            </w:pPr>
          </w:p>
          <w:p w14:paraId="7C9A9222" w14:textId="62226416" w:rsidR="00784D8E" w:rsidRPr="00C56F00" w:rsidRDefault="00784D8E" w:rsidP="004D72AC">
            <w:pPr>
              <w:jc w:val="left"/>
              <w:rPr>
                <w:sz w:val="20"/>
                <w:szCs w:val="20"/>
              </w:rPr>
            </w:pPr>
            <w:r w:rsidRPr="00C56F00">
              <w:rPr>
                <w:sz w:val="20"/>
                <w:szCs w:val="20"/>
              </w:rPr>
              <w:t>ca. 1978-1990</w:t>
            </w:r>
          </w:p>
          <w:p w14:paraId="149037B1" w14:textId="77777777" w:rsidR="000003D3" w:rsidRDefault="000003D3" w:rsidP="004D72AC">
            <w:pPr>
              <w:jc w:val="left"/>
              <w:rPr>
                <w:sz w:val="20"/>
                <w:szCs w:val="20"/>
              </w:rPr>
            </w:pPr>
          </w:p>
          <w:p w14:paraId="45784ECA" w14:textId="07EC6FF8" w:rsidR="00034DDF" w:rsidRDefault="00784D8E" w:rsidP="004D72AC">
            <w:pPr>
              <w:jc w:val="left"/>
              <w:rPr>
                <w:sz w:val="20"/>
                <w:szCs w:val="20"/>
              </w:rPr>
            </w:pPr>
            <w:r w:rsidRPr="00C56F00">
              <w:rPr>
                <w:sz w:val="20"/>
                <w:szCs w:val="20"/>
              </w:rPr>
              <w:t>ca. 1981-1993</w:t>
            </w:r>
          </w:p>
          <w:p w14:paraId="186B4857" w14:textId="77777777" w:rsidR="006B387A" w:rsidRDefault="006B387A" w:rsidP="004D72AC">
            <w:pPr>
              <w:jc w:val="left"/>
              <w:rPr>
                <w:sz w:val="20"/>
                <w:szCs w:val="20"/>
              </w:rPr>
            </w:pPr>
          </w:p>
          <w:p w14:paraId="21237936" w14:textId="2F2E25C2" w:rsidR="00A21679" w:rsidRPr="00C56F00" w:rsidRDefault="00A21679" w:rsidP="004D72AC">
            <w:pPr>
              <w:jc w:val="left"/>
              <w:rPr>
                <w:sz w:val="20"/>
                <w:szCs w:val="20"/>
              </w:rPr>
            </w:pPr>
            <w:r>
              <w:rPr>
                <w:sz w:val="20"/>
                <w:szCs w:val="20"/>
              </w:rPr>
              <w:t>1982-1993</w:t>
            </w:r>
          </w:p>
          <w:p w14:paraId="4BD858D5" w14:textId="1B2542F9" w:rsidR="00784D8E" w:rsidRPr="00C56F00" w:rsidRDefault="007B218A" w:rsidP="004D72AC">
            <w:pPr>
              <w:jc w:val="left"/>
              <w:rPr>
                <w:sz w:val="20"/>
                <w:szCs w:val="20"/>
              </w:rPr>
            </w:pPr>
            <w:r>
              <w:rPr>
                <w:sz w:val="20"/>
                <w:szCs w:val="20"/>
              </w:rPr>
              <w:t>G</w:t>
            </w:r>
            <w:r w:rsidR="00784D8E" w:rsidRPr="00C56F00">
              <w:rPr>
                <w:sz w:val="20"/>
                <w:szCs w:val="20"/>
              </w:rPr>
              <w:t>ereed 1990</w:t>
            </w:r>
          </w:p>
          <w:p w14:paraId="0C86FAAA" w14:textId="74D3AFA3" w:rsidR="00B2768B" w:rsidRDefault="00B2768B" w:rsidP="004D72AC">
            <w:pPr>
              <w:jc w:val="left"/>
              <w:rPr>
                <w:sz w:val="20"/>
                <w:szCs w:val="20"/>
              </w:rPr>
            </w:pPr>
          </w:p>
          <w:p w14:paraId="1AF4BA14" w14:textId="56040F81" w:rsidR="00D97DA9" w:rsidRPr="00C56F00" w:rsidRDefault="00B2768B" w:rsidP="004D72AC">
            <w:pPr>
              <w:jc w:val="left"/>
              <w:rPr>
                <w:sz w:val="20"/>
                <w:szCs w:val="20"/>
              </w:rPr>
            </w:pPr>
            <w:r>
              <w:rPr>
                <w:sz w:val="20"/>
                <w:szCs w:val="20"/>
              </w:rPr>
              <w:t>1</w:t>
            </w:r>
            <w:r w:rsidR="00D97DA9" w:rsidRPr="00C56F00">
              <w:rPr>
                <w:sz w:val="20"/>
                <w:szCs w:val="20"/>
              </w:rPr>
              <w:t>986-1992</w:t>
            </w:r>
          </w:p>
          <w:p w14:paraId="13E95449" w14:textId="692E0055" w:rsidR="00784D8E" w:rsidRPr="00C56F00" w:rsidRDefault="00D97DA9" w:rsidP="004D72AC">
            <w:pPr>
              <w:jc w:val="left"/>
              <w:rPr>
                <w:sz w:val="20"/>
                <w:szCs w:val="20"/>
              </w:rPr>
            </w:pPr>
            <w:r w:rsidRPr="00C56F00">
              <w:rPr>
                <w:sz w:val="20"/>
                <w:szCs w:val="20"/>
              </w:rPr>
              <w:t>ca.</w:t>
            </w:r>
            <w:r w:rsidR="00E56602">
              <w:rPr>
                <w:sz w:val="20"/>
                <w:szCs w:val="20"/>
              </w:rPr>
              <w:t xml:space="preserve"> </w:t>
            </w:r>
            <w:r w:rsidRPr="00C56F00">
              <w:rPr>
                <w:sz w:val="20"/>
                <w:szCs w:val="20"/>
              </w:rPr>
              <w:t>2000</w:t>
            </w:r>
          </w:p>
          <w:p w14:paraId="46780339" w14:textId="77777777" w:rsidR="002A571E" w:rsidRDefault="002A571E" w:rsidP="004D72AC">
            <w:pPr>
              <w:jc w:val="left"/>
              <w:rPr>
                <w:sz w:val="20"/>
                <w:szCs w:val="20"/>
              </w:rPr>
            </w:pPr>
          </w:p>
          <w:p w14:paraId="1294EC19" w14:textId="0C5F7E2C" w:rsidR="00D97DA9" w:rsidRPr="00C56F00" w:rsidRDefault="00D97DA9" w:rsidP="004D72AC">
            <w:pPr>
              <w:jc w:val="left"/>
              <w:rPr>
                <w:sz w:val="20"/>
                <w:szCs w:val="20"/>
              </w:rPr>
            </w:pPr>
            <w:r w:rsidRPr="00C56F00">
              <w:rPr>
                <w:sz w:val="20"/>
                <w:szCs w:val="20"/>
              </w:rPr>
              <w:t>2003-2010</w:t>
            </w:r>
          </w:p>
          <w:p w14:paraId="504423D1" w14:textId="77777777" w:rsidR="00D97DA9" w:rsidRPr="00C56F00" w:rsidRDefault="00D97DA9" w:rsidP="004D72AC">
            <w:pPr>
              <w:jc w:val="left"/>
              <w:rPr>
                <w:sz w:val="20"/>
                <w:szCs w:val="20"/>
              </w:rPr>
            </w:pPr>
          </w:p>
          <w:p w14:paraId="288C1D99" w14:textId="77777777" w:rsidR="00D97DA9" w:rsidRPr="00C56F00" w:rsidRDefault="00D97DA9" w:rsidP="004D72AC">
            <w:pPr>
              <w:jc w:val="left"/>
              <w:rPr>
                <w:sz w:val="20"/>
                <w:szCs w:val="20"/>
              </w:rPr>
            </w:pPr>
            <w:r w:rsidRPr="00C56F00">
              <w:rPr>
                <w:sz w:val="20"/>
                <w:szCs w:val="20"/>
              </w:rPr>
              <w:t>2015</w:t>
            </w:r>
          </w:p>
          <w:p w14:paraId="1C86B76F" w14:textId="09F4A5AF" w:rsidR="00D97DA9" w:rsidRPr="00C56F00" w:rsidRDefault="00D97DA9" w:rsidP="004D72AC">
            <w:pPr>
              <w:jc w:val="left"/>
              <w:rPr>
                <w:sz w:val="20"/>
                <w:szCs w:val="20"/>
              </w:rPr>
            </w:pPr>
            <w:r w:rsidRPr="00C56F00">
              <w:rPr>
                <w:sz w:val="20"/>
                <w:szCs w:val="20"/>
              </w:rPr>
              <w:t>2017</w:t>
            </w:r>
          </w:p>
          <w:p w14:paraId="6D70C30F" w14:textId="61F81F45" w:rsidR="00D97DA9" w:rsidRPr="00C56F00" w:rsidRDefault="007B218A" w:rsidP="004D72AC">
            <w:pPr>
              <w:jc w:val="left"/>
              <w:rPr>
                <w:sz w:val="20"/>
                <w:szCs w:val="20"/>
              </w:rPr>
            </w:pPr>
            <w:r>
              <w:rPr>
                <w:sz w:val="20"/>
                <w:szCs w:val="20"/>
              </w:rPr>
              <w:t>I</w:t>
            </w:r>
            <w:r w:rsidR="00D97DA9" w:rsidRPr="00C56F00">
              <w:rPr>
                <w:sz w:val="20"/>
                <w:szCs w:val="20"/>
              </w:rPr>
              <w:t>n uitvoering</w:t>
            </w:r>
          </w:p>
          <w:p w14:paraId="5B105754" w14:textId="77777777" w:rsidR="00D97DA9" w:rsidRDefault="007B218A" w:rsidP="004D72AC">
            <w:pPr>
              <w:jc w:val="left"/>
              <w:rPr>
                <w:sz w:val="20"/>
                <w:szCs w:val="20"/>
              </w:rPr>
            </w:pPr>
            <w:r>
              <w:rPr>
                <w:sz w:val="20"/>
                <w:szCs w:val="20"/>
              </w:rPr>
              <w:lastRenderedPageBreak/>
              <w:t>I</w:t>
            </w:r>
            <w:r w:rsidR="00D97DA9" w:rsidRPr="00C56F00">
              <w:rPr>
                <w:sz w:val="20"/>
                <w:szCs w:val="20"/>
              </w:rPr>
              <w:t>n uitvoering</w:t>
            </w:r>
          </w:p>
          <w:p w14:paraId="407B92DC" w14:textId="0C659618" w:rsidR="009F7577" w:rsidRPr="00C56F00" w:rsidRDefault="009F7577" w:rsidP="004D72AC">
            <w:pPr>
              <w:jc w:val="left"/>
              <w:rPr>
                <w:sz w:val="20"/>
                <w:szCs w:val="20"/>
              </w:rPr>
            </w:pPr>
            <w:r>
              <w:rPr>
                <w:sz w:val="20"/>
                <w:szCs w:val="20"/>
              </w:rPr>
              <w:t>In uitvoering</w:t>
            </w:r>
          </w:p>
        </w:tc>
      </w:tr>
      <w:tr w:rsidR="0083401F" w:rsidRPr="000F52E3" w14:paraId="245052CD" w14:textId="77777777" w:rsidTr="00AD2AE5">
        <w:trPr>
          <w:trHeight w:val="2455"/>
        </w:trPr>
        <w:tc>
          <w:tcPr>
            <w:tcW w:w="1216" w:type="dxa"/>
          </w:tcPr>
          <w:p w14:paraId="576AAB7F" w14:textId="20CFDBEB" w:rsidR="0083401F" w:rsidRDefault="00AE5013" w:rsidP="00034DDF">
            <w:pPr>
              <w:rPr>
                <w:sz w:val="20"/>
                <w:szCs w:val="20"/>
              </w:rPr>
            </w:pPr>
            <w:r w:rsidRPr="00E351E9">
              <w:rPr>
                <w:sz w:val="20"/>
                <w:szCs w:val="20"/>
              </w:rPr>
              <w:lastRenderedPageBreak/>
              <w:t>Diversen</w:t>
            </w:r>
          </w:p>
        </w:tc>
        <w:tc>
          <w:tcPr>
            <w:tcW w:w="4733" w:type="dxa"/>
          </w:tcPr>
          <w:p w14:paraId="6740D59B" w14:textId="7C07079B" w:rsidR="00257C5A" w:rsidRDefault="00257C5A" w:rsidP="00321F36">
            <w:pPr>
              <w:jc w:val="left"/>
              <w:rPr>
                <w:sz w:val="20"/>
                <w:szCs w:val="20"/>
              </w:rPr>
            </w:pPr>
            <w:r>
              <w:rPr>
                <w:sz w:val="20"/>
                <w:szCs w:val="20"/>
              </w:rPr>
              <w:t>Zuiderzeewerken. Aanleg Hardersluis (klasse II).</w:t>
            </w:r>
          </w:p>
          <w:p w14:paraId="64551B1B" w14:textId="77777777" w:rsidR="00257C5A" w:rsidRDefault="00257C5A" w:rsidP="00321F36">
            <w:pPr>
              <w:jc w:val="left"/>
              <w:rPr>
                <w:sz w:val="20"/>
                <w:szCs w:val="20"/>
              </w:rPr>
            </w:pPr>
            <w:r>
              <w:rPr>
                <w:sz w:val="20"/>
                <w:szCs w:val="20"/>
              </w:rPr>
              <w:t>Zuiderzeewerken. Aanleg Roggebotsluis (klasse IV).</w:t>
            </w:r>
          </w:p>
          <w:p w14:paraId="7429F275" w14:textId="77777777" w:rsidR="00873323" w:rsidRDefault="00257C5A" w:rsidP="00321F36">
            <w:pPr>
              <w:jc w:val="left"/>
              <w:rPr>
                <w:sz w:val="20"/>
                <w:szCs w:val="20"/>
              </w:rPr>
            </w:pPr>
            <w:r w:rsidRPr="00E351E9">
              <w:rPr>
                <w:sz w:val="20"/>
                <w:szCs w:val="20"/>
              </w:rPr>
              <w:t>Vergroting Apeldoorns Kanaal, zuidelijke deel</w:t>
            </w:r>
          </w:p>
          <w:p w14:paraId="1AC6977A" w14:textId="08477329" w:rsidR="0083401F" w:rsidRDefault="00257C5A" w:rsidP="00321F36">
            <w:pPr>
              <w:jc w:val="left"/>
              <w:rPr>
                <w:sz w:val="20"/>
                <w:szCs w:val="20"/>
              </w:rPr>
            </w:pPr>
            <w:r w:rsidRPr="00E351E9">
              <w:rPr>
                <w:sz w:val="20"/>
                <w:szCs w:val="20"/>
              </w:rPr>
              <w:t>(klasse II).</w:t>
            </w:r>
          </w:p>
          <w:p w14:paraId="0660C118" w14:textId="77777777" w:rsidR="00334B6B" w:rsidRPr="00E351E9" w:rsidRDefault="00334B6B" w:rsidP="00321F36">
            <w:pPr>
              <w:jc w:val="left"/>
              <w:rPr>
                <w:sz w:val="20"/>
                <w:szCs w:val="20"/>
              </w:rPr>
            </w:pPr>
            <w:r w:rsidRPr="00E351E9">
              <w:rPr>
                <w:sz w:val="20"/>
                <w:szCs w:val="20"/>
              </w:rPr>
              <w:t xml:space="preserve">Verruiming </w:t>
            </w:r>
            <w:proofErr w:type="spellStart"/>
            <w:r w:rsidRPr="00E351E9">
              <w:rPr>
                <w:sz w:val="20"/>
                <w:szCs w:val="20"/>
              </w:rPr>
              <w:t>Winschoterdiep</w:t>
            </w:r>
            <w:proofErr w:type="spellEnd"/>
            <w:r w:rsidRPr="00E351E9">
              <w:rPr>
                <w:sz w:val="20"/>
                <w:szCs w:val="20"/>
              </w:rPr>
              <w:t xml:space="preserve"> (klasse IV)</w:t>
            </w:r>
            <w:r>
              <w:rPr>
                <w:sz w:val="20"/>
                <w:szCs w:val="20"/>
              </w:rPr>
              <w:t>.</w:t>
            </w:r>
          </w:p>
          <w:p w14:paraId="595ED501" w14:textId="77777777" w:rsidR="00334B6B" w:rsidRDefault="00334B6B" w:rsidP="00321F36">
            <w:pPr>
              <w:jc w:val="left"/>
              <w:rPr>
                <w:sz w:val="20"/>
                <w:szCs w:val="20"/>
              </w:rPr>
            </w:pPr>
            <w:r w:rsidRPr="00E351E9">
              <w:rPr>
                <w:sz w:val="20"/>
                <w:szCs w:val="20"/>
              </w:rPr>
              <w:t>Aanleg Korte Vlietkanaal bij Leiden</w:t>
            </w:r>
            <w:r>
              <w:rPr>
                <w:sz w:val="20"/>
                <w:szCs w:val="20"/>
              </w:rPr>
              <w:t xml:space="preserve"> (klasse III)</w:t>
            </w:r>
            <w:r w:rsidRPr="00E351E9">
              <w:rPr>
                <w:sz w:val="20"/>
                <w:szCs w:val="20"/>
              </w:rPr>
              <w:t>.</w:t>
            </w:r>
          </w:p>
          <w:p w14:paraId="279B006A" w14:textId="77777777" w:rsidR="00334B6B" w:rsidRPr="00E351E9" w:rsidRDefault="00334B6B" w:rsidP="00321F36">
            <w:pPr>
              <w:jc w:val="left"/>
              <w:rPr>
                <w:sz w:val="20"/>
                <w:szCs w:val="20"/>
              </w:rPr>
            </w:pPr>
            <w:r>
              <w:rPr>
                <w:sz w:val="20"/>
                <w:szCs w:val="20"/>
              </w:rPr>
              <w:t>Zuiderzeewerken. Aanleg Nijkerkersluis (klasse IV).</w:t>
            </w:r>
          </w:p>
          <w:p w14:paraId="696C9D97" w14:textId="77777777" w:rsidR="0018764D" w:rsidRPr="00E351E9" w:rsidRDefault="0018764D" w:rsidP="00321F36">
            <w:pPr>
              <w:jc w:val="left"/>
              <w:rPr>
                <w:sz w:val="20"/>
                <w:szCs w:val="20"/>
              </w:rPr>
            </w:pPr>
            <w:r w:rsidRPr="00E351E9">
              <w:rPr>
                <w:sz w:val="20"/>
                <w:szCs w:val="20"/>
              </w:rPr>
              <w:t>Aanleg Zwolle-IJsselkanaal</w:t>
            </w:r>
            <w:r>
              <w:rPr>
                <w:sz w:val="20"/>
                <w:szCs w:val="20"/>
              </w:rPr>
              <w:t xml:space="preserve"> (Klasse Va)</w:t>
            </w:r>
            <w:r w:rsidRPr="00E351E9">
              <w:rPr>
                <w:sz w:val="20"/>
                <w:szCs w:val="20"/>
              </w:rPr>
              <w:t>.</w:t>
            </w:r>
          </w:p>
          <w:p w14:paraId="2FD93DC3" w14:textId="77777777" w:rsidR="00334B6B" w:rsidRDefault="0018764D" w:rsidP="00321F36">
            <w:pPr>
              <w:jc w:val="left"/>
              <w:rPr>
                <w:sz w:val="20"/>
                <w:szCs w:val="20"/>
              </w:rPr>
            </w:pPr>
            <w:r>
              <w:rPr>
                <w:sz w:val="20"/>
                <w:szCs w:val="20"/>
              </w:rPr>
              <w:t>Aanleg Zandkreeksluis.</w:t>
            </w:r>
          </w:p>
          <w:p w14:paraId="3D753302" w14:textId="77777777" w:rsidR="00E025F2" w:rsidRDefault="00E025F2" w:rsidP="00321F36">
            <w:pPr>
              <w:jc w:val="left"/>
              <w:rPr>
                <w:sz w:val="20"/>
                <w:szCs w:val="20"/>
              </w:rPr>
            </w:pPr>
            <w:r>
              <w:rPr>
                <w:sz w:val="20"/>
                <w:szCs w:val="20"/>
              </w:rPr>
              <w:t>Aanleg Grevelingensluis.</w:t>
            </w:r>
          </w:p>
          <w:p w14:paraId="323AF3B3" w14:textId="77777777" w:rsidR="00E025F2" w:rsidRPr="00E351E9" w:rsidRDefault="00E025F2" w:rsidP="00321F36">
            <w:pPr>
              <w:jc w:val="left"/>
              <w:rPr>
                <w:sz w:val="20"/>
                <w:szCs w:val="20"/>
              </w:rPr>
            </w:pPr>
            <w:r w:rsidRPr="00E351E9">
              <w:rPr>
                <w:sz w:val="20"/>
                <w:szCs w:val="20"/>
              </w:rPr>
              <w:t xml:space="preserve">Aanleg A.G. </w:t>
            </w:r>
            <w:proofErr w:type="spellStart"/>
            <w:r w:rsidRPr="00E351E9">
              <w:rPr>
                <w:sz w:val="20"/>
                <w:szCs w:val="20"/>
              </w:rPr>
              <w:t>Wildervanckkanaal</w:t>
            </w:r>
            <w:proofErr w:type="spellEnd"/>
            <w:r w:rsidRPr="00E351E9">
              <w:rPr>
                <w:sz w:val="20"/>
                <w:szCs w:val="20"/>
              </w:rPr>
              <w:t xml:space="preserve"> (klasse IV).</w:t>
            </w:r>
          </w:p>
          <w:p w14:paraId="62FC16F6" w14:textId="77777777" w:rsidR="00E025F2" w:rsidRPr="00E351E9" w:rsidRDefault="00E025F2" w:rsidP="00321F36">
            <w:pPr>
              <w:jc w:val="left"/>
              <w:rPr>
                <w:sz w:val="20"/>
                <w:szCs w:val="20"/>
              </w:rPr>
            </w:pPr>
            <w:r w:rsidRPr="00E351E9">
              <w:rPr>
                <w:sz w:val="20"/>
                <w:szCs w:val="20"/>
              </w:rPr>
              <w:t>Vergroting Johan Frisokanaal (klasse III).</w:t>
            </w:r>
          </w:p>
          <w:p w14:paraId="2C093185" w14:textId="77777777" w:rsidR="00723372" w:rsidRPr="00E351E9" w:rsidRDefault="00723372" w:rsidP="00321F36">
            <w:pPr>
              <w:jc w:val="left"/>
              <w:rPr>
                <w:sz w:val="20"/>
                <w:szCs w:val="20"/>
              </w:rPr>
            </w:pPr>
            <w:r w:rsidRPr="00E351E9">
              <w:rPr>
                <w:sz w:val="20"/>
                <w:szCs w:val="20"/>
              </w:rPr>
              <w:t>Vergroting Noord-Willemskanaal (klasse II).</w:t>
            </w:r>
          </w:p>
          <w:p w14:paraId="1C0EF7B3" w14:textId="77777777" w:rsidR="00723372" w:rsidRPr="00E351E9" w:rsidRDefault="00723372" w:rsidP="00321F36">
            <w:pPr>
              <w:jc w:val="left"/>
              <w:rPr>
                <w:sz w:val="20"/>
                <w:szCs w:val="20"/>
              </w:rPr>
            </w:pPr>
            <w:r w:rsidRPr="00E351E9">
              <w:rPr>
                <w:sz w:val="20"/>
                <w:szCs w:val="20"/>
              </w:rPr>
              <w:t>Rijnkanalisatie. Sluizen Driel, Amerongen,</w:t>
            </w:r>
            <w:r>
              <w:rPr>
                <w:sz w:val="20"/>
                <w:szCs w:val="20"/>
              </w:rPr>
              <w:t xml:space="preserve"> </w:t>
            </w:r>
            <w:r w:rsidRPr="00E351E9">
              <w:rPr>
                <w:sz w:val="20"/>
                <w:szCs w:val="20"/>
              </w:rPr>
              <w:t>Hages</w:t>
            </w:r>
            <w:r>
              <w:rPr>
                <w:sz w:val="20"/>
                <w:szCs w:val="20"/>
              </w:rPr>
              <w:t>tein.</w:t>
            </w:r>
          </w:p>
          <w:p w14:paraId="6CC4E89A" w14:textId="77777777" w:rsidR="00271923" w:rsidRDefault="00723372" w:rsidP="00321F36">
            <w:pPr>
              <w:jc w:val="left"/>
              <w:rPr>
                <w:sz w:val="20"/>
                <w:szCs w:val="20"/>
              </w:rPr>
            </w:pPr>
            <w:r w:rsidRPr="00E351E9">
              <w:rPr>
                <w:sz w:val="20"/>
                <w:szCs w:val="20"/>
              </w:rPr>
              <w:t xml:space="preserve">Rijnkanalisatie. IJssel. Bochtafsnijdingen Doesburg, </w:t>
            </w:r>
          </w:p>
          <w:p w14:paraId="238C9271" w14:textId="087ADEE0" w:rsidR="00723372" w:rsidRPr="00E351E9" w:rsidRDefault="00723372" w:rsidP="00321F36">
            <w:pPr>
              <w:jc w:val="left"/>
              <w:rPr>
                <w:sz w:val="20"/>
                <w:szCs w:val="20"/>
              </w:rPr>
            </w:pPr>
            <w:r w:rsidRPr="00E351E9">
              <w:rPr>
                <w:sz w:val="20"/>
                <w:szCs w:val="20"/>
              </w:rPr>
              <w:t>Rheden, De Steeg.</w:t>
            </w:r>
          </w:p>
          <w:p w14:paraId="6A34E6AC" w14:textId="77777777" w:rsidR="0046487A" w:rsidRPr="00E351E9" w:rsidRDefault="0046487A" w:rsidP="00321F36">
            <w:pPr>
              <w:jc w:val="left"/>
              <w:rPr>
                <w:sz w:val="20"/>
                <w:szCs w:val="20"/>
              </w:rPr>
            </w:pPr>
            <w:r w:rsidRPr="00E351E9">
              <w:rPr>
                <w:sz w:val="20"/>
                <w:szCs w:val="20"/>
              </w:rPr>
              <w:t>Verdieping Nieuwe Merwede</w:t>
            </w:r>
            <w:r>
              <w:rPr>
                <w:sz w:val="20"/>
                <w:szCs w:val="20"/>
              </w:rPr>
              <w:t>.</w:t>
            </w:r>
          </w:p>
          <w:p w14:paraId="0FC0FEAD" w14:textId="77777777" w:rsidR="0046487A" w:rsidRPr="00E351E9" w:rsidRDefault="0046487A" w:rsidP="00321F36">
            <w:pPr>
              <w:jc w:val="left"/>
              <w:rPr>
                <w:sz w:val="20"/>
                <w:szCs w:val="20"/>
              </w:rPr>
            </w:pPr>
            <w:r w:rsidRPr="00E351E9">
              <w:rPr>
                <w:sz w:val="20"/>
                <w:szCs w:val="20"/>
              </w:rPr>
              <w:t>Vernieuwing Koopvaarderschutsluis te Den Helder.</w:t>
            </w:r>
          </w:p>
          <w:p w14:paraId="6E19FFF7" w14:textId="77777777" w:rsidR="00E025F2" w:rsidRDefault="0070095E" w:rsidP="00321F36">
            <w:pPr>
              <w:jc w:val="left"/>
              <w:rPr>
                <w:sz w:val="20"/>
                <w:szCs w:val="20"/>
              </w:rPr>
            </w:pPr>
            <w:r w:rsidRPr="00E351E9">
              <w:rPr>
                <w:sz w:val="20"/>
                <w:szCs w:val="20"/>
              </w:rPr>
              <w:t>Verruiming Eem (klasse III).</w:t>
            </w:r>
          </w:p>
          <w:p w14:paraId="1520C636" w14:textId="670E7967" w:rsidR="00484F7A" w:rsidRPr="00E351E9" w:rsidRDefault="00484F7A" w:rsidP="00321F36">
            <w:pPr>
              <w:jc w:val="left"/>
              <w:rPr>
                <w:sz w:val="20"/>
                <w:szCs w:val="20"/>
              </w:rPr>
            </w:pPr>
            <w:r>
              <w:rPr>
                <w:sz w:val="20"/>
                <w:szCs w:val="20"/>
              </w:rPr>
              <w:t xml:space="preserve">Nijkerk. </w:t>
            </w:r>
            <w:r w:rsidRPr="00E351E9">
              <w:rPr>
                <w:sz w:val="20"/>
                <w:szCs w:val="20"/>
              </w:rPr>
              <w:t xml:space="preserve">Vergroting </w:t>
            </w:r>
            <w:proofErr w:type="spellStart"/>
            <w:r w:rsidRPr="00E351E9">
              <w:rPr>
                <w:sz w:val="20"/>
                <w:szCs w:val="20"/>
              </w:rPr>
              <w:t>Arkersluis</w:t>
            </w:r>
            <w:proofErr w:type="spellEnd"/>
            <w:r w:rsidRPr="00E351E9">
              <w:rPr>
                <w:sz w:val="20"/>
                <w:szCs w:val="20"/>
              </w:rPr>
              <w:t xml:space="preserve"> en </w:t>
            </w:r>
            <w:proofErr w:type="spellStart"/>
            <w:r w:rsidRPr="00E351E9">
              <w:rPr>
                <w:sz w:val="20"/>
                <w:szCs w:val="20"/>
              </w:rPr>
              <w:t>Arkervaart</w:t>
            </w:r>
            <w:proofErr w:type="spellEnd"/>
            <w:r w:rsidR="00D54085">
              <w:rPr>
                <w:sz w:val="20"/>
                <w:szCs w:val="20"/>
              </w:rPr>
              <w:t>.</w:t>
            </w:r>
          </w:p>
          <w:p w14:paraId="49519934" w14:textId="77777777" w:rsidR="00873323" w:rsidRDefault="00484F7A" w:rsidP="00321F36">
            <w:pPr>
              <w:jc w:val="left"/>
              <w:rPr>
                <w:sz w:val="20"/>
                <w:szCs w:val="20"/>
              </w:rPr>
            </w:pPr>
            <w:r w:rsidRPr="00E351E9">
              <w:rPr>
                <w:sz w:val="20"/>
                <w:szCs w:val="20"/>
              </w:rPr>
              <w:t xml:space="preserve">Vergroting en omlegging </w:t>
            </w:r>
            <w:proofErr w:type="spellStart"/>
            <w:r w:rsidRPr="00E351E9">
              <w:rPr>
                <w:sz w:val="20"/>
                <w:szCs w:val="20"/>
              </w:rPr>
              <w:t>Hoogeveense</w:t>
            </w:r>
            <w:proofErr w:type="spellEnd"/>
            <w:r w:rsidRPr="00E351E9">
              <w:rPr>
                <w:sz w:val="20"/>
                <w:szCs w:val="20"/>
              </w:rPr>
              <w:t xml:space="preserve"> Vaart</w:t>
            </w:r>
            <w:r>
              <w:rPr>
                <w:sz w:val="20"/>
                <w:szCs w:val="20"/>
              </w:rPr>
              <w:t xml:space="preserve"> </w:t>
            </w:r>
          </w:p>
          <w:p w14:paraId="2DAC1360" w14:textId="38199ABA" w:rsidR="00484F7A" w:rsidRDefault="00484F7A" w:rsidP="00321F36">
            <w:pPr>
              <w:jc w:val="left"/>
              <w:rPr>
                <w:sz w:val="20"/>
                <w:szCs w:val="20"/>
              </w:rPr>
            </w:pPr>
            <w:r>
              <w:rPr>
                <w:sz w:val="20"/>
                <w:szCs w:val="20"/>
              </w:rPr>
              <w:t>(klasse II).</w:t>
            </w:r>
          </w:p>
          <w:p w14:paraId="2B006E34" w14:textId="4C5ABB15" w:rsidR="00484F7A" w:rsidRDefault="00484F7A" w:rsidP="00321F36">
            <w:pPr>
              <w:jc w:val="left"/>
              <w:rPr>
                <w:sz w:val="20"/>
                <w:szCs w:val="20"/>
              </w:rPr>
            </w:pPr>
            <w:r>
              <w:rPr>
                <w:sz w:val="20"/>
                <w:szCs w:val="20"/>
              </w:rPr>
              <w:t>Aanleg Bergse Diepsluis</w:t>
            </w:r>
            <w:r w:rsidR="002C3FE7">
              <w:rPr>
                <w:sz w:val="20"/>
                <w:szCs w:val="20"/>
              </w:rPr>
              <w:t>.</w:t>
            </w:r>
          </w:p>
          <w:p w14:paraId="37B24779" w14:textId="77777777" w:rsidR="00A35808" w:rsidRDefault="00A35808" w:rsidP="00321F36">
            <w:pPr>
              <w:jc w:val="left"/>
              <w:rPr>
                <w:sz w:val="20"/>
                <w:szCs w:val="20"/>
              </w:rPr>
            </w:pPr>
            <w:r w:rsidRPr="00E351E9">
              <w:rPr>
                <w:sz w:val="20"/>
                <w:szCs w:val="20"/>
              </w:rPr>
              <w:t>Verwijderen Hardersluis.</w:t>
            </w:r>
          </w:p>
          <w:p w14:paraId="18B292E7" w14:textId="77777777" w:rsidR="003C18FC" w:rsidRDefault="00A35808" w:rsidP="00321F36">
            <w:pPr>
              <w:jc w:val="left"/>
              <w:rPr>
                <w:sz w:val="20"/>
                <w:szCs w:val="20"/>
              </w:rPr>
            </w:pPr>
            <w:r w:rsidRPr="00E351E9">
              <w:rPr>
                <w:sz w:val="20"/>
                <w:szCs w:val="20"/>
                <w:lang w:val="it-IT"/>
              </w:rPr>
              <w:t xml:space="preserve">Zaan. </w:t>
            </w:r>
            <w:r w:rsidRPr="00E351E9">
              <w:rPr>
                <w:sz w:val="20"/>
                <w:szCs w:val="20"/>
              </w:rPr>
              <w:t xml:space="preserve">Verdieping (klasse Va, vaartuigen 3000 ton, </w:t>
            </w:r>
          </w:p>
          <w:p w14:paraId="0342B687" w14:textId="2A51A1A2" w:rsidR="00A35808" w:rsidRPr="00E351E9" w:rsidRDefault="00A35808" w:rsidP="00321F36">
            <w:pPr>
              <w:jc w:val="left"/>
              <w:rPr>
                <w:sz w:val="20"/>
                <w:szCs w:val="20"/>
              </w:rPr>
            </w:pPr>
            <w:r w:rsidRPr="00E351E9">
              <w:rPr>
                <w:sz w:val="20"/>
                <w:szCs w:val="20"/>
              </w:rPr>
              <w:t xml:space="preserve">270 TEU). </w:t>
            </w:r>
          </w:p>
          <w:p w14:paraId="0106CEA2" w14:textId="00C3A4CF" w:rsidR="00A35808" w:rsidRDefault="00A35808" w:rsidP="00321F36">
            <w:pPr>
              <w:jc w:val="left"/>
              <w:rPr>
                <w:sz w:val="20"/>
                <w:szCs w:val="20"/>
              </w:rPr>
            </w:pPr>
            <w:r w:rsidRPr="00E351E9">
              <w:rPr>
                <w:sz w:val="20"/>
                <w:szCs w:val="20"/>
              </w:rPr>
              <w:t>Zaan. Restauratie en vergroting</w:t>
            </w:r>
            <w:r w:rsidR="002C3FE7">
              <w:rPr>
                <w:sz w:val="20"/>
                <w:szCs w:val="20"/>
              </w:rPr>
              <w:t>.</w:t>
            </w:r>
            <w:r w:rsidR="00D0588B">
              <w:rPr>
                <w:sz w:val="20"/>
                <w:szCs w:val="20"/>
              </w:rPr>
              <w:t xml:space="preserve"> </w:t>
            </w:r>
            <w:r w:rsidRPr="00E351E9">
              <w:rPr>
                <w:sz w:val="20"/>
                <w:szCs w:val="20"/>
              </w:rPr>
              <w:t>Wilhelminasluis Zaandam.</w:t>
            </w:r>
          </w:p>
          <w:p w14:paraId="471CC493" w14:textId="77777777" w:rsidR="000F52E3" w:rsidRPr="00E351E9" w:rsidRDefault="000F52E3" w:rsidP="00321F36">
            <w:pPr>
              <w:jc w:val="left"/>
              <w:rPr>
                <w:sz w:val="20"/>
                <w:szCs w:val="20"/>
              </w:rPr>
            </w:pPr>
            <w:r>
              <w:rPr>
                <w:sz w:val="20"/>
                <w:szCs w:val="20"/>
              </w:rPr>
              <w:t>Aanleg Koning Willem-Alexanderkanaal (recreatievaart).</w:t>
            </w:r>
          </w:p>
          <w:p w14:paraId="19CD1EDD" w14:textId="77777777" w:rsidR="00057DEE" w:rsidRDefault="000F52E3" w:rsidP="00321F36">
            <w:pPr>
              <w:jc w:val="left"/>
              <w:rPr>
                <w:sz w:val="20"/>
                <w:szCs w:val="20"/>
                <w:lang w:val="de-DE"/>
              </w:rPr>
            </w:pPr>
            <w:r w:rsidRPr="00E351E9">
              <w:rPr>
                <w:sz w:val="20"/>
                <w:szCs w:val="20"/>
              </w:rPr>
              <w:t>Gouwe.</w:t>
            </w:r>
            <w:r>
              <w:rPr>
                <w:sz w:val="20"/>
                <w:szCs w:val="20"/>
              </w:rPr>
              <w:t xml:space="preserve"> </w:t>
            </w:r>
            <w:proofErr w:type="spellStart"/>
            <w:r w:rsidRPr="00E351E9">
              <w:rPr>
                <w:sz w:val="20"/>
                <w:szCs w:val="20"/>
                <w:lang w:val="de-DE"/>
              </w:rPr>
              <w:t>Julianasluis</w:t>
            </w:r>
            <w:proofErr w:type="spellEnd"/>
            <w:r>
              <w:rPr>
                <w:sz w:val="20"/>
                <w:szCs w:val="20"/>
                <w:lang w:val="de-DE"/>
              </w:rPr>
              <w:t xml:space="preserve">. </w:t>
            </w:r>
            <w:proofErr w:type="spellStart"/>
            <w:r>
              <w:rPr>
                <w:sz w:val="20"/>
                <w:szCs w:val="20"/>
                <w:lang w:val="de-DE"/>
              </w:rPr>
              <w:t>Aanleg</w:t>
            </w:r>
            <w:proofErr w:type="spellEnd"/>
            <w:r w:rsidRPr="00E351E9">
              <w:rPr>
                <w:sz w:val="20"/>
                <w:szCs w:val="20"/>
                <w:lang w:val="de-DE"/>
              </w:rPr>
              <w:t xml:space="preserve"> </w:t>
            </w:r>
            <w:proofErr w:type="spellStart"/>
            <w:r>
              <w:rPr>
                <w:sz w:val="20"/>
                <w:szCs w:val="20"/>
                <w:lang w:val="de-DE"/>
              </w:rPr>
              <w:t>tweede</w:t>
            </w:r>
            <w:proofErr w:type="spellEnd"/>
            <w:r>
              <w:rPr>
                <w:sz w:val="20"/>
                <w:szCs w:val="20"/>
                <w:lang w:val="de-DE"/>
              </w:rPr>
              <w:t xml:space="preserve"> </w:t>
            </w:r>
            <w:proofErr w:type="spellStart"/>
            <w:r w:rsidRPr="00E351E9">
              <w:rPr>
                <w:sz w:val="20"/>
                <w:szCs w:val="20"/>
                <w:lang w:val="de-DE"/>
              </w:rPr>
              <w:t>schutkolk</w:t>
            </w:r>
            <w:proofErr w:type="spellEnd"/>
            <w:r w:rsidRPr="00E351E9">
              <w:rPr>
                <w:sz w:val="20"/>
                <w:szCs w:val="20"/>
                <w:lang w:val="de-DE"/>
              </w:rPr>
              <w:t xml:space="preserve"> </w:t>
            </w:r>
          </w:p>
          <w:p w14:paraId="46F59383" w14:textId="6E5DA699" w:rsidR="00484F7A" w:rsidRDefault="000F52E3" w:rsidP="00321F36">
            <w:pPr>
              <w:jc w:val="left"/>
              <w:rPr>
                <w:sz w:val="20"/>
                <w:szCs w:val="20"/>
                <w:lang w:val="de-DE"/>
              </w:rPr>
            </w:pPr>
            <w:r w:rsidRPr="00E351E9">
              <w:rPr>
                <w:sz w:val="20"/>
                <w:szCs w:val="20"/>
                <w:lang w:val="de-DE"/>
              </w:rPr>
              <w:t xml:space="preserve">(klasse Va).  </w:t>
            </w:r>
          </w:p>
          <w:p w14:paraId="26A22BE3" w14:textId="77777777" w:rsidR="000F52E3" w:rsidRDefault="000F52E3" w:rsidP="00321F36">
            <w:pPr>
              <w:jc w:val="left"/>
              <w:rPr>
                <w:sz w:val="20"/>
                <w:szCs w:val="20"/>
              </w:rPr>
            </w:pPr>
            <w:proofErr w:type="spellStart"/>
            <w:r w:rsidRPr="00E351E9">
              <w:rPr>
                <w:sz w:val="20"/>
                <w:szCs w:val="20"/>
              </w:rPr>
              <w:t>Winschoterdiep</w:t>
            </w:r>
            <w:proofErr w:type="spellEnd"/>
            <w:r>
              <w:rPr>
                <w:sz w:val="20"/>
                <w:szCs w:val="20"/>
              </w:rPr>
              <w:t xml:space="preserve"> (klasse Va, met vergunning toegestaan).</w:t>
            </w:r>
          </w:p>
          <w:p w14:paraId="32421728" w14:textId="55E983E3" w:rsidR="000F52E3" w:rsidRDefault="000F52E3" w:rsidP="00321F36">
            <w:pPr>
              <w:jc w:val="left"/>
              <w:rPr>
                <w:sz w:val="20"/>
                <w:szCs w:val="20"/>
              </w:rPr>
            </w:pPr>
            <w:r>
              <w:rPr>
                <w:sz w:val="20"/>
                <w:szCs w:val="20"/>
              </w:rPr>
              <w:t xml:space="preserve">Vervanging Roggebotsluis door </w:t>
            </w:r>
            <w:proofErr w:type="spellStart"/>
            <w:r>
              <w:rPr>
                <w:sz w:val="20"/>
                <w:szCs w:val="20"/>
              </w:rPr>
              <w:t>Reevesluis</w:t>
            </w:r>
            <w:proofErr w:type="spellEnd"/>
            <w:r>
              <w:rPr>
                <w:sz w:val="20"/>
                <w:szCs w:val="20"/>
              </w:rPr>
              <w:t>.</w:t>
            </w:r>
          </w:p>
        </w:tc>
        <w:tc>
          <w:tcPr>
            <w:tcW w:w="1637" w:type="dxa"/>
          </w:tcPr>
          <w:p w14:paraId="30ABD065" w14:textId="21525ACD" w:rsidR="00257C5A" w:rsidRPr="00857CEB" w:rsidRDefault="00257C5A" w:rsidP="004D72AC">
            <w:pPr>
              <w:jc w:val="left"/>
              <w:rPr>
                <w:sz w:val="20"/>
                <w:szCs w:val="20"/>
                <w:lang w:val="en-US"/>
              </w:rPr>
            </w:pPr>
            <w:r w:rsidRPr="00857CEB">
              <w:rPr>
                <w:sz w:val="20"/>
                <w:szCs w:val="20"/>
                <w:lang w:val="en-US"/>
              </w:rPr>
              <w:t>1954</w:t>
            </w:r>
          </w:p>
          <w:p w14:paraId="475AB604" w14:textId="77777777" w:rsidR="00257C5A" w:rsidRPr="00857CEB" w:rsidRDefault="00257C5A" w:rsidP="004D72AC">
            <w:pPr>
              <w:jc w:val="left"/>
              <w:rPr>
                <w:sz w:val="20"/>
                <w:szCs w:val="20"/>
                <w:lang w:val="en-US"/>
              </w:rPr>
            </w:pPr>
            <w:r w:rsidRPr="00857CEB">
              <w:rPr>
                <w:sz w:val="20"/>
                <w:szCs w:val="20"/>
                <w:lang w:val="en-US"/>
              </w:rPr>
              <w:t>1956</w:t>
            </w:r>
          </w:p>
          <w:p w14:paraId="75F305F4" w14:textId="77777777" w:rsidR="00D0588B" w:rsidRDefault="00D0588B" w:rsidP="004D72AC">
            <w:pPr>
              <w:jc w:val="left"/>
              <w:rPr>
                <w:sz w:val="20"/>
                <w:szCs w:val="20"/>
                <w:lang w:val="en-US"/>
              </w:rPr>
            </w:pPr>
          </w:p>
          <w:p w14:paraId="3A6DAFF9" w14:textId="1983F24C" w:rsidR="00257C5A" w:rsidRPr="00857CEB" w:rsidRDefault="00257C5A" w:rsidP="004D72AC">
            <w:pPr>
              <w:jc w:val="left"/>
              <w:rPr>
                <w:sz w:val="20"/>
                <w:szCs w:val="20"/>
                <w:lang w:val="en-US"/>
              </w:rPr>
            </w:pPr>
            <w:r w:rsidRPr="00857CEB">
              <w:rPr>
                <w:sz w:val="20"/>
                <w:szCs w:val="20"/>
                <w:lang w:val="en-US"/>
              </w:rPr>
              <w:t>1954-1957</w:t>
            </w:r>
          </w:p>
          <w:p w14:paraId="7896BBFF" w14:textId="77777777" w:rsidR="00334B6B" w:rsidRPr="00857CEB" w:rsidRDefault="00334B6B" w:rsidP="004D72AC">
            <w:pPr>
              <w:jc w:val="left"/>
              <w:rPr>
                <w:sz w:val="20"/>
                <w:szCs w:val="20"/>
                <w:lang w:val="en-US"/>
              </w:rPr>
            </w:pPr>
            <w:r w:rsidRPr="00857CEB">
              <w:rPr>
                <w:sz w:val="20"/>
                <w:szCs w:val="20"/>
                <w:lang w:val="en-US"/>
              </w:rPr>
              <w:t>ca. 1960</w:t>
            </w:r>
          </w:p>
          <w:p w14:paraId="06979411" w14:textId="77777777" w:rsidR="00334B6B" w:rsidRPr="00857CEB" w:rsidRDefault="00334B6B" w:rsidP="004D72AC">
            <w:pPr>
              <w:jc w:val="left"/>
              <w:rPr>
                <w:sz w:val="20"/>
                <w:szCs w:val="20"/>
                <w:lang w:val="en-US"/>
              </w:rPr>
            </w:pPr>
            <w:r w:rsidRPr="00857CEB">
              <w:rPr>
                <w:sz w:val="20"/>
                <w:szCs w:val="20"/>
                <w:lang w:val="en-US"/>
              </w:rPr>
              <w:t>ca. 1960</w:t>
            </w:r>
          </w:p>
          <w:p w14:paraId="7A005097" w14:textId="77777777" w:rsidR="00334B6B" w:rsidRPr="00857CEB" w:rsidRDefault="00334B6B" w:rsidP="004D72AC">
            <w:pPr>
              <w:jc w:val="left"/>
              <w:rPr>
                <w:sz w:val="20"/>
                <w:szCs w:val="20"/>
                <w:lang w:val="en-US"/>
              </w:rPr>
            </w:pPr>
            <w:r w:rsidRPr="00857CEB">
              <w:rPr>
                <w:sz w:val="20"/>
                <w:szCs w:val="20"/>
                <w:lang w:val="en-US"/>
              </w:rPr>
              <w:t>1962</w:t>
            </w:r>
          </w:p>
          <w:p w14:paraId="71BFCF7C" w14:textId="77777777" w:rsidR="0018764D" w:rsidRPr="00857CEB" w:rsidRDefault="0018764D" w:rsidP="004D72AC">
            <w:pPr>
              <w:jc w:val="left"/>
              <w:rPr>
                <w:sz w:val="20"/>
                <w:szCs w:val="20"/>
                <w:lang w:val="en-US"/>
              </w:rPr>
            </w:pPr>
            <w:r w:rsidRPr="00857CEB">
              <w:rPr>
                <w:sz w:val="20"/>
                <w:szCs w:val="20"/>
                <w:lang w:val="en-US"/>
              </w:rPr>
              <w:t>1954-1964</w:t>
            </w:r>
          </w:p>
          <w:p w14:paraId="56AD4ED0" w14:textId="77777777" w:rsidR="0018764D" w:rsidRPr="00857CEB" w:rsidRDefault="0018764D" w:rsidP="004D72AC">
            <w:pPr>
              <w:jc w:val="left"/>
              <w:rPr>
                <w:sz w:val="20"/>
                <w:szCs w:val="20"/>
                <w:lang w:val="en-US"/>
              </w:rPr>
            </w:pPr>
            <w:r w:rsidRPr="00857CEB">
              <w:rPr>
                <w:sz w:val="20"/>
                <w:szCs w:val="20"/>
                <w:lang w:val="en-US"/>
              </w:rPr>
              <w:t>ca. 1960</w:t>
            </w:r>
          </w:p>
          <w:p w14:paraId="692E4EB4" w14:textId="77777777" w:rsidR="00E025F2" w:rsidRPr="00857CEB" w:rsidRDefault="00E025F2" w:rsidP="004D72AC">
            <w:pPr>
              <w:jc w:val="left"/>
              <w:rPr>
                <w:sz w:val="20"/>
                <w:szCs w:val="20"/>
                <w:lang w:val="en-US"/>
              </w:rPr>
            </w:pPr>
            <w:r w:rsidRPr="00857CEB">
              <w:rPr>
                <w:sz w:val="20"/>
                <w:szCs w:val="20"/>
                <w:lang w:val="en-US"/>
              </w:rPr>
              <w:t>ca. 1962</w:t>
            </w:r>
          </w:p>
          <w:p w14:paraId="3284D702" w14:textId="77777777" w:rsidR="00E025F2" w:rsidRPr="00857CEB" w:rsidRDefault="00E025F2" w:rsidP="004D72AC">
            <w:pPr>
              <w:jc w:val="left"/>
              <w:rPr>
                <w:sz w:val="20"/>
                <w:szCs w:val="20"/>
                <w:lang w:val="en-US"/>
              </w:rPr>
            </w:pPr>
            <w:r w:rsidRPr="00857CEB">
              <w:rPr>
                <w:sz w:val="20"/>
                <w:szCs w:val="20"/>
                <w:lang w:val="en-US"/>
              </w:rPr>
              <w:t>1965</w:t>
            </w:r>
          </w:p>
          <w:p w14:paraId="45CB5579" w14:textId="77777777" w:rsidR="00E025F2" w:rsidRPr="00857CEB" w:rsidRDefault="00E025F2" w:rsidP="004D72AC">
            <w:pPr>
              <w:jc w:val="left"/>
              <w:rPr>
                <w:sz w:val="20"/>
                <w:szCs w:val="20"/>
                <w:lang w:val="en-US"/>
              </w:rPr>
            </w:pPr>
            <w:r w:rsidRPr="00857CEB">
              <w:rPr>
                <w:sz w:val="20"/>
                <w:szCs w:val="20"/>
                <w:lang w:val="en-US"/>
              </w:rPr>
              <w:t>ca.1966</w:t>
            </w:r>
          </w:p>
          <w:p w14:paraId="059C8478" w14:textId="77777777" w:rsidR="00723372" w:rsidRPr="00857CEB" w:rsidRDefault="00723372" w:rsidP="004D72AC">
            <w:pPr>
              <w:jc w:val="left"/>
              <w:rPr>
                <w:sz w:val="20"/>
                <w:szCs w:val="20"/>
                <w:lang w:val="en-US"/>
              </w:rPr>
            </w:pPr>
            <w:r w:rsidRPr="00857CEB">
              <w:rPr>
                <w:sz w:val="20"/>
                <w:szCs w:val="20"/>
                <w:lang w:val="en-US"/>
              </w:rPr>
              <w:t>1965-1970</w:t>
            </w:r>
          </w:p>
          <w:p w14:paraId="4AF8134F" w14:textId="77777777" w:rsidR="00723372" w:rsidRPr="00857CEB" w:rsidRDefault="00723372" w:rsidP="004D72AC">
            <w:pPr>
              <w:jc w:val="left"/>
              <w:rPr>
                <w:sz w:val="20"/>
                <w:szCs w:val="20"/>
                <w:lang w:val="en-US"/>
              </w:rPr>
            </w:pPr>
            <w:r w:rsidRPr="00857CEB">
              <w:rPr>
                <w:sz w:val="20"/>
                <w:szCs w:val="20"/>
                <w:lang w:val="en-US"/>
              </w:rPr>
              <w:t>1951-1970</w:t>
            </w:r>
          </w:p>
          <w:p w14:paraId="6B045D14" w14:textId="69170570" w:rsidR="0083401F" w:rsidRDefault="0083401F" w:rsidP="004D72AC">
            <w:pPr>
              <w:jc w:val="left"/>
              <w:rPr>
                <w:sz w:val="20"/>
                <w:szCs w:val="20"/>
                <w:lang w:val="en-US"/>
              </w:rPr>
            </w:pPr>
          </w:p>
          <w:p w14:paraId="33FEB11A" w14:textId="69D26892" w:rsidR="00723372" w:rsidRPr="00857CEB" w:rsidRDefault="00723372" w:rsidP="004D72AC">
            <w:pPr>
              <w:jc w:val="left"/>
              <w:rPr>
                <w:sz w:val="20"/>
                <w:szCs w:val="20"/>
                <w:lang w:val="en-US"/>
              </w:rPr>
            </w:pPr>
            <w:r w:rsidRPr="00857CEB">
              <w:rPr>
                <w:sz w:val="20"/>
                <w:szCs w:val="20"/>
                <w:lang w:val="en-US"/>
              </w:rPr>
              <w:t>1951</w:t>
            </w:r>
            <w:r w:rsidR="0020162E">
              <w:rPr>
                <w:sz w:val="20"/>
                <w:szCs w:val="20"/>
                <w:lang w:val="en-US"/>
              </w:rPr>
              <w:t>-</w:t>
            </w:r>
            <w:r w:rsidRPr="00857CEB">
              <w:rPr>
                <w:sz w:val="20"/>
                <w:szCs w:val="20"/>
                <w:lang w:val="en-US"/>
              </w:rPr>
              <w:t>ca.</w:t>
            </w:r>
            <w:r w:rsidR="002644FF">
              <w:rPr>
                <w:sz w:val="20"/>
                <w:szCs w:val="20"/>
                <w:lang w:val="en-US"/>
              </w:rPr>
              <w:t xml:space="preserve"> </w:t>
            </w:r>
            <w:r w:rsidRPr="00857CEB">
              <w:rPr>
                <w:sz w:val="20"/>
                <w:szCs w:val="20"/>
                <w:lang w:val="en-US"/>
              </w:rPr>
              <w:t>1970</w:t>
            </w:r>
          </w:p>
          <w:p w14:paraId="30FA95C7" w14:textId="77777777" w:rsidR="0046487A" w:rsidRPr="00857CEB" w:rsidRDefault="0046487A" w:rsidP="004D72AC">
            <w:pPr>
              <w:jc w:val="left"/>
              <w:rPr>
                <w:sz w:val="20"/>
                <w:szCs w:val="20"/>
                <w:lang w:val="en-US"/>
              </w:rPr>
            </w:pPr>
            <w:r w:rsidRPr="00857CEB">
              <w:rPr>
                <w:sz w:val="20"/>
                <w:szCs w:val="20"/>
                <w:lang w:val="en-US"/>
              </w:rPr>
              <w:t>ca. 1976</w:t>
            </w:r>
          </w:p>
          <w:p w14:paraId="5C785109" w14:textId="64968FE1" w:rsidR="0046487A" w:rsidRPr="00857CEB" w:rsidRDefault="0046487A" w:rsidP="004D72AC">
            <w:pPr>
              <w:jc w:val="left"/>
              <w:rPr>
                <w:sz w:val="20"/>
                <w:szCs w:val="20"/>
                <w:lang w:val="en-US"/>
              </w:rPr>
            </w:pPr>
            <w:r w:rsidRPr="00857CEB">
              <w:rPr>
                <w:sz w:val="20"/>
                <w:szCs w:val="20"/>
                <w:lang w:val="en-US"/>
              </w:rPr>
              <w:t>1981-ca.</w:t>
            </w:r>
            <w:r w:rsidR="00164D49">
              <w:rPr>
                <w:sz w:val="20"/>
                <w:szCs w:val="20"/>
                <w:lang w:val="en-US"/>
              </w:rPr>
              <w:t xml:space="preserve"> </w:t>
            </w:r>
            <w:r w:rsidRPr="00857CEB">
              <w:rPr>
                <w:sz w:val="20"/>
                <w:szCs w:val="20"/>
                <w:lang w:val="en-US"/>
              </w:rPr>
              <w:t>1984</w:t>
            </w:r>
          </w:p>
          <w:p w14:paraId="33389924" w14:textId="2909B27E" w:rsidR="00723372" w:rsidRPr="00E025F2" w:rsidRDefault="00BF056C" w:rsidP="004D72AC">
            <w:pPr>
              <w:jc w:val="left"/>
              <w:rPr>
                <w:sz w:val="20"/>
                <w:szCs w:val="20"/>
                <w:lang w:val="en-US"/>
              </w:rPr>
            </w:pPr>
            <w:r>
              <w:rPr>
                <w:sz w:val="20"/>
                <w:szCs w:val="20"/>
                <w:lang w:val="en-US"/>
              </w:rPr>
              <w:t>-</w:t>
            </w:r>
          </w:p>
          <w:p w14:paraId="01AE8607" w14:textId="77777777" w:rsidR="00484F7A" w:rsidRPr="00857CEB" w:rsidRDefault="00484F7A" w:rsidP="004D72AC">
            <w:pPr>
              <w:jc w:val="left"/>
              <w:rPr>
                <w:sz w:val="20"/>
                <w:szCs w:val="20"/>
                <w:lang w:val="en-US"/>
              </w:rPr>
            </w:pPr>
            <w:r w:rsidRPr="00857CEB">
              <w:rPr>
                <w:sz w:val="20"/>
                <w:szCs w:val="20"/>
                <w:lang w:val="en-US"/>
              </w:rPr>
              <w:t>ca. 1984</w:t>
            </w:r>
          </w:p>
          <w:p w14:paraId="16B8881E" w14:textId="77777777" w:rsidR="00D0588B" w:rsidRDefault="00D0588B" w:rsidP="004D72AC">
            <w:pPr>
              <w:jc w:val="left"/>
              <w:rPr>
                <w:sz w:val="20"/>
                <w:szCs w:val="20"/>
                <w:lang w:val="en-US"/>
              </w:rPr>
            </w:pPr>
          </w:p>
          <w:p w14:paraId="0AF6BC45" w14:textId="07385243" w:rsidR="00484F7A" w:rsidRPr="00857CEB" w:rsidRDefault="00484F7A" w:rsidP="004D72AC">
            <w:pPr>
              <w:jc w:val="left"/>
              <w:rPr>
                <w:sz w:val="20"/>
                <w:szCs w:val="20"/>
                <w:lang w:val="en-US"/>
              </w:rPr>
            </w:pPr>
            <w:r w:rsidRPr="00857CEB">
              <w:rPr>
                <w:sz w:val="20"/>
                <w:szCs w:val="20"/>
                <w:lang w:val="en-US"/>
              </w:rPr>
              <w:t>1964-1988</w:t>
            </w:r>
          </w:p>
          <w:p w14:paraId="42194CB2" w14:textId="77777777" w:rsidR="00A35808" w:rsidRPr="00857CEB" w:rsidRDefault="00A35808" w:rsidP="004D72AC">
            <w:pPr>
              <w:jc w:val="left"/>
              <w:rPr>
                <w:sz w:val="20"/>
                <w:szCs w:val="20"/>
                <w:lang w:val="en-US"/>
              </w:rPr>
            </w:pPr>
            <w:r w:rsidRPr="00857CEB">
              <w:rPr>
                <w:sz w:val="20"/>
                <w:szCs w:val="20"/>
                <w:lang w:val="en-US"/>
              </w:rPr>
              <w:t>ca. 1986</w:t>
            </w:r>
          </w:p>
          <w:p w14:paraId="1758ACE4" w14:textId="77777777" w:rsidR="00A35808" w:rsidRPr="0092265B" w:rsidRDefault="00A35808" w:rsidP="004D72AC">
            <w:pPr>
              <w:jc w:val="left"/>
              <w:rPr>
                <w:sz w:val="20"/>
                <w:szCs w:val="20"/>
              </w:rPr>
            </w:pPr>
            <w:r w:rsidRPr="0092265B">
              <w:rPr>
                <w:sz w:val="20"/>
                <w:szCs w:val="20"/>
              </w:rPr>
              <w:t>ca. 2003</w:t>
            </w:r>
          </w:p>
          <w:p w14:paraId="2CF17998" w14:textId="24CDCA6C" w:rsidR="003C18FC" w:rsidRDefault="003C18FC" w:rsidP="004D72AC">
            <w:pPr>
              <w:jc w:val="left"/>
              <w:rPr>
                <w:sz w:val="20"/>
                <w:szCs w:val="20"/>
              </w:rPr>
            </w:pPr>
          </w:p>
          <w:p w14:paraId="027551DE" w14:textId="7561E6C3" w:rsidR="002644FF" w:rsidRDefault="007B218A" w:rsidP="004D72AC">
            <w:pPr>
              <w:jc w:val="left"/>
              <w:rPr>
                <w:sz w:val="20"/>
                <w:szCs w:val="20"/>
              </w:rPr>
            </w:pPr>
            <w:r>
              <w:rPr>
                <w:sz w:val="20"/>
                <w:szCs w:val="20"/>
              </w:rPr>
              <w:t>I</w:t>
            </w:r>
            <w:r w:rsidR="00A35808" w:rsidRPr="00E351E9">
              <w:rPr>
                <w:sz w:val="20"/>
                <w:szCs w:val="20"/>
              </w:rPr>
              <w:t>n uitvoering</w:t>
            </w:r>
          </w:p>
          <w:p w14:paraId="5A1A1C46" w14:textId="77777777" w:rsidR="00D0588B" w:rsidRDefault="00D0588B" w:rsidP="004D72AC">
            <w:pPr>
              <w:jc w:val="left"/>
              <w:rPr>
                <w:sz w:val="20"/>
                <w:szCs w:val="20"/>
              </w:rPr>
            </w:pPr>
          </w:p>
          <w:p w14:paraId="525DB50E" w14:textId="6C96391E" w:rsidR="00A35808" w:rsidRDefault="007B218A" w:rsidP="004D72AC">
            <w:pPr>
              <w:jc w:val="left"/>
              <w:rPr>
                <w:sz w:val="20"/>
                <w:szCs w:val="20"/>
              </w:rPr>
            </w:pPr>
            <w:r>
              <w:rPr>
                <w:sz w:val="20"/>
                <w:szCs w:val="20"/>
              </w:rPr>
              <w:t>I</w:t>
            </w:r>
            <w:r w:rsidR="00A35808" w:rsidRPr="00E351E9">
              <w:rPr>
                <w:sz w:val="20"/>
                <w:szCs w:val="20"/>
              </w:rPr>
              <w:t>n uitvoering</w:t>
            </w:r>
          </w:p>
          <w:p w14:paraId="1DE89306" w14:textId="77777777" w:rsidR="00D0588B" w:rsidRDefault="00D0588B" w:rsidP="004D72AC">
            <w:pPr>
              <w:jc w:val="left"/>
              <w:rPr>
                <w:sz w:val="20"/>
                <w:szCs w:val="20"/>
              </w:rPr>
            </w:pPr>
          </w:p>
          <w:p w14:paraId="305B28B2" w14:textId="7E585602" w:rsidR="000F52E3" w:rsidRPr="00E351E9" w:rsidRDefault="000F52E3" w:rsidP="004D72AC">
            <w:pPr>
              <w:jc w:val="left"/>
              <w:rPr>
                <w:sz w:val="20"/>
                <w:szCs w:val="20"/>
              </w:rPr>
            </w:pPr>
            <w:r>
              <w:rPr>
                <w:sz w:val="20"/>
                <w:szCs w:val="20"/>
              </w:rPr>
              <w:t>2013</w:t>
            </w:r>
          </w:p>
          <w:p w14:paraId="0C05248A" w14:textId="77777777" w:rsidR="00D0588B" w:rsidRDefault="00D0588B" w:rsidP="004D72AC">
            <w:pPr>
              <w:jc w:val="left"/>
              <w:rPr>
                <w:sz w:val="20"/>
                <w:szCs w:val="20"/>
              </w:rPr>
            </w:pPr>
          </w:p>
          <w:p w14:paraId="5515B0AF" w14:textId="404AAE15" w:rsidR="000F52E3" w:rsidRPr="00E351E9" w:rsidRDefault="000F52E3" w:rsidP="004D72AC">
            <w:pPr>
              <w:jc w:val="left"/>
              <w:rPr>
                <w:sz w:val="20"/>
                <w:szCs w:val="20"/>
              </w:rPr>
            </w:pPr>
            <w:r>
              <w:rPr>
                <w:sz w:val="20"/>
                <w:szCs w:val="20"/>
              </w:rPr>
              <w:t>2014</w:t>
            </w:r>
          </w:p>
          <w:p w14:paraId="5344E3CD" w14:textId="77777777" w:rsidR="00D0588B" w:rsidRDefault="00D0588B" w:rsidP="004D72AC">
            <w:pPr>
              <w:jc w:val="left"/>
              <w:rPr>
                <w:sz w:val="20"/>
                <w:szCs w:val="20"/>
              </w:rPr>
            </w:pPr>
          </w:p>
          <w:p w14:paraId="61B253CB" w14:textId="6D25D1AF" w:rsidR="000F52E3" w:rsidRDefault="000F52E3" w:rsidP="004D72AC">
            <w:pPr>
              <w:jc w:val="left"/>
              <w:rPr>
                <w:sz w:val="20"/>
                <w:szCs w:val="20"/>
              </w:rPr>
            </w:pPr>
            <w:r>
              <w:rPr>
                <w:sz w:val="20"/>
                <w:szCs w:val="20"/>
              </w:rPr>
              <w:t>Vanaf</w:t>
            </w:r>
            <w:r w:rsidR="00234AD8">
              <w:rPr>
                <w:sz w:val="20"/>
                <w:szCs w:val="20"/>
              </w:rPr>
              <w:t xml:space="preserve"> </w:t>
            </w:r>
            <w:r w:rsidR="00057DEE">
              <w:rPr>
                <w:sz w:val="20"/>
                <w:szCs w:val="20"/>
              </w:rPr>
              <w:t xml:space="preserve"> </w:t>
            </w:r>
            <w:r>
              <w:rPr>
                <w:sz w:val="20"/>
                <w:szCs w:val="20"/>
              </w:rPr>
              <w:t>2015</w:t>
            </w:r>
          </w:p>
          <w:p w14:paraId="2C7F2237" w14:textId="7F1A8DB7" w:rsidR="00334B6B" w:rsidRPr="000F52E3" w:rsidRDefault="000F52E3" w:rsidP="004D72AC">
            <w:pPr>
              <w:jc w:val="left"/>
              <w:rPr>
                <w:sz w:val="20"/>
                <w:szCs w:val="20"/>
              </w:rPr>
            </w:pPr>
            <w:r>
              <w:rPr>
                <w:sz w:val="20"/>
                <w:szCs w:val="20"/>
              </w:rPr>
              <w:t>ca. 2020</w:t>
            </w:r>
          </w:p>
        </w:tc>
      </w:tr>
    </w:tbl>
    <w:p w14:paraId="3FCEA905" w14:textId="19CFDD04" w:rsidR="00857CEB" w:rsidRDefault="00857CEB" w:rsidP="00857CEB"/>
    <w:p w14:paraId="4996399C" w14:textId="77777777" w:rsidR="009A6413" w:rsidRDefault="009A6413" w:rsidP="00857CEB"/>
    <w:p w14:paraId="5CD417DC" w14:textId="4EE6C4BE" w:rsidR="00002D9F" w:rsidRDefault="00002D9F" w:rsidP="00857CEB">
      <w:pPr>
        <w:rPr>
          <w:rFonts w:ascii="Calibri Light" w:eastAsia="Times New Roman" w:hAnsi="Calibri Light" w:cs="Calibri Light"/>
          <w:color w:val="auto"/>
          <w:sz w:val="28"/>
          <w:szCs w:val="28"/>
          <w:lang w:eastAsia="nl-NL"/>
        </w:rPr>
      </w:pPr>
    </w:p>
    <w:p w14:paraId="2EC64589" w14:textId="4B672E3B" w:rsidR="0059685F" w:rsidRPr="004E45D5" w:rsidRDefault="00002D9F" w:rsidP="00057021">
      <w:pPr>
        <w:pStyle w:val="Heading2"/>
        <w:jc w:val="left"/>
        <w:rPr>
          <w:rFonts w:ascii="Calibri Light" w:hAnsi="Calibri Light" w:cs="Calibri Light"/>
          <w:sz w:val="28"/>
          <w:szCs w:val="28"/>
        </w:rPr>
      </w:pPr>
      <w:r w:rsidRPr="00396FCC">
        <w:t xml:space="preserve">Bijlage </w:t>
      </w:r>
      <w:r>
        <w:t>2</w:t>
      </w:r>
      <w:r w:rsidRPr="00396FCC">
        <w:t xml:space="preserve">: </w:t>
      </w:r>
      <w:r>
        <w:t>Overzicht van de voornaamste vaarwegen die voor de binnenvaart werden gesloten</w:t>
      </w:r>
      <w:r w:rsidR="0059685F" w:rsidRPr="004E45D5">
        <w:rPr>
          <w:rFonts w:ascii="Calibri Light" w:eastAsia="Times New Roman" w:hAnsi="Calibri Light" w:cs="Calibri Light"/>
          <w:color w:val="auto"/>
          <w:sz w:val="28"/>
          <w:szCs w:val="28"/>
          <w:lang w:eastAsia="nl-NL"/>
        </w:rPr>
        <w:t>.</w:t>
      </w:r>
      <w:r w:rsidR="0059685F" w:rsidRPr="004E45D5">
        <w:rPr>
          <w:rFonts w:ascii="Calibri Light" w:eastAsia="Times New Roman" w:hAnsi="Calibri Light" w:cs="Calibri Light"/>
          <w:bCs/>
          <w:iCs/>
          <w:color w:val="auto"/>
          <w:sz w:val="28"/>
          <w:szCs w:val="28"/>
          <w:vertAlign w:val="superscript"/>
          <w:lang w:eastAsia="nl-NL"/>
        </w:rPr>
        <w:endnoteReference w:id="148"/>
      </w:r>
    </w:p>
    <w:p w14:paraId="650877BE" w14:textId="494B1DF8" w:rsidR="00857CEB" w:rsidRDefault="00857CEB" w:rsidP="00857CE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
        <w:gridCol w:w="4605"/>
        <w:gridCol w:w="1413"/>
      </w:tblGrid>
      <w:tr w:rsidR="00A83AB9" w14:paraId="34A91417" w14:textId="77777777" w:rsidTr="0052053D">
        <w:trPr>
          <w:trHeight w:val="525"/>
        </w:trPr>
        <w:tc>
          <w:tcPr>
            <w:tcW w:w="1303" w:type="dxa"/>
          </w:tcPr>
          <w:p w14:paraId="2820574B" w14:textId="608F2A1D" w:rsidR="00A83AB9" w:rsidRPr="00471E16" w:rsidRDefault="00471E16" w:rsidP="00471E16">
            <w:pPr>
              <w:pStyle w:val="tabelKop"/>
            </w:pPr>
            <w:r w:rsidRPr="00471E16">
              <w:t>Provincie</w:t>
            </w:r>
          </w:p>
        </w:tc>
        <w:tc>
          <w:tcPr>
            <w:tcW w:w="4605" w:type="dxa"/>
          </w:tcPr>
          <w:p w14:paraId="0EB64E81" w14:textId="4921B448" w:rsidR="00A83AB9" w:rsidRPr="00471E16" w:rsidRDefault="00471E16" w:rsidP="00BE3D8F">
            <w:pPr>
              <w:pStyle w:val="tabelKop"/>
            </w:pPr>
            <w:r w:rsidRPr="00471E16">
              <w:t>Vaarweg</w:t>
            </w:r>
          </w:p>
          <w:p w14:paraId="044FC950" w14:textId="77777777" w:rsidR="00A83AB9" w:rsidRPr="00471E16" w:rsidRDefault="00A83AB9" w:rsidP="00471E16">
            <w:pPr>
              <w:pStyle w:val="tabelKop"/>
            </w:pPr>
          </w:p>
        </w:tc>
        <w:tc>
          <w:tcPr>
            <w:tcW w:w="1413" w:type="dxa"/>
          </w:tcPr>
          <w:p w14:paraId="0028B4B4" w14:textId="60EABE9B" w:rsidR="00A83AB9" w:rsidRPr="00471E16" w:rsidRDefault="00471E16" w:rsidP="00471E16">
            <w:pPr>
              <w:pStyle w:val="tabelKop"/>
            </w:pPr>
            <w:r w:rsidRPr="00471E16">
              <w:t>Jaar</w:t>
            </w:r>
          </w:p>
        </w:tc>
      </w:tr>
      <w:tr w:rsidR="00A83AB9" w14:paraId="2ECCADA9" w14:textId="77777777" w:rsidTr="0052053D">
        <w:trPr>
          <w:trHeight w:val="1050"/>
        </w:trPr>
        <w:tc>
          <w:tcPr>
            <w:tcW w:w="1303" w:type="dxa"/>
          </w:tcPr>
          <w:p w14:paraId="557480C2" w14:textId="650CB205" w:rsidR="00A83AB9" w:rsidRDefault="001421C9" w:rsidP="00952E79">
            <w:pPr>
              <w:rPr>
                <w:sz w:val="20"/>
                <w:szCs w:val="20"/>
              </w:rPr>
            </w:pPr>
            <w:r>
              <w:rPr>
                <w:sz w:val="20"/>
                <w:szCs w:val="20"/>
              </w:rPr>
              <w:t>Groningen</w:t>
            </w:r>
          </w:p>
        </w:tc>
        <w:tc>
          <w:tcPr>
            <w:tcW w:w="4605" w:type="dxa"/>
          </w:tcPr>
          <w:p w14:paraId="66C6775A" w14:textId="138EE394" w:rsidR="00A83AB9" w:rsidRDefault="001421C9" w:rsidP="00A83AB9">
            <w:pPr>
              <w:jc w:val="left"/>
              <w:rPr>
                <w:sz w:val="20"/>
                <w:szCs w:val="20"/>
              </w:rPr>
            </w:pPr>
            <w:r>
              <w:rPr>
                <w:sz w:val="20"/>
                <w:szCs w:val="20"/>
              </w:rPr>
              <w:t>Kieldiep</w:t>
            </w:r>
          </w:p>
          <w:p w14:paraId="62214D05" w14:textId="709CEDE0" w:rsidR="00A83AB9" w:rsidRDefault="001421C9" w:rsidP="00A83AB9">
            <w:pPr>
              <w:jc w:val="left"/>
              <w:rPr>
                <w:sz w:val="20"/>
                <w:szCs w:val="20"/>
              </w:rPr>
            </w:pPr>
            <w:r>
              <w:rPr>
                <w:sz w:val="20"/>
                <w:szCs w:val="20"/>
              </w:rPr>
              <w:t>Mussel A Kanaal</w:t>
            </w:r>
          </w:p>
          <w:p w14:paraId="695CD92F" w14:textId="2A04DBEF" w:rsidR="001421C9" w:rsidRDefault="001421C9" w:rsidP="00A83AB9">
            <w:pPr>
              <w:jc w:val="left"/>
              <w:rPr>
                <w:sz w:val="20"/>
                <w:szCs w:val="20"/>
              </w:rPr>
            </w:pPr>
            <w:r>
              <w:rPr>
                <w:sz w:val="20"/>
                <w:szCs w:val="20"/>
              </w:rPr>
              <w:t>Ruiten A Kanaal</w:t>
            </w:r>
          </w:p>
          <w:p w14:paraId="3D93DE4F" w14:textId="44AAF567" w:rsidR="00A83AB9" w:rsidRDefault="001421C9" w:rsidP="00A83AB9">
            <w:pPr>
              <w:jc w:val="left"/>
              <w:rPr>
                <w:sz w:val="20"/>
                <w:szCs w:val="20"/>
              </w:rPr>
            </w:pPr>
            <w:r>
              <w:rPr>
                <w:sz w:val="20"/>
                <w:szCs w:val="20"/>
              </w:rPr>
              <w:t xml:space="preserve">Verenigd Kanaal van </w:t>
            </w:r>
            <w:proofErr w:type="spellStart"/>
            <w:r>
              <w:rPr>
                <w:sz w:val="20"/>
                <w:szCs w:val="20"/>
              </w:rPr>
              <w:t>Westerwolde</w:t>
            </w:r>
            <w:proofErr w:type="spellEnd"/>
          </w:p>
        </w:tc>
        <w:tc>
          <w:tcPr>
            <w:tcW w:w="1413" w:type="dxa"/>
          </w:tcPr>
          <w:p w14:paraId="79B52733" w14:textId="5D0B505F" w:rsidR="00A83AB9" w:rsidRDefault="001421C9" w:rsidP="00952E79">
            <w:pPr>
              <w:jc w:val="left"/>
              <w:rPr>
                <w:sz w:val="20"/>
                <w:szCs w:val="20"/>
              </w:rPr>
            </w:pPr>
            <w:r>
              <w:rPr>
                <w:sz w:val="20"/>
                <w:szCs w:val="20"/>
              </w:rPr>
              <w:t>1976</w:t>
            </w:r>
          </w:p>
          <w:p w14:paraId="56B5CB3D" w14:textId="77777777" w:rsidR="001421C9" w:rsidRDefault="001421C9" w:rsidP="00952E79">
            <w:pPr>
              <w:jc w:val="left"/>
              <w:rPr>
                <w:sz w:val="20"/>
                <w:szCs w:val="20"/>
              </w:rPr>
            </w:pPr>
            <w:r>
              <w:rPr>
                <w:sz w:val="20"/>
                <w:szCs w:val="20"/>
              </w:rPr>
              <w:t>Jaren 1980</w:t>
            </w:r>
          </w:p>
          <w:p w14:paraId="7733F0D7" w14:textId="14402357" w:rsidR="001421C9" w:rsidRDefault="00F557B4" w:rsidP="00952E79">
            <w:pPr>
              <w:jc w:val="left"/>
              <w:rPr>
                <w:sz w:val="20"/>
                <w:szCs w:val="20"/>
              </w:rPr>
            </w:pPr>
            <w:r>
              <w:rPr>
                <w:sz w:val="20"/>
                <w:szCs w:val="20"/>
              </w:rPr>
              <w:t>H</w:t>
            </w:r>
            <w:r w:rsidR="001421C9">
              <w:rPr>
                <w:sz w:val="20"/>
                <w:szCs w:val="20"/>
              </w:rPr>
              <w:t>eropend</w:t>
            </w:r>
          </w:p>
          <w:p w14:paraId="5F933E5F" w14:textId="7C64DE24" w:rsidR="001421C9" w:rsidRDefault="00F557B4" w:rsidP="00952E79">
            <w:pPr>
              <w:jc w:val="left"/>
              <w:rPr>
                <w:sz w:val="20"/>
                <w:szCs w:val="20"/>
              </w:rPr>
            </w:pPr>
            <w:r>
              <w:rPr>
                <w:sz w:val="20"/>
                <w:szCs w:val="20"/>
              </w:rPr>
              <w:t>H</w:t>
            </w:r>
            <w:r w:rsidR="001421C9">
              <w:rPr>
                <w:sz w:val="20"/>
                <w:szCs w:val="20"/>
              </w:rPr>
              <w:t>eropend</w:t>
            </w:r>
          </w:p>
        </w:tc>
      </w:tr>
      <w:tr w:rsidR="00BA3484" w14:paraId="7520A553" w14:textId="77777777" w:rsidTr="0052053D">
        <w:trPr>
          <w:trHeight w:val="262"/>
        </w:trPr>
        <w:tc>
          <w:tcPr>
            <w:tcW w:w="1303" w:type="dxa"/>
          </w:tcPr>
          <w:p w14:paraId="7DD95269" w14:textId="0751E832" w:rsidR="00BA3484" w:rsidRDefault="00BA3484" w:rsidP="00BA3484">
            <w:pPr>
              <w:rPr>
                <w:sz w:val="20"/>
                <w:szCs w:val="20"/>
              </w:rPr>
            </w:pPr>
            <w:r>
              <w:rPr>
                <w:sz w:val="20"/>
                <w:szCs w:val="20"/>
              </w:rPr>
              <w:lastRenderedPageBreak/>
              <w:t>Friesland</w:t>
            </w:r>
          </w:p>
        </w:tc>
        <w:tc>
          <w:tcPr>
            <w:tcW w:w="4605" w:type="dxa"/>
          </w:tcPr>
          <w:p w14:paraId="153B8287" w14:textId="6D9540AA" w:rsidR="00BA3484" w:rsidRDefault="00BA3484" w:rsidP="00BA3484">
            <w:pPr>
              <w:jc w:val="left"/>
              <w:rPr>
                <w:sz w:val="20"/>
                <w:szCs w:val="20"/>
              </w:rPr>
            </w:pPr>
            <w:proofErr w:type="spellStart"/>
            <w:r>
              <w:rPr>
                <w:sz w:val="20"/>
                <w:szCs w:val="20"/>
              </w:rPr>
              <w:t>Schoterlandse</w:t>
            </w:r>
            <w:proofErr w:type="spellEnd"/>
            <w:r>
              <w:rPr>
                <w:sz w:val="20"/>
                <w:szCs w:val="20"/>
              </w:rPr>
              <w:t xml:space="preserve"> Compagnonsvaart</w:t>
            </w:r>
          </w:p>
        </w:tc>
        <w:tc>
          <w:tcPr>
            <w:tcW w:w="1413" w:type="dxa"/>
          </w:tcPr>
          <w:p w14:paraId="270B3C9A" w14:textId="3A8AE3B1" w:rsidR="00BA3484" w:rsidRDefault="00BA3484" w:rsidP="00BA3484">
            <w:pPr>
              <w:jc w:val="left"/>
              <w:rPr>
                <w:sz w:val="20"/>
                <w:szCs w:val="20"/>
              </w:rPr>
            </w:pPr>
            <w:r>
              <w:rPr>
                <w:sz w:val="20"/>
                <w:szCs w:val="20"/>
              </w:rPr>
              <w:t>Jaren 1960</w:t>
            </w:r>
          </w:p>
        </w:tc>
      </w:tr>
      <w:tr w:rsidR="00BA3484" w14:paraId="59BF3BF7" w14:textId="77777777" w:rsidTr="0052053D">
        <w:trPr>
          <w:trHeight w:val="1325"/>
        </w:trPr>
        <w:tc>
          <w:tcPr>
            <w:tcW w:w="1303" w:type="dxa"/>
          </w:tcPr>
          <w:p w14:paraId="3D2CA46A" w14:textId="565BB99B" w:rsidR="00BA3484" w:rsidRDefault="0040506E" w:rsidP="00BA3484">
            <w:pPr>
              <w:rPr>
                <w:sz w:val="20"/>
                <w:szCs w:val="20"/>
              </w:rPr>
            </w:pPr>
            <w:r>
              <w:rPr>
                <w:sz w:val="20"/>
                <w:szCs w:val="20"/>
              </w:rPr>
              <w:t>Drenthe</w:t>
            </w:r>
          </w:p>
        </w:tc>
        <w:tc>
          <w:tcPr>
            <w:tcW w:w="4605" w:type="dxa"/>
          </w:tcPr>
          <w:p w14:paraId="2B953905" w14:textId="2C0FEB19" w:rsidR="00BA3484" w:rsidRDefault="0040506E" w:rsidP="00BA3484">
            <w:pPr>
              <w:jc w:val="left"/>
              <w:rPr>
                <w:sz w:val="20"/>
                <w:szCs w:val="20"/>
              </w:rPr>
            </w:pPr>
            <w:r>
              <w:rPr>
                <w:sz w:val="20"/>
                <w:szCs w:val="20"/>
              </w:rPr>
              <w:t>Kanaal Coevorden-</w:t>
            </w:r>
            <w:proofErr w:type="spellStart"/>
            <w:r>
              <w:rPr>
                <w:sz w:val="20"/>
                <w:szCs w:val="20"/>
              </w:rPr>
              <w:t>Alte</w:t>
            </w:r>
            <w:proofErr w:type="spellEnd"/>
            <w:r>
              <w:rPr>
                <w:sz w:val="20"/>
                <w:szCs w:val="20"/>
              </w:rPr>
              <w:t xml:space="preserve"> Picardië</w:t>
            </w:r>
          </w:p>
          <w:p w14:paraId="5A2021D6" w14:textId="5A1F7359" w:rsidR="00BA3484" w:rsidRDefault="0040506E" w:rsidP="00BA3484">
            <w:pPr>
              <w:jc w:val="left"/>
              <w:rPr>
                <w:sz w:val="20"/>
                <w:szCs w:val="20"/>
              </w:rPr>
            </w:pPr>
            <w:r>
              <w:rPr>
                <w:sz w:val="20"/>
                <w:szCs w:val="20"/>
              </w:rPr>
              <w:t>Scholtenskanaal</w:t>
            </w:r>
          </w:p>
          <w:p w14:paraId="33B5D94B" w14:textId="7F94E8C5" w:rsidR="0040506E" w:rsidRDefault="0040506E" w:rsidP="00BA3484">
            <w:pPr>
              <w:jc w:val="left"/>
              <w:rPr>
                <w:sz w:val="20"/>
                <w:szCs w:val="20"/>
              </w:rPr>
            </w:pPr>
            <w:r>
              <w:rPr>
                <w:sz w:val="20"/>
                <w:szCs w:val="20"/>
              </w:rPr>
              <w:t>Linthorst Homan Kanaal</w:t>
            </w:r>
          </w:p>
          <w:p w14:paraId="35327CA5" w14:textId="77777777" w:rsidR="0040506E" w:rsidRPr="0040506E" w:rsidRDefault="0040506E" w:rsidP="0040506E">
            <w:pPr>
              <w:jc w:val="left"/>
              <w:rPr>
                <w:sz w:val="20"/>
                <w:szCs w:val="20"/>
              </w:rPr>
            </w:pPr>
            <w:proofErr w:type="spellStart"/>
            <w:r w:rsidRPr="0040506E">
              <w:rPr>
                <w:sz w:val="20"/>
                <w:szCs w:val="20"/>
              </w:rPr>
              <w:t>Beilervaart</w:t>
            </w:r>
            <w:proofErr w:type="spellEnd"/>
          </w:p>
          <w:p w14:paraId="74AC530B" w14:textId="14058E6E" w:rsidR="0040506E" w:rsidRPr="0040506E" w:rsidRDefault="0040506E" w:rsidP="0040506E">
            <w:pPr>
              <w:jc w:val="left"/>
              <w:rPr>
                <w:b/>
                <w:bCs/>
                <w:sz w:val="20"/>
                <w:szCs w:val="20"/>
              </w:rPr>
            </w:pPr>
            <w:r w:rsidRPr="0040506E">
              <w:rPr>
                <w:sz w:val="20"/>
                <w:szCs w:val="20"/>
              </w:rPr>
              <w:t>Oranjekanaal</w:t>
            </w:r>
          </w:p>
        </w:tc>
        <w:tc>
          <w:tcPr>
            <w:tcW w:w="1413" w:type="dxa"/>
          </w:tcPr>
          <w:p w14:paraId="1F299AD4" w14:textId="150AE74E" w:rsidR="00BA3484" w:rsidRDefault="0040506E" w:rsidP="00BA3484">
            <w:pPr>
              <w:jc w:val="left"/>
              <w:rPr>
                <w:sz w:val="20"/>
                <w:szCs w:val="20"/>
              </w:rPr>
            </w:pPr>
            <w:r>
              <w:rPr>
                <w:sz w:val="20"/>
                <w:szCs w:val="20"/>
              </w:rPr>
              <w:t>1965</w:t>
            </w:r>
          </w:p>
          <w:p w14:paraId="7B679D80" w14:textId="77777777" w:rsidR="0040506E" w:rsidRDefault="0040506E" w:rsidP="00BA3484">
            <w:pPr>
              <w:jc w:val="left"/>
              <w:rPr>
                <w:sz w:val="20"/>
                <w:szCs w:val="20"/>
              </w:rPr>
            </w:pPr>
            <w:r>
              <w:rPr>
                <w:sz w:val="20"/>
                <w:szCs w:val="20"/>
              </w:rPr>
              <w:t>1969</w:t>
            </w:r>
          </w:p>
          <w:p w14:paraId="4AE87FD8" w14:textId="77777777" w:rsidR="0040506E" w:rsidRDefault="0040506E" w:rsidP="00BA3484">
            <w:pPr>
              <w:jc w:val="left"/>
              <w:rPr>
                <w:sz w:val="20"/>
                <w:szCs w:val="20"/>
              </w:rPr>
            </w:pPr>
            <w:r>
              <w:rPr>
                <w:sz w:val="20"/>
                <w:szCs w:val="20"/>
              </w:rPr>
              <w:t>ca. 1970</w:t>
            </w:r>
          </w:p>
          <w:p w14:paraId="0CC36951" w14:textId="77777777" w:rsidR="0040506E" w:rsidRDefault="0040506E" w:rsidP="00BA3484">
            <w:pPr>
              <w:jc w:val="left"/>
              <w:rPr>
                <w:sz w:val="20"/>
                <w:szCs w:val="20"/>
              </w:rPr>
            </w:pPr>
            <w:r>
              <w:rPr>
                <w:sz w:val="20"/>
                <w:szCs w:val="20"/>
              </w:rPr>
              <w:t>-</w:t>
            </w:r>
          </w:p>
          <w:p w14:paraId="11FAB35A" w14:textId="11DEA835" w:rsidR="0040506E" w:rsidRDefault="0040506E" w:rsidP="00BA3484">
            <w:pPr>
              <w:jc w:val="left"/>
              <w:rPr>
                <w:sz w:val="20"/>
                <w:szCs w:val="20"/>
              </w:rPr>
            </w:pPr>
            <w:r>
              <w:rPr>
                <w:sz w:val="20"/>
                <w:szCs w:val="20"/>
              </w:rPr>
              <w:t>1976</w:t>
            </w:r>
          </w:p>
        </w:tc>
      </w:tr>
      <w:tr w:rsidR="00BA3484" w14:paraId="1858E53D" w14:textId="77777777" w:rsidTr="0052053D">
        <w:trPr>
          <w:trHeight w:val="512"/>
        </w:trPr>
        <w:tc>
          <w:tcPr>
            <w:tcW w:w="1303" w:type="dxa"/>
          </w:tcPr>
          <w:p w14:paraId="186C5C62" w14:textId="6E32859E" w:rsidR="00BA3484" w:rsidRDefault="002A3D6F" w:rsidP="00BA3484">
            <w:pPr>
              <w:rPr>
                <w:sz w:val="20"/>
                <w:szCs w:val="20"/>
              </w:rPr>
            </w:pPr>
            <w:r>
              <w:rPr>
                <w:sz w:val="20"/>
                <w:szCs w:val="20"/>
              </w:rPr>
              <w:t>Overijssel</w:t>
            </w:r>
          </w:p>
        </w:tc>
        <w:tc>
          <w:tcPr>
            <w:tcW w:w="4605" w:type="dxa"/>
          </w:tcPr>
          <w:p w14:paraId="42ADAE1E" w14:textId="7F35B7D0" w:rsidR="00BA3484" w:rsidRDefault="002E68B3" w:rsidP="00BA3484">
            <w:pPr>
              <w:jc w:val="left"/>
              <w:rPr>
                <w:sz w:val="20"/>
                <w:szCs w:val="20"/>
              </w:rPr>
            </w:pPr>
            <w:r>
              <w:rPr>
                <w:sz w:val="20"/>
                <w:szCs w:val="20"/>
              </w:rPr>
              <w:t>Lichtmiskanaal</w:t>
            </w:r>
          </w:p>
          <w:p w14:paraId="6773F030" w14:textId="2FDA74CE" w:rsidR="00BA3484" w:rsidRDefault="002E68B3" w:rsidP="00BA3484">
            <w:pPr>
              <w:jc w:val="left"/>
              <w:rPr>
                <w:sz w:val="20"/>
                <w:szCs w:val="20"/>
              </w:rPr>
            </w:pPr>
            <w:r>
              <w:rPr>
                <w:sz w:val="20"/>
                <w:szCs w:val="20"/>
              </w:rPr>
              <w:t>Kanaal Almelo-</w:t>
            </w:r>
            <w:proofErr w:type="spellStart"/>
            <w:r>
              <w:rPr>
                <w:sz w:val="20"/>
                <w:szCs w:val="20"/>
              </w:rPr>
              <w:t>Nordhorn</w:t>
            </w:r>
            <w:proofErr w:type="spellEnd"/>
          </w:p>
          <w:p w14:paraId="663ECD95" w14:textId="77777777" w:rsidR="0077016D" w:rsidRDefault="002E68B3" w:rsidP="00BA3484">
            <w:pPr>
              <w:jc w:val="left"/>
              <w:rPr>
                <w:sz w:val="20"/>
                <w:szCs w:val="20"/>
              </w:rPr>
            </w:pPr>
            <w:r>
              <w:rPr>
                <w:sz w:val="20"/>
                <w:szCs w:val="20"/>
              </w:rPr>
              <w:t>Overijsselse kanalen m.u.v.</w:t>
            </w:r>
            <w:r w:rsidR="0077016D">
              <w:rPr>
                <w:sz w:val="20"/>
                <w:szCs w:val="20"/>
              </w:rPr>
              <w:t xml:space="preserve"> </w:t>
            </w:r>
          </w:p>
          <w:p w14:paraId="2598AB82" w14:textId="1261B01D" w:rsidR="002E68B3" w:rsidRDefault="002E68B3" w:rsidP="00BA3484">
            <w:pPr>
              <w:jc w:val="left"/>
              <w:rPr>
                <w:sz w:val="20"/>
                <w:szCs w:val="20"/>
              </w:rPr>
            </w:pPr>
            <w:r>
              <w:rPr>
                <w:sz w:val="20"/>
                <w:szCs w:val="20"/>
              </w:rPr>
              <w:t>Kanaal Deventer-Raalte</w:t>
            </w:r>
          </w:p>
          <w:p w14:paraId="06E96463" w14:textId="245DA5AF" w:rsidR="002E68B3" w:rsidRDefault="002E68B3" w:rsidP="00BA3484">
            <w:pPr>
              <w:jc w:val="left"/>
              <w:rPr>
                <w:sz w:val="20"/>
                <w:szCs w:val="20"/>
              </w:rPr>
            </w:pPr>
            <w:proofErr w:type="spellStart"/>
            <w:r>
              <w:rPr>
                <w:sz w:val="20"/>
                <w:szCs w:val="20"/>
              </w:rPr>
              <w:t>Ommerkanaal</w:t>
            </w:r>
            <w:proofErr w:type="spellEnd"/>
          </w:p>
          <w:p w14:paraId="602F44C0" w14:textId="48B1AF40" w:rsidR="002E68B3" w:rsidRDefault="002E68B3" w:rsidP="00BA3484">
            <w:pPr>
              <w:jc w:val="left"/>
              <w:rPr>
                <w:sz w:val="20"/>
                <w:szCs w:val="20"/>
              </w:rPr>
            </w:pPr>
            <w:r>
              <w:rPr>
                <w:sz w:val="20"/>
                <w:szCs w:val="20"/>
              </w:rPr>
              <w:t>Dedemsvaart</w:t>
            </w:r>
          </w:p>
          <w:p w14:paraId="4FB35C6E" w14:textId="6A4265BC" w:rsidR="002E68B3" w:rsidRDefault="002E68B3" w:rsidP="00BA3484">
            <w:pPr>
              <w:jc w:val="left"/>
              <w:rPr>
                <w:sz w:val="20"/>
                <w:szCs w:val="20"/>
              </w:rPr>
            </w:pPr>
            <w:r>
              <w:rPr>
                <w:sz w:val="20"/>
                <w:szCs w:val="20"/>
              </w:rPr>
              <w:t>Lutterhoofdwijk</w:t>
            </w:r>
          </w:p>
          <w:p w14:paraId="1020D36D" w14:textId="48ADF9FD" w:rsidR="002E68B3" w:rsidRDefault="002E68B3" w:rsidP="00BA3484">
            <w:pPr>
              <w:jc w:val="left"/>
              <w:rPr>
                <w:sz w:val="20"/>
                <w:szCs w:val="20"/>
              </w:rPr>
            </w:pPr>
            <w:r>
              <w:rPr>
                <w:sz w:val="20"/>
                <w:szCs w:val="20"/>
              </w:rPr>
              <w:t>Kanaal Deventer-Raalte</w:t>
            </w:r>
          </w:p>
        </w:tc>
        <w:tc>
          <w:tcPr>
            <w:tcW w:w="1413" w:type="dxa"/>
          </w:tcPr>
          <w:p w14:paraId="5A684E36" w14:textId="1C1BB0BA" w:rsidR="00BA3484" w:rsidRDefault="002E68B3" w:rsidP="00BA3484">
            <w:pPr>
              <w:jc w:val="left"/>
              <w:rPr>
                <w:sz w:val="20"/>
                <w:szCs w:val="20"/>
              </w:rPr>
            </w:pPr>
            <w:r>
              <w:rPr>
                <w:sz w:val="20"/>
                <w:szCs w:val="20"/>
              </w:rPr>
              <w:t>1940</w:t>
            </w:r>
          </w:p>
          <w:p w14:paraId="207B1FD2" w14:textId="77777777" w:rsidR="002E68B3" w:rsidRDefault="002E68B3" w:rsidP="00BA3484">
            <w:pPr>
              <w:jc w:val="left"/>
              <w:rPr>
                <w:sz w:val="20"/>
                <w:szCs w:val="20"/>
              </w:rPr>
            </w:pPr>
            <w:r>
              <w:rPr>
                <w:sz w:val="20"/>
                <w:szCs w:val="20"/>
              </w:rPr>
              <w:t>1960</w:t>
            </w:r>
          </w:p>
          <w:p w14:paraId="1442378B" w14:textId="77777777" w:rsidR="002E68B3" w:rsidRDefault="002E68B3" w:rsidP="00BA3484">
            <w:pPr>
              <w:jc w:val="left"/>
              <w:rPr>
                <w:sz w:val="20"/>
                <w:szCs w:val="20"/>
              </w:rPr>
            </w:pPr>
          </w:p>
          <w:p w14:paraId="0B9000B3" w14:textId="77777777" w:rsidR="002E68B3" w:rsidRDefault="002E68B3" w:rsidP="00BA3484">
            <w:pPr>
              <w:jc w:val="left"/>
              <w:rPr>
                <w:sz w:val="20"/>
                <w:szCs w:val="20"/>
              </w:rPr>
            </w:pPr>
            <w:r>
              <w:rPr>
                <w:sz w:val="20"/>
                <w:szCs w:val="20"/>
              </w:rPr>
              <w:t>1964</w:t>
            </w:r>
          </w:p>
          <w:p w14:paraId="173A547B" w14:textId="77777777" w:rsidR="002E68B3" w:rsidRDefault="002E68B3" w:rsidP="00BA3484">
            <w:pPr>
              <w:jc w:val="left"/>
              <w:rPr>
                <w:sz w:val="20"/>
                <w:szCs w:val="20"/>
              </w:rPr>
            </w:pPr>
            <w:r>
              <w:rPr>
                <w:sz w:val="20"/>
                <w:szCs w:val="20"/>
              </w:rPr>
              <w:t>1964</w:t>
            </w:r>
          </w:p>
          <w:p w14:paraId="5FDCD0E0" w14:textId="77777777" w:rsidR="002E68B3" w:rsidRDefault="002E68B3" w:rsidP="00BA3484">
            <w:pPr>
              <w:jc w:val="left"/>
              <w:rPr>
                <w:sz w:val="20"/>
                <w:szCs w:val="20"/>
              </w:rPr>
            </w:pPr>
            <w:r>
              <w:rPr>
                <w:sz w:val="20"/>
                <w:szCs w:val="20"/>
              </w:rPr>
              <w:t>1951, 1969</w:t>
            </w:r>
          </w:p>
          <w:p w14:paraId="5A36AB42" w14:textId="11643D08" w:rsidR="002E68B3" w:rsidRDefault="00F10435" w:rsidP="00BA3484">
            <w:pPr>
              <w:jc w:val="left"/>
              <w:rPr>
                <w:sz w:val="20"/>
                <w:szCs w:val="20"/>
              </w:rPr>
            </w:pPr>
            <w:r>
              <w:rPr>
                <w:sz w:val="20"/>
                <w:szCs w:val="20"/>
              </w:rPr>
              <w:t>c</w:t>
            </w:r>
            <w:r w:rsidR="002E68B3">
              <w:rPr>
                <w:sz w:val="20"/>
                <w:szCs w:val="20"/>
              </w:rPr>
              <w:t>a. 1970</w:t>
            </w:r>
          </w:p>
          <w:p w14:paraId="565BBC6F" w14:textId="52349A6D" w:rsidR="002E68B3" w:rsidRDefault="002E68B3" w:rsidP="00BA3484">
            <w:pPr>
              <w:jc w:val="left"/>
              <w:rPr>
                <w:sz w:val="20"/>
                <w:szCs w:val="20"/>
              </w:rPr>
            </w:pPr>
            <w:r>
              <w:rPr>
                <w:sz w:val="20"/>
                <w:szCs w:val="20"/>
              </w:rPr>
              <w:t>1988</w:t>
            </w:r>
          </w:p>
        </w:tc>
      </w:tr>
      <w:tr w:rsidR="00BA3484" w14:paraId="4F5F0A28" w14:textId="77777777" w:rsidTr="0052053D">
        <w:trPr>
          <w:trHeight w:val="143"/>
        </w:trPr>
        <w:tc>
          <w:tcPr>
            <w:tcW w:w="1303" w:type="dxa"/>
          </w:tcPr>
          <w:p w14:paraId="255F12C1" w14:textId="650B1563" w:rsidR="00BA3484" w:rsidRDefault="002A3D6F" w:rsidP="00BA3484">
            <w:pPr>
              <w:rPr>
                <w:sz w:val="20"/>
                <w:szCs w:val="20"/>
              </w:rPr>
            </w:pPr>
            <w:r>
              <w:rPr>
                <w:sz w:val="20"/>
                <w:szCs w:val="20"/>
              </w:rPr>
              <w:t>Gelderland</w:t>
            </w:r>
          </w:p>
        </w:tc>
        <w:tc>
          <w:tcPr>
            <w:tcW w:w="4605" w:type="dxa"/>
          </w:tcPr>
          <w:p w14:paraId="4B5F356D" w14:textId="555C3441" w:rsidR="00BA3484" w:rsidRDefault="002E68B3" w:rsidP="00BA3484">
            <w:pPr>
              <w:jc w:val="left"/>
              <w:rPr>
                <w:sz w:val="20"/>
                <w:szCs w:val="20"/>
              </w:rPr>
            </w:pPr>
            <w:r>
              <w:rPr>
                <w:sz w:val="20"/>
                <w:szCs w:val="20"/>
              </w:rPr>
              <w:t>Apeldoorns Kanaal</w:t>
            </w:r>
          </w:p>
        </w:tc>
        <w:tc>
          <w:tcPr>
            <w:tcW w:w="1413" w:type="dxa"/>
          </w:tcPr>
          <w:p w14:paraId="1E918319" w14:textId="3F1FBF68" w:rsidR="00BA3484" w:rsidRDefault="002E68B3" w:rsidP="00BA3484">
            <w:pPr>
              <w:jc w:val="left"/>
              <w:rPr>
                <w:sz w:val="20"/>
                <w:szCs w:val="20"/>
              </w:rPr>
            </w:pPr>
            <w:r>
              <w:rPr>
                <w:sz w:val="20"/>
                <w:szCs w:val="20"/>
              </w:rPr>
              <w:t>1972, 1982</w:t>
            </w:r>
          </w:p>
        </w:tc>
      </w:tr>
      <w:tr w:rsidR="00BA3484" w14:paraId="402A6065" w14:textId="77777777" w:rsidTr="0052053D">
        <w:trPr>
          <w:trHeight w:val="143"/>
        </w:trPr>
        <w:tc>
          <w:tcPr>
            <w:tcW w:w="1303" w:type="dxa"/>
          </w:tcPr>
          <w:p w14:paraId="0E43E427" w14:textId="77777777" w:rsidR="00BA3484" w:rsidRDefault="002A3D6F" w:rsidP="00BA3484">
            <w:pPr>
              <w:rPr>
                <w:sz w:val="20"/>
                <w:szCs w:val="20"/>
              </w:rPr>
            </w:pPr>
            <w:r>
              <w:rPr>
                <w:sz w:val="20"/>
                <w:szCs w:val="20"/>
              </w:rPr>
              <w:t>Zuid-</w:t>
            </w:r>
          </w:p>
          <w:p w14:paraId="0C158397" w14:textId="45347D92" w:rsidR="002A3D6F" w:rsidRDefault="002A3D6F" w:rsidP="00BA3484">
            <w:pPr>
              <w:rPr>
                <w:sz w:val="20"/>
                <w:szCs w:val="20"/>
              </w:rPr>
            </w:pPr>
            <w:r>
              <w:rPr>
                <w:sz w:val="20"/>
                <w:szCs w:val="20"/>
              </w:rPr>
              <w:t>Holland</w:t>
            </w:r>
          </w:p>
        </w:tc>
        <w:tc>
          <w:tcPr>
            <w:tcW w:w="4605" w:type="dxa"/>
          </w:tcPr>
          <w:p w14:paraId="7AF00DE7" w14:textId="2D5EB562" w:rsidR="00BA3484" w:rsidRDefault="002E68B3" w:rsidP="00BA3484">
            <w:pPr>
              <w:jc w:val="left"/>
              <w:rPr>
                <w:sz w:val="20"/>
                <w:szCs w:val="20"/>
              </w:rPr>
            </w:pPr>
            <w:r>
              <w:rPr>
                <w:sz w:val="20"/>
                <w:szCs w:val="20"/>
              </w:rPr>
              <w:t>Kanaal door Voorne</w:t>
            </w:r>
          </w:p>
          <w:p w14:paraId="3065F047" w14:textId="77777777" w:rsidR="00BA3484" w:rsidRDefault="00BA3484" w:rsidP="00BA3484">
            <w:pPr>
              <w:jc w:val="left"/>
              <w:rPr>
                <w:sz w:val="20"/>
                <w:szCs w:val="20"/>
              </w:rPr>
            </w:pPr>
          </w:p>
        </w:tc>
        <w:tc>
          <w:tcPr>
            <w:tcW w:w="1413" w:type="dxa"/>
          </w:tcPr>
          <w:p w14:paraId="190952E6" w14:textId="2FE20A2F" w:rsidR="002C1E53" w:rsidRDefault="0077016D" w:rsidP="00BA3484">
            <w:pPr>
              <w:jc w:val="left"/>
              <w:rPr>
                <w:sz w:val="20"/>
                <w:szCs w:val="20"/>
              </w:rPr>
            </w:pPr>
            <w:r>
              <w:rPr>
                <w:sz w:val="20"/>
                <w:szCs w:val="20"/>
              </w:rPr>
              <w:t>E</w:t>
            </w:r>
            <w:r w:rsidR="002E68B3">
              <w:rPr>
                <w:sz w:val="20"/>
                <w:szCs w:val="20"/>
              </w:rPr>
              <w:t>ind jaren</w:t>
            </w:r>
          </w:p>
          <w:p w14:paraId="51BFA504" w14:textId="3D52C8CB" w:rsidR="00BA3484" w:rsidRDefault="002C1E53" w:rsidP="00BA3484">
            <w:pPr>
              <w:jc w:val="left"/>
              <w:rPr>
                <w:sz w:val="20"/>
                <w:szCs w:val="20"/>
              </w:rPr>
            </w:pPr>
            <w:r>
              <w:rPr>
                <w:sz w:val="20"/>
                <w:szCs w:val="20"/>
              </w:rPr>
              <w:t>19</w:t>
            </w:r>
            <w:r w:rsidR="002E68B3">
              <w:rPr>
                <w:sz w:val="20"/>
                <w:szCs w:val="20"/>
              </w:rPr>
              <w:t>60</w:t>
            </w:r>
          </w:p>
        </w:tc>
      </w:tr>
      <w:tr w:rsidR="002E68B3" w14:paraId="02C4DA52" w14:textId="77777777" w:rsidTr="0052053D">
        <w:trPr>
          <w:trHeight w:val="429"/>
        </w:trPr>
        <w:tc>
          <w:tcPr>
            <w:tcW w:w="1303" w:type="dxa"/>
          </w:tcPr>
          <w:p w14:paraId="426CC3C5" w14:textId="77777777" w:rsidR="002E68B3" w:rsidRDefault="002E68B3" w:rsidP="00BA3484">
            <w:pPr>
              <w:rPr>
                <w:sz w:val="20"/>
                <w:szCs w:val="20"/>
              </w:rPr>
            </w:pPr>
            <w:r>
              <w:rPr>
                <w:sz w:val="20"/>
                <w:szCs w:val="20"/>
              </w:rPr>
              <w:t>Noord-</w:t>
            </w:r>
          </w:p>
          <w:p w14:paraId="4BEBFF3A" w14:textId="07BA85D1" w:rsidR="002E68B3" w:rsidRDefault="007A5001" w:rsidP="00BA3484">
            <w:pPr>
              <w:rPr>
                <w:sz w:val="20"/>
                <w:szCs w:val="20"/>
              </w:rPr>
            </w:pPr>
            <w:r>
              <w:rPr>
                <w:sz w:val="20"/>
                <w:szCs w:val="20"/>
              </w:rPr>
              <w:t>Brabant</w:t>
            </w:r>
          </w:p>
        </w:tc>
        <w:tc>
          <w:tcPr>
            <w:tcW w:w="4605" w:type="dxa"/>
          </w:tcPr>
          <w:p w14:paraId="37AB304F" w14:textId="43A3B082" w:rsidR="002E68B3" w:rsidRDefault="007A5001" w:rsidP="00BA3484">
            <w:pPr>
              <w:jc w:val="left"/>
              <w:rPr>
                <w:sz w:val="20"/>
                <w:szCs w:val="20"/>
              </w:rPr>
            </w:pPr>
            <w:r>
              <w:rPr>
                <w:sz w:val="20"/>
                <w:szCs w:val="20"/>
              </w:rPr>
              <w:t>Eindhovens Kanaal</w:t>
            </w:r>
          </w:p>
        </w:tc>
        <w:tc>
          <w:tcPr>
            <w:tcW w:w="1413" w:type="dxa"/>
          </w:tcPr>
          <w:p w14:paraId="3D69112E" w14:textId="068572FD" w:rsidR="002E68B3" w:rsidRDefault="007A5001" w:rsidP="00BA3484">
            <w:pPr>
              <w:jc w:val="left"/>
              <w:rPr>
                <w:sz w:val="20"/>
                <w:szCs w:val="20"/>
              </w:rPr>
            </w:pPr>
            <w:r>
              <w:rPr>
                <w:sz w:val="20"/>
                <w:szCs w:val="20"/>
              </w:rPr>
              <w:t>1974</w:t>
            </w:r>
          </w:p>
        </w:tc>
      </w:tr>
      <w:tr w:rsidR="007A5001" w14:paraId="4E070F69" w14:textId="77777777" w:rsidTr="0052053D">
        <w:trPr>
          <w:trHeight w:val="774"/>
        </w:trPr>
        <w:tc>
          <w:tcPr>
            <w:tcW w:w="1303" w:type="dxa"/>
          </w:tcPr>
          <w:p w14:paraId="76432EC7" w14:textId="414361DA" w:rsidR="007A5001" w:rsidRDefault="00C36454" w:rsidP="00BA3484">
            <w:pPr>
              <w:rPr>
                <w:sz w:val="20"/>
                <w:szCs w:val="20"/>
              </w:rPr>
            </w:pPr>
            <w:r>
              <w:rPr>
                <w:sz w:val="20"/>
                <w:szCs w:val="20"/>
              </w:rPr>
              <w:t>Limburg</w:t>
            </w:r>
          </w:p>
        </w:tc>
        <w:tc>
          <w:tcPr>
            <w:tcW w:w="4605" w:type="dxa"/>
          </w:tcPr>
          <w:p w14:paraId="590E6590" w14:textId="34359630" w:rsidR="007A5001" w:rsidRDefault="00C36454" w:rsidP="00BA3484">
            <w:pPr>
              <w:jc w:val="left"/>
              <w:rPr>
                <w:sz w:val="20"/>
                <w:szCs w:val="20"/>
              </w:rPr>
            </w:pPr>
            <w:r>
              <w:rPr>
                <w:sz w:val="20"/>
                <w:szCs w:val="20"/>
              </w:rPr>
              <w:t>Helenavaart</w:t>
            </w:r>
          </w:p>
          <w:p w14:paraId="776B9466" w14:textId="77777777" w:rsidR="00C36454" w:rsidRDefault="00C36454" w:rsidP="00BA3484">
            <w:pPr>
              <w:jc w:val="left"/>
              <w:rPr>
                <w:sz w:val="20"/>
                <w:szCs w:val="20"/>
              </w:rPr>
            </w:pPr>
            <w:r>
              <w:rPr>
                <w:sz w:val="20"/>
                <w:szCs w:val="20"/>
              </w:rPr>
              <w:t>Kanaal van Deurne</w:t>
            </w:r>
          </w:p>
          <w:p w14:paraId="0A667C49" w14:textId="7E81A05F" w:rsidR="00C36454" w:rsidRDefault="00C36454" w:rsidP="00BA3484">
            <w:pPr>
              <w:jc w:val="left"/>
              <w:rPr>
                <w:sz w:val="20"/>
                <w:szCs w:val="20"/>
              </w:rPr>
            </w:pPr>
            <w:r>
              <w:rPr>
                <w:sz w:val="20"/>
                <w:szCs w:val="20"/>
              </w:rPr>
              <w:t>Noordervaart</w:t>
            </w:r>
          </w:p>
        </w:tc>
        <w:tc>
          <w:tcPr>
            <w:tcW w:w="1413" w:type="dxa"/>
          </w:tcPr>
          <w:p w14:paraId="40DF01F6" w14:textId="5F1DA524" w:rsidR="007A5001" w:rsidRDefault="00C36454" w:rsidP="00BA3484">
            <w:pPr>
              <w:jc w:val="left"/>
              <w:rPr>
                <w:sz w:val="20"/>
                <w:szCs w:val="20"/>
              </w:rPr>
            </w:pPr>
            <w:r>
              <w:rPr>
                <w:sz w:val="20"/>
                <w:szCs w:val="20"/>
              </w:rPr>
              <w:t>-</w:t>
            </w:r>
          </w:p>
          <w:p w14:paraId="28CE171E" w14:textId="77777777" w:rsidR="00C36454" w:rsidRDefault="00C36454" w:rsidP="00BA3484">
            <w:pPr>
              <w:jc w:val="left"/>
              <w:rPr>
                <w:sz w:val="20"/>
                <w:szCs w:val="20"/>
              </w:rPr>
            </w:pPr>
            <w:r>
              <w:rPr>
                <w:sz w:val="20"/>
                <w:szCs w:val="20"/>
              </w:rPr>
              <w:t>-</w:t>
            </w:r>
          </w:p>
          <w:p w14:paraId="18BAB6E4" w14:textId="01EA179B" w:rsidR="00C36454" w:rsidRDefault="00C36454" w:rsidP="00BA3484">
            <w:pPr>
              <w:jc w:val="left"/>
              <w:rPr>
                <w:sz w:val="20"/>
                <w:szCs w:val="20"/>
              </w:rPr>
            </w:pPr>
            <w:r>
              <w:rPr>
                <w:sz w:val="20"/>
                <w:szCs w:val="20"/>
              </w:rPr>
              <w:t>1997</w:t>
            </w:r>
          </w:p>
        </w:tc>
      </w:tr>
    </w:tbl>
    <w:p w14:paraId="0660DD2A" w14:textId="77777777" w:rsidR="00857CEB" w:rsidRPr="009B1C24" w:rsidRDefault="00857CEB" w:rsidP="00857CEB">
      <w:pPr>
        <w:rPr>
          <w:sz w:val="20"/>
          <w:szCs w:val="20"/>
        </w:rPr>
      </w:pPr>
    </w:p>
    <w:p w14:paraId="20C9B924" w14:textId="65D97437" w:rsidR="008D683F" w:rsidRDefault="008D683F" w:rsidP="00CA27FB"/>
    <w:sectPr w:rsidR="008D683F">
      <w:footerReference w:type="default" r:id="rId8"/>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04D3B" w14:textId="77777777" w:rsidR="00E235A0" w:rsidRDefault="00E235A0" w:rsidP="00C96830">
      <w:pPr>
        <w:spacing w:line="240" w:lineRule="auto"/>
      </w:pPr>
      <w:r>
        <w:separator/>
      </w:r>
    </w:p>
  </w:endnote>
  <w:endnote w:type="continuationSeparator" w:id="0">
    <w:p w14:paraId="21E59CF2" w14:textId="77777777" w:rsidR="00E235A0" w:rsidRDefault="00E235A0" w:rsidP="00C96830">
      <w:pPr>
        <w:spacing w:line="240" w:lineRule="auto"/>
      </w:pPr>
      <w:r>
        <w:continuationSeparator/>
      </w:r>
    </w:p>
  </w:endnote>
  <w:endnote w:id="1">
    <w:p w14:paraId="6FD52889" w14:textId="77777777" w:rsidR="000D2FB8" w:rsidRDefault="000D2FB8" w:rsidP="006E1E10">
      <w:pPr>
        <w:pStyle w:val="EndnoteText"/>
        <w:jc w:val="left"/>
      </w:pPr>
    </w:p>
    <w:p w14:paraId="12639F24" w14:textId="68779FC5" w:rsidR="000D2FB8" w:rsidRDefault="000D2FB8" w:rsidP="006E6D06">
      <w:pPr>
        <w:pStyle w:val="Heading2"/>
        <w:jc w:val="left"/>
      </w:pPr>
      <w:r>
        <w:t>NOTEN</w:t>
      </w:r>
    </w:p>
    <w:p w14:paraId="75B8FC19" w14:textId="77777777" w:rsidR="000D2FB8" w:rsidRDefault="000D2FB8" w:rsidP="006E1E10">
      <w:pPr>
        <w:pStyle w:val="EndnoteText"/>
        <w:jc w:val="left"/>
      </w:pPr>
    </w:p>
    <w:p w14:paraId="057B6A34" w14:textId="380BC653" w:rsidR="000D2FB8" w:rsidRPr="003918F8" w:rsidRDefault="000D2FB8" w:rsidP="00076135">
      <w:pPr>
        <w:pStyle w:val="EndnoteText"/>
        <w:jc w:val="left"/>
        <w:rPr>
          <w:color w:val="1A1A1A"/>
          <w:highlight w:val="green"/>
          <w:shd w:val="clear" w:color="auto" w:fill="FFFFFF"/>
        </w:rPr>
      </w:pPr>
      <w:r>
        <w:rPr>
          <w:rStyle w:val="EndnoteReference"/>
        </w:rPr>
        <w:endnoteRef/>
      </w:r>
      <w:r>
        <w:t xml:space="preserve"> </w:t>
      </w:r>
      <w:bookmarkStart w:id="0" w:name="_Hlk169712225"/>
      <w:r w:rsidRPr="0003149A">
        <w:t xml:space="preserve">R. Filarski, </w:t>
      </w:r>
      <w:r w:rsidRPr="0003149A">
        <w:rPr>
          <w:i/>
          <w:iCs/>
        </w:rPr>
        <w:t>Tegen de stroom in. Binnenvaart en vaarwegen vanaf 1800</w:t>
      </w:r>
      <w:r w:rsidRPr="0003149A">
        <w:t xml:space="preserve"> (Utrecht 2014); H.P.H. Nusteling, </w:t>
      </w:r>
      <w:r w:rsidRPr="0003149A">
        <w:rPr>
          <w:i/>
          <w:iCs/>
        </w:rPr>
        <w:t>De Rijnvaart in het tijdperk van stoom en steenkool, 1831-1914</w:t>
      </w:r>
      <w:r w:rsidRPr="0003149A">
        <w:t xml:space="preserve"> (Amsterdam 1974) en </w:t>
      </w:r>
      <w:r w:rsidRPr="0003149A">
        <w:rPr>
          <w:bCs/>
        </w:rPr>
        <w:t xml:space="preserve">J. Schenk, </w:t>
      </w:r>
      <w:r w:rsidRPr="0003149A">
        <w:rPr>
          <w:bCs/>
          <w:i/>
          <w:iCs/>
        </w:rPr>
        <w:t>Havenbaronnen en Ruhrbonzen. Oorsprong van een wederzijdse afhankelijkheidsrelatie tussen Rotterdam en het Ruhrgebied, 1870-1914</w:t>
      </w:r>
      <w:r w:rsidRPr="0003149A">
        <w:rPr>
          <w:bCs/>
        </w:rPr>
        <w:t xml:space="preserve"> (Rotterdam 2015) geven een goed beeld van de ontwikkeling van de binnenvaart vanaf 1800. In dit kader kan ook gewezen worden op het </w:t>
      </w:r>
      <w:r w:rsidR="006A4AE1">
        <w:rPr>
          <w:bCs/>
        </w:rPr>
        <w:t>onlangs</w:t>
      </w:r>
      <w:r w:rsidRPr="0003149A">
        <w:rPr>
          <w:bCs/>
        </w:rPr>
        <w:t xml:space="preserve"> verschenen artikel van H.A.M. Klemann, </w:t>
      </w:r>
      <w:r w:rsidRPr="00CA27FB">
        <w:rPr>
          <w:color w:val="1A1A1A"/>
          <w:shd w:val="clear" w:color="auto" w:fill="FFFFFF"/>
        </w:rPr>
        <w:t xml:space="preserve">‘Van </w:t>
      </w:r>
      <w:r w:rsidR="003918F8">
        <w:rPr>
          <w:bCs/>
        </w:rPr>
        <w:t xml:space="preserve">In dit kader kan ook gewezen worden op de </w:t>
      </w:r>
      <w:r w:rsidR="0089623F">
        <w:rPr>
          <w:bCs/>
        </w:rPr>
        <w:t xml:space="preserve">recent </w:t>
      </w:r>
      <w:r w:rsidR="003918F8">
        <w:rPr>
          <w:bCs/>
        </w:rPr>
        <w:t xml:space="preserve">verschenen </w:t>
      </w:r>
      <w:r w:rsidR="003918F8" w:rsidRPr="007226BF">
        <w:rPr>
          <w:bCs/>
        </w:rPr>
        <w:t xml:space="preserve">artikelen van H.A.M. Klemann, </w:t>
      </w:r>
      <w:r w:rsidR="003918F8" w:rsidRPr="007226BF">
        <w:rPr>
          <w:color w:val="1A1A1A"/>
          <w:shd w:val="clear" w:color="auto" w:fill="FFFFFF"/>
        </w:rPr>
        <w:t xml:space="preserve">‘Van beurtvaart naar vrije markt. </w:t>
      </w:r>
      <w:r w:rsidR="003918F8" w:rsidRPr="007226BF">
        <w:rPr>
          <w:color w:val="1A1A1A"/>
          <w:shd w:val="clear" w:color="auto" w:fill="FFFFFF"/>
          <w:lang w:val="en-US"/>
        </w:rPr>
        <w:t xml:space="preserve">Het economisch belang van de binnenvaart, 1870-2015’, </w:t>
      </w:r>
      <w:r w:rsidR="003918F8" w:rsidRPr="007226BF">
        <w:rPr>
          <w:i/>
          <w:color w:val="1A1A1A"/>
          <w:shd w:val="clear" w:color="auto" w:fill="FFFFFF"/>
          <w:lang w:val="en-US"/>
        </w:rPr>
        <w:t>Tijdschrift voor Zeegeschiedenis</w:t>
      </w:r>
      <w:r w:rsidR="003918F8" w:rsidRPr="007226BF">
        <w:rPr>
          <w:color w:val="1A1A1A"/>
          <w:shd w:val="clear" w:color="auto" w:fill="FFFFFF"/>
          <w:lang w:val="en-US"/>
        </w:rPr>
        <w:t xml:space="preserve"> 41:1 (2022) 66-91 en H.A.M. Klemann, ‘Competition between Dutch Skippers, German Ship-owners, and the Transition to Steam’, </w:t>
      </w:r>
      <w:r w:rsidR="003918F8" w:rsidRPr="007226BF">
        <w:rPr>
          <w:i/>
          <w:iCs/>
          <w:color w:val="1A1A1A"/>
          <w:shd w:val="clear" w:color="auto" w:fill="FFFFFF"/>
          <w:lang w:val="en-US"/>
        </w:rPr>
        <w:t>TSEG – The Low Countries Journal of Social and Economic History</w:t>
      </w:r>
      <w:r w:rsidR="003918F8" w:rsidRPr="007226BF">
        <w:rPr>
          <w:color w:val="1A1A1A"/>
          <w:shd w:val="clear" w:color="auto" w:fill="FFFFFF"/>
          <w:lang w:val="en-US"/>
        </w:rPr>
        <w:t xml:space="preserve"> 21:1 (2024) Special </w:t>
      </w:r>
      <w:r w:rsidR="00261D7B" w:rsidRPr="007226BF">
        <w:rPr>
          <w:color w:val="1A1A1A"/>
          <w:shd w:val="clear" w:color="auto" w:fill="FFFFFF"/>
          <w:lang w:val="en-US"/>
        </w:rPr>
        <w:t>I</w:t>
      </w:r>
      <w:r w:rsidR="003918F8" w:rsidRPr="007226BF">
        <w:rPr>
          <w:color w:val="1A1A1A"/>
          <w:shd w:val="clear" w:color="auto" w:fill="FFFFFF"/>
          <w:lang w:val="en-US"/>
        </w:rPr>
        <w:t xml:space="preserve">ssue: The Yangtze and the Rhine. </w:t>
      </w:r>
      <w:r w:rsidR="003918F8" w:rsidRPr="007226BF">
        <w:rPr>
          <w:color w:val="1A1A1A"/>
          <w:shd w:val="clear" w:color="auto" w:fill="FFFFFF"/>
        </w:rPr>
        <w:t xml:space="preserve">Two Major River Systems, 81-107. </w:t>
      </w:r>
      <w:r w:rsidRPr="001B2C5D">
        <w:rPr>
          <w:rFonts w:eastAsia="Calibri" w:cs="Times New Roman"/>
          <w:color w:val="000000"/>
        </w:rPr>
        <w:t xml:space="preserve">De inhoud van dit hoofdstuk is vooral ontleend aan de volgende publicaties: </w:t>
      </w:r>
      <w:r w:rsidR="006A4AE1">
        <w:rPr>
          <w:rFonts w:eastAsia="Calibri" w:cs="Times New Roman"/>
          <w:color w:val="000000"/>
        </w:rPr>
        <w:t xml:space="preserve">R. </w:t>
      </w:r>
      <w:r w:rsidRPr="001B2C5D">
        <w:rPr>
          <w:rFonts w:eastAsia="Calibri" w:cs="Times New Roman"/>
          <w:color w:val="000000"/>
        </w:rPr>
        <w:t xml:space="preserve">Filarski, </w:t>
      </w:r>
      <w:r w:rsidRPr="001B2C5D">
        <w:rPr>
          <w:rFonts w:eastAsia="Calibri" w:cs="Times New Roman"/>
          <w:i/>
          <w:iCs/>
          <w:color w:val="000000"/>
        </w:rPr>
        <w:t>Tegen de stroom in</w:t>
      </w:r>
      <w:r w:rsidR="006A4AE1">
        <w:rPr>
          <w:rFonts w:eastAsia="Calibri" w:cs="Times New Roman"/>
          <w:i/>
          <w:iCs/>
          <w:color w:val="000000"/>
        </w:rPr>
        <w:t>.</w:t>
      </w:r>
      <w:r w:rsidRPr="001B2C5D">
        <w:rPr>
          <w:rFonts w:eastAsia="Calibri" w:cs="Times New Roman"/>
          <w:i/>
          <w:iCs/>
          <w:color w:val="000000"/>
        </w:rPr>
        <w:t xml:space="preserve"> Binnenvaart en vaarwegen vanaf 1800</w:t>
      </w:r>
      <w:r w:rsidRPr="001B2C5D">
        <w:rPr>
          <w:rFonts w:eastAsia="Calibri" w:cs="Times New Roman"/>
          <w:color w:val="000000"/>
        </w:rPr>
        <w:t xml:space="preserve"> (Utrecht 2014); </w:t>
      </w:r>
      <w:r w:rsidR="00F56473">
        <w:rPr>
          <w:rFonts w:eastAsia="Calibri" w:cs="Times New Roman"/>
          <w:color w:val="000000"/>
        </w:rPr>
        <w:t xml:space="preserve">J. de </w:t>
      </w:r>
      <w:r w:rsidRPr="001B2C5D">
        <w:rPr>
          <w:rFonts w:eastAsia="Calibri" w:cs="Times New Roman"/>
          <w:color w:val="000000"/>
        </w:rPr>
        <w:t xml:space="preserve">Hoog, </w:t>
      </w:r>
      <w:r w:rsidRPr="001B2C5D">
        <w:rPr>
          <w:rFonts w:eastAsia="Calibri" w:cs="Times New Roman"/>
          <w:i/>
          <w:iCs/>
          <w:color w:val="000000"/>
        </w:rPr>
        <w:t>De Nederlandsche binnenscheepvaart</w:t>
      </w:r>
      <w:r w:rsidR="00F56473">
        <w:rPr>
          <w:rFonts w:eastAsia="Calibri" w:cs="Times New Roman"/>
          <w:color w:val="000000"/>
        </w:rPr>
        <w:t xml:space="preserve"> </w:t>
      </w:r>
      <w:r w:rsidRPr="001B2C5D">
        <w:rPr>
          <w:rFonts w:eastAsia="Calibri" w:cs="Times New Roman"/>
          <w:color w:val="000000"/>
        </w:rPr>
        <w:t>(Assen</w:t>
      </w:r>
      <w:r w:rsidR="00F56473">
        <w:rPr>
          <w:rFonts w:eastAsia="Calibri" w:cs="Times New Roman"/>
          <w:color w:val="000000"/>
        </w:rPr>
        <w:t xml:space="preserve"> </w:t>
      </w:r>
      <w:r w:rsidRPr="001B2C5D">
        <w:rPr>
          <w:rFonts w:eastAsia="Calibri" w:cs="Times New Roman"/>
          <w:color w:val="000000"/>
        </w:rPr>
        <w:t xml:space="preserve">1938); </w:t>
      </w:r>
      <w:r w:rsidR="00F56473">
        <w:rPr>
          <w:rFonts w:eastAsia="Calibri" w:cs="Times New Roman"/>
          <w:color w:val="000000"/>
        </w:rPr>
        <w:t xml:space="preserve">J. van der </w:t>
      </w:r>
      <w:r w:rsidRPr="001B2C5D">
        <w:rPr>
          <w:rFonts w:eastAsia="Calibri" w:cs="Times New Roman"/>
          <w:color w:val="000000"/>
        </w:rPr>
        <w:t xml:space="preserve">Kley, </w:t>
      </w:r>
      <w:r w:rsidRPr="001B2C5D">
        <w:rPr>
          <w:rFonts w:eastAsia="Calibri" w:cs="Times New Roman"/>
          <w:i/>
          <w:iCs/>
          <w:color w:val="000000"/>
        </w:rPr>
        <w:t>Vaarwegen in Nederland</w:t>
      </w:r>
      <w:r w:rsidR="00F56473">
        <w:rPr>
          <w:rFonts w:eastAsia="Calibri" w:cs="Times New Roman"/>
          <w:i/>
          <w:iCs/>
          <w:color w:val="000000"/>
        </w:rPr>
        <w:t>. E</w:t>
      </w:r>
      <w:r w:rsidRPr="001B2C5D">
        <w:rPr>
          <w:rFonts w:eastAsia="Calibri" w:cs="Times New Roman"/>
          <w:i/>
          <w:iCs/>
          <w:color w:val="000000"/>
        </w:rPr>
        <w:t>en beschrijving van de Nederlandse binnenvaarwegen</w:t>
      </w:r>
      <w:r w:rsidRPr="001B2C5D">
        <w:rPr>
          <w:rFonts w:eastAsia="Calibri" w:cs="Times New Roman"/>
          <w:color w:val="000000"/>
        </w:rPr>
        <w:t xml:space="preserve"> (Assen</w:t>
      </w:r>
      <w:r w:rsidR="00F56473">
        <w:rPr>
          <w:rFonts w:eastAsia="Calibri" w:cs="Times New Roman"/>
          <w:color w:val="000000"/>
        </w:rPr>
        <w:t xml:space="preserve"> </w:t>
      </w:r>
      <w:r w:rsidRPr="001B2C5D">
        <w:rPr>
          <w:rFonts w:eastAsia="Calibri" w:cs="Times New Roman"/>
          <w:color w:val="000000"/>
        </w:rPr>
        <w:t xml:space="preserve">1967); </w:t>
      </w:r>
      <w:r w:rsidR="00F56473">
        <w:rPr>
          <w:rFonts w:eastAsia="Calibri" w:cs="Times New Roman"/>
          <w:color w:val="000000"/>
        </w:rPr>
        <w:t xml:space="preserve">H.P.H. </w:t>
      </w:r>
      <w:r w:rsidRPr="001B2C5D">
        <w:rPr>
          <w:rFonts w:eastAsia="Calibri" w:cs="Times New Roman"/>
          <w:color w:val="000000"/>
        </w:rPr>
        <w:t xml:space="preserve">Nusteling, </w:t>
      </w:r>
      <w:r w:rsidRPr="001B2C5D">
        <w:rPr>
          <w:rFonts w:eastAsia="Calibri" w:cs="Times New Roman"/>
          <w:i/>
          <w:iCs/>
          <w:color w:val="000000"/>
        </w:rPr>
        <w:t>De Rijnvaart in het tijdperk van stoom en steenkool, 1831-1914</w:t>
      </w:r>
      <w:r w:rsidR="00942B1C">
        <w:rPr>
          <w:rFonts w:eastAsia="Calibri" w:cs="Times New Roman"/>
          <w:color w:val="000000"/>
        </w:rPr>
        <w:t xml:space="preserve"> </w:t>
      </w:r>
      <w:r w:rsidRPr="001B2C5D">
        <w:rPr>
          <w:rFonts w:eastAsia="Calibri" w:cs="Times New Roman"/>
          <w:color w:val="000000"/>
        </w:rPr>
        <w:t>(Amsterda</w:t>
      </w:r>
      <w:r w:rsidR="00942B1C">
        <w:rPr>
          <w:rFonts w:eastAsia="Calibri" w:cs="Times New Roman"/>
          <w:color w:val="000000"/>
        </w:rPr>
        <w:t>m</w:t>
      </w:r>
      <w:r w:rsidRPr="001B2C5D">
        <w:rPr>
          <w:rFonts w:eastAsia="Calibri" w:cs="Times New Roman"/>
          <w:color w:val="000000"/>
        </w:rPr>
        <w:t xml:space="preserve"> 1974); </w:t>
      </w:r>
      <w:r w:rsidR="00F56473">
        <w:rPr>
          <w:rFonts w:eastAsia="Calibri" w:cs="Times New Roman"/>
          <w:color w:val="000000"/>
        </w:rPr>
        <w:t xml:space="preserve">W. de </w:t>
      </w:r>
      <w:r w:rsidRPr="001B2C5D">
        <w:rPr>
          <w:rFonts w:eastAsia="Calibri" w:cs="Times New Roman"/>
          <w:bCs/>
          <w:color w:val="000000"/>
        </w:rPr>
        <w:t xml:space="preserve">Ruiter, </w:t>
      </w:r>
      <w:r w:rsidRPr="001B2C5D">
        <w:rPr>
          <w:rFonts w:eastAsia="Calibri" w:cs="Times New Roman"/>
          <w:bCs/>
          <w:i/>
          <w:iCs/>
          <w:color w:val="000000"/>
        </w:rPr>
        <w:t>Binnenscheepvaart in beweging</w:t>
      </w:r>
      <w:r w:rsidRPr="001B2C5D">
        <w:rPr>
          <w:rFonts w:eastAsia="Calibri" w:cs="Times New Roman"/>
          <w:bCs/>
          <w:color w:val="000000"/>
        </w:rPr>
        <w:t xml:space="preserve"> (Deventer</w:t>
      </w:r>
      <w:r w:rsidR="00F56473">
        <w:rPr>
          <w:rFonts w:eastAsia="Calibri" w:cs="Times New Roman"/>
          <w:bCs/>
          <w:color w:val="000000"/>
        </w:rPr>
        <w:t xml:space="preserve"> </w:t>
      </w:r>
      <w:r w:rsidRPr="001B2C5D">
        <w:rPr>
          <w:rFonts w:eastAsia="Calibri" w:cs="Times New Roman"/>
          <w:bCs/>
          <w:color w:val="000000"/>
        </w:rPr>
        <w:t xml:space="preserve">1980); </w:t>
      </w:r>
      <w:r w:rsidR="00F56473">
        <w:rPr>
          <w:rFonts w:eastAsia="Calibri" w:cs="Times New Roman"/>
          <w:color w:val="000000"/>
        </w:rPr>
        <w:t xml:space="preserve">J. </w:t>
      </w:r>
      <w:r w:rsidRPr="001B2C5D">
        <w:rPr>
          <w:rFonts w:eastAsia="Calibri" w:cs="Times New Roman"/>
          <w:bCs/>
          <w:color w:val="000000"/>
        </w:rPr>
        <w:t xml:space="preserve">Schenk, </w:t>
      </w:r>
      <w:r w:rsidRPr="001B2C5D">
        <w:rPr>
          <w:rFonts w:eastAsia="Calibri" w:cs="Times New Roman"/>
          <w:bCs/>
          <w:i/>
          <w:iCs/>
          <w:color w:val="000000"/>
        </w:rPr>
        <w:t>Havenbaronnen en Ruhrbonzen. Oorsprong van een wederzijdse afhankelijkheidsrelatie tussen Rotterdam en het Ruhrgebied, 1870-1914</w:t>
      </w:r>
      <w:r w:rsidRPr="001B2C5D">
        <w:rPr>
          <w:rFonts w:eastAsia="Calibri" w:cs="Times New Roman"/>
          <w:bCs/>
          <w:color w:val="000000"/>
        </w:rPr>
        <w:t xml:space="preserve"> (Rotterdam 2015); </w:t>
      </w:r>
      <w:r w:rsidRPr="001B2C5D">
        <w:rPr>
          <w:rFonts w:eastAsia="Calibri" w:cs="Times New Roman"/>
          <w:i/>
          <w:color w:val="000000"/>
        </w:rPr>
        <w:t>Vaarwegen</w:t>
      </w:r>
      <w:r w:rsidRPr="001B2C5D">
        <w:rPr>
          <w:rFonts w:eastAsia="Calibri" w:cs="Times New Roman"/>
          <w:iCs/>
          <w:color w:val="000000"/>
        </w:rPr>
        <w:t xml:space="preserve">, </w:t>
      </w:r>
      <w:r w:rsidR="00426399">
        <w:rPr>
          <w:iCs/>
        </w:rPr>
        <w:t>Handelingen Staten-Generaal</w:t>
      </w:r>
      <w:r w:rsidRPr="001B2C5D">
        <w:rPr>
          <w:rFonts w:eastAsia="Calibri" w:cs="Times New Roman"/>
          <w:iCs/>
          <w:color w:val="000000"/>
        </w:rPr>
        <w:t>, 1980-1981, Tweede Kamer, Kamerstuknr.16641, nrs.1-2;</w:t>
      </w:r>
      <w:r w:rsidR="00F56473">
        <w:rPr>
          <w:rFonts w:eastAsia="Calibri" w:cs="Times New Roman"/>
          <w:iCs/>
          <w:color w:val="000000"/>
        </w:rPr>
        <w:t xml:space="preserve"> J.</w:t>
      </w:r>
      <w:r w:rsidRPr="001B2C5D">
        <w:rPr>
          <w:rFonts w:eastAsia="Calibri" w:cs="Times New Roman"/>
          <w:iCs/>
          <w:color w:val="000000"/>
        </w:rPr>
        <w:t xml:space="preserve"> </w:t>
      </w:r>
      <w:r w:rsidRPr="001B2C5D">
        <w:rPr>
          <w:rFonts w:eastAsia="Calibri" w:cs="Times New Roman"/>
          <w:color w:val="000000"/>
        </w:rPr>
        <w:t xml:space="preserve">Verheij, </w:t>
      </w:r>
      <w:r w:rsidRPr="001B2C5D">
        <w:rPr>
          <w:rFonts w:eastAsia="Calibri" w:cs="Times New Roman"/>
          <w:i/>
          <w:iCs/>
          <w:color w:val="000000"/>
        </w:rPr>
        <w:t>Wetten voor weg &amp; water 1923</w:t>
      </w:r>
      <w:r w:rsidR="00177369">
        <w:rPr>
          <w:rFonts w:eastAsia="Calibri" w:cs="Times New Roman"/>
          <w:i/>
          <w:iCs/>
          <w:color w:val="000000"/>
        </w:rPr>
        <w:t>-</w:t>
      </w:r>
      <w:r w:rsidRPr="001B2C5D">
        <w:rPr>
          <w:rFonts w:eastAsia="Calibri" w:cs="Times New Roman"/>
          <w:i/>
          <w:iCs/>
          <w:color w:val="000000"/>
        </w:rPr>
        <w:t>1998</w:t>
      </w:r>
      <w:r w:rsidR="00F56473">
        <w:rPr>
          <w:rFonts w:eastAsia="Calibri" w:cs="Times New Roman"/>
          <w:i/>
          <w:iCs/>
          <w:color w:val="000000"/>
        </w:rPr>
        <w:t>.</w:t>
      </w:r>
      <w:r w:rsidRPr="001B2C5D">
        <w:rPr>
          <w:rFonts w:eastAsia="Calibri" w:cs="Times New Roman"/>
          <w:i/>
          <w:iCs/>
          <w:color w:val="000000"/>
        </w:rPr>
        <w:t xml:space="preserve"> Het experiment van de wet autovervoer goederen en de wet goederenvervoer binnenscheepvaart en de jaren erna</w:t>
      </w:r>
      <w:r w:rsidRPr="001B2C5D">
        <w:rPr>
          <w:rFonts w:eastAsia="Calibri" w:cs="Times New Roman"/>
          <w:color w:val="000000"/>
        </w:rPr>
        <w:t xml:space="preserve"> (Delft 2001); </w:t>
      </w:r>
      <w:r w:rsidR="00F56473">
        <w:rPr>
          <w:rFonts w:eastAsia="Calibri" w:cs="Times New Roman"/>
          <w:color w:val="000000"/>
        </w:rPr>
        <w:t xml:space="preserve">J. </w:t>
      </w:r>
      <w:r w:rsidRPr="001B2C5D">
        <w:rPr>
          <w:rFonts w:eastAsia="Calibri" w:cs="Times New Roman"/>
          <w:color w:val="000000"/>
        </w:rPr>
        <w:t xml:space="preserve">Verrips, </w:t>
      </w:r>
      <w:r w:rsidRPr="001B2C5D">
        <w:rPr>
          <w:rFonts w:eastAsia="Calibri" w:cs="Times New Roman"/>
          <w:i/>
          <w:iCs/>
          <w:color w:val="000000"/>
        </w:rPr>
        <w:t>Als het tij verloopt. Over binnenschippers en hun bonden, 1895-1975</w:t>
      </w:r>
      <w:r w:rsidRPr="001B2C5D">
        <w:rPr>
          <w:rFonts w:eastAsia="Calibri" w:cs="Times New Roman"/>
          <w:color w:val="000000"/>
        </w:rPr>
        <w:t xml:space="preserve"> (Amsterdam 1991); </w:t>
      </w:r>
      <w:r w:rsidRPr="001B2C5D">
        <w:rPr>
          <w:rFonts w:eastAsia="Calibri" w:cs="Times New Roman"/>
          <w:i/>
          <w:iCs/>
          <w:color w:val="000000"/>
        </w:rPr>
        <w:t>Verslag der Staatscommissie ingesteld bij KB van 5 Mei 1905 nr.</w:t>
      </w:r>
      <w:r w:rsidR="0022265F">
        <w:rPr>
          <w:rFonts w:eastAsia="Calibri" w:cs="Times New Roman"/>
          <w:i/>
          <w:iCs/>
          <w:color w:val="000000"/>
        </w:rPr>
        <w:t xml:space="preserve"> </w:t>
      </w:r>
      <w:r w:rsidRPr="001B2C5D">
        <w:rPr>
          <w:rFonts w:eastAsia="Calibri" w:cs="Times New Roman"/>
          <w:i/>
          <w:iCs/>
          <w:color w:val="000000"/>
        </w:rPr>
        <w:t>51</w:t>
      </w:r>
      <w:r w:rsidR="001B2C5D">
        <w:rPr>
          <w:rFonts w:eastAsia="Calibri" w:cs="Times New Roman"/>
          <w:i/>
          <w:iCs/>
          <w:color w:val="000000"/>
        </w:rPr>
        <w:t xml:space="preserve"> </w:t>
      </w:r>
      <w:r w:rsidRPr="001B2C5D">
        <w:rPr>
          <w:rFonts w:eastAsia="Calibri" w:cs="Times New Roman"/>
          <w:i/>
          <w:iCs/>
          <w:color w:val="000000"/>
        </w:rPr>
        <w:t>tot het nagaan van de toekomst waarin het binnenschipperijbedrijf verkeert</w:t>
      </w:r>
      <w:r w:rsidR="001B2C5D">
        <w:rPr>
          <w:rFonts w:eastAsia="Calibri" w:cs="Times New Roman"/>
          <w:color w:val="000000"/>
        </w:rPr>
        <w:t xml:space="preserve"> (</w:t>
      </w:r>
      <w:r w:rsidR="00B54F1A">
        <w:rPr>
          <w:rFonts w:eastAsia="Calibri" w:cs="Times New Roman"/>
          <w:color w:val="000000"/>
        </w:rPr>
        <w:t>’</w:t>
      </w:r>
      <w:r w:rsidRPr="001B2C5D">
        <w:rPr>
          <w:rFonts w:eastAsia="Calibri" w:cs="Times New Roman"/>
          <w:color w:val="000000"/>
        </w:rPr>
        <w:t>s-Gravenhage</w:t>
      </w:r>
      <w:r w:rsidR="00B54F1A">
        <w:rPr>
          <w:rFonts w:eastAsia="Calibri" w:cs="Times New Roman"/>
          <w:color w:val="000000"/>
        </w:rPr>
        <w:t xml:space="preserve"> </w:t>
      </w:r>
      <w:r w:rsidRPr="001B2C5D">
        <w:rPr>
          <w:rFonts w:eastAsia="Calibri" w:cs="Times New Roman"/>
          <w:color w:val="000000"/>
        </w:rPr>
        <w:t>1911</w:t>
      </w:r>
      <w:r w:rsidR="001B2C5D">
        <w:rPr>
          <w:rFonts w:eastAsia="Calibri" w:cs="Times New Roman"/>
          <w:color w:val="000000"/>
        </w:rPr>
        <w:t>)</w:t>
      </w:r>
      <w:r w:rsidRPr="001B2C5D">
        <w:rPr>
          <w:rFonts w:eastAsia="Calibri" w:cs="Times New Roman"/>
          <w:color w:val="000000"/>
        </w:rPr>
        <w:t>.</w:t>
      </w:r>
      <w:bookmarkEnd w:id="0"/>
    </w:p>
  </w:endnote>
  <w:endnote w:id="2">
    <w:p w14:paraId="5E92CFE7" w14:textId="5021741F" w:rsidR="000D2FB8" w:rsidRPr="0074155E" w:rsidRDefault="000D2FB8" w:rsidP="00B7655E">
      <w:pPr>
        <w:pStyle w:val="EndnoteText"/>
        <w:jc w:val="left"/>
      </w:pPr>
      <w:r>
        <w:rPr>
          <w:rStyle w:val="EndnoteReference"/>
        </w:rPr>
        <w:endnoteRef/>
      </w:r>
      <w:r>
        <w:t xml:space="preserve"> De tekst van </w:t>
      </w:r>
      <w:r w:rsidRPr="00FC58F4">
        <w:t>deze subparagraaf  is ontl</w:t>
      </w:r>
      <w:r>
        <w:t xml:space="preserve">eend aan: Filarski, </w:t>
      </w:r>
      <w:r w:rsidRPr="004937B5">
        <w:rPr>
          <w:i/>
          <w:iCs/>
        </w:rPr>
        <w:t xml:space="preserve">Tegen de </w:t>
      </w:r>
      <w:r w:rsidRPr="008F54ED">
        <w:rPr>
          <w:i/>
        </w:rPr>
        <w:t>stroom</w:t>
      </w:r>
      <w:r>
        <w:rPr>
          <w:iCs/>
        </w:rPr>
        <w:t xml:space="preserve">, </w:t>
      </w:r>
      <w:r w:rsidRPr="000A25EE">
        <w:t>123</w:t>
      </w:r>
      <w:r>
        <w:t>-126; Nusteling</w:t>
      </w:r>
      <w:r w:rsidRPr="0060497F">
        <w:t xml:space="preserve">, </w:t>
      </w:r>
      <w:r w:rsidRPr="000A25EE">
        <w:rPr>
          <w:i/>
          <w:iCs/>
        </w:rPr>
        <w:t>Rijnvaart</w:t>
      </w:r>
      <w:r>
        <w:rPr>
          <w:iCs/>
        </w:rPr>
        <w:t xml:space="preserve">, </w:t>
      </w:r>
      <w:r w:rsidRPr="000A25EE">
        <w:t>passim</w:t>
      </w:r>
      <w:r>
        <w:t xml:space="preserve">; </w:t>
      </w:r>
      <w:r w:rsidRPr="004937B5">
        <w:rPr>
          <w:bCs/>
        </w:rPr>
        <w:t xml:space="preserve">Schenk, </w:t>
      </w:r>
      <w:r w:rsidRPr="008A5BD8">
        <w:rPr>
          <w:bCs/>
          <w:i/>
          <w:iCs/>
        </w:rPr>
        <w:t>Havenbaronnen</w:t>
      </w:r>
      <w:r>
        <w:rPr>
          <w:bCs/>
          <w:iCs/>
        </w:rPr>
        <w:t xml:space="preserve">, </w:t>
      </w:r>
      <w:r w:rsidRPr="000A25EE">
        <w:rPr>
          <w:bCs/>
        </w:rPr>
        <w:t>261</w:t>
      </w:r>
      <w:r>
        <w:rPr>
          <w:bCs/>
        </w:rPr>
        <w:t>-275</w:t>
      </w:r>
      <w:r w:rsidRPr="004937B5">
        <w:rPr>
          <w:bCs/>
        </w:rPr>
        <w:t xml:space="preserve">. </w:t>
      </w:r>
    </w:p>
  </w:endnote>
  <w:endnote w:id="3">
    <w:p w14:paraId="1CFF8253" w14:textId="5DEA4E5A" w:rsidR="000D2FB8" w:rsidRPr="007B23E0" w:rsidRDefault="000D2FB8" w:rsidP="00BE6E52">
      <w:pPr>
        <w:pStyle w:val="EndnoteText"/>
        <w:jc w:val="left"/>
      </w:pPr>
      <w:r>
        <w:rPr>
          <w:rStyle w:val="EndnoteReference"/>
        </w:rPr>
        <w:endnoteRef/>
      </w:r>
      <w:r>
        <w:t xml:space="preserve"> De tekst van deze subparagraaf is ontleend aan: Filarski, </w:t>
      </w:r>
      <w:r>
        <w:rPr>
          <w:i/>
          <w:iCs/>
        </w:rPr>
        <w:t>Tegen de stroom</w:t>
      </w:r>
      <w:r>
        <w:t>, passim.</w:t>
      </w:r>
    </w:p>
  </w:endnote>
  <w:endnote w:id="4">
    <w:p w14:paraId="401A14D8" w14:textId="00CCB47B" w:rsidR="000D2FB8" w:rsidRDefault="000D2FB8" w:rsidP="00D072C8">
      <w:pPr>
        <w:pStyle w:val="EndnoteText"/>
        <w:jc w:val="left"/>
      </w:pPr>
      <w:r>
        <w:rPr>
          <w:rStyle w:val="EndnoteReference"/>
        </w:rPr>
        <w:endnoteRef/>
      </w:r>
      <w:r>
        <w:t xml:space="preserve"> De tekst van deze subparagraaf is ontleend aan: Filarski, </w:t>
      </w:r>
      <w:r>
        <w:rPr>
          <w:i/>
          <w:iCs/>
        </w:rPr>
        <w:t>Tegen de stroom</w:t>
      </w:r>
      <w:r>
        <w:t xml:space="preserve">, 116-121, 140-145, 189-197; Nusteling, </w:t>
      </w:r>
      <w:r>
        <w:rPr>
          <w:i/>
          <w:iCs/>
        </w:rPr>
        <w:t>Rijnvaart</w:t>
      </w:r>
      <w:r>
        <w:t xml:space="preserve">, 241-243; Sepp, </w:t>
      </w:r>
      <w:r>
        <w:rPr>
          <w:i/>
          <w:iCs/>
        </w:rPr>
        <w:t>Binnenlandse scheepvaart</w:t>
      </w:r>
      <w:r>
        <w:t xml:space="preserve">, 61, 62, 74; </w:t>
      </w:r>
    </w:p>
    <w:p w14:paraId="439E8440" w14:textId="77777777" w:rsidR="000D2FB8" w:rsidRDefault="00873323" w:rsidP="00D072C8">
      <w:pPr>
        <w:pStyle w:val="EndnoteText"/>
        <w:jc w:val="left"/>
      </w:pPr>
      <w:hyperlink r:id="rId1" w:history="1">
        <w:r w:rsidR="000D2FB8" w:rsidRPr="00146610">
          <w:rPr>
            <w:rStyle w:val="Hyperlink"/>
          </w:rPr>
          <w:t>https://s2ho.nl/LSD/top/common/ZoekInLiggers_01.php</w:t>
        </w:r>
      </w:hyperlink>
    </w:p>
  </w:endnote>
  <w:endnote w:id="5">
    <w:p w14:paraId="0C8768BF" w14:textId="37634209" w:rsidR="000D2FB8" w:rsidRDefault="000D2FB8">
      <w:pPr>
        <w:pStyle w:val="EndnoteText"/>
      </w:pPr>
      <w:r>
        <w:rPr>
          <w:rStyle w:val="EndnoteReference"/>
        </w:rPr>
        <w:endnoteRef/>
      </w:r>
      <w:r>
        <w:t xml:space="preserve"> </w:t>
      </w:r>
      <w:r w:rsidR="00177369">
        <w:t xml:space="preserve">Zie: </w:t>
      </w:r>
      <w:hyperlink r:id="rId2" w:history="1">
        <w:r w:rsidRPr="00D33A8F">
          <w:rPr>
            <w:rStyle w:val="Hyperlink"/>
          </w:rPr>
          <w:t>https://s2ho.nl/LSD/top/common/ZoekInLiggers_01.php</w:t>
        </w:r>
      </w:hyperlink>
      <w:r>
        <w:t xml:space="preserve"> </w:t>
      </w:r>
    </w:p>
  </w:endnote>
  <w:endnote w:id="6">
    <w:p w14:paraId="7C3C109F" w14:textId="385543E4" w:rsidR="001A08BE" w:rsidRPr="00085CD4" w:rsidRDefault="000D2FB8" w:rsidP="00BB7CBF">
      <w:pPr>
        <w:pStyle w:val="EndnoteText"/>
        <w:spacing w:line="276" w:lineRule="auto"/>
        <w:jc w:val="left"/>
      </w:pPr>
      <w:r>
        <w:rPr>
          <w:rStyle w:val="EndnoteReference"/>
        </w:rPr>
        <w:endnoteRef/>
      </w:r>
      <w:r>
        <w:t xml:space="preserve"> </w:t>
      </w:r>
      <w:r w:rsidRPr="001A08BE">
        <w:t xml:space="preserve">Zie </w:t>
      </w:r>
      <w:r w:rsidR="00DD4E54">
        <w:t xml:space="preserve">Filarski, ‘Aarzelende modernisering. Binnenvaart in de negentiende eeuw’, </w:t>
      </w:r>
      <w:r w:rsidR="00B73A44">
        <w:t>in de</w:t>
      </w:r>
      <w:r w:rsidRPr="001A08BE">
        <w:t xml:space="preserve"> </w:t>
      </w:r>
      <w:r w:rsidR="00B73A44" w:rsidRPr="003075D2">
        <w:rPr>
          <w:i/>
          <w:iCs/>
        </w:rPr>
        <w:t>NMGN</w:t>
      </w:r>
      <w:r w:rsidR="00B73A44">
        <w:t xml:space="preserve">, </w:t>
      </w:r>
      <w:r w:rsidRPr="001A08BE">
        <w:t>dee</w:t>
      </w:r>
      <w:r w:rsidR="001A08BE" w:rsidRPr="001A08BE">
        <w:t>l 3</w:t>
      </w:r>
      <w:r w:rsidR="001A08BE">
        <w:t xml:space="preserve">, </w:t>
      </w:r>
      <w:hyperlink r:id="rId3" w:history="1">
        <w:r w:rsidR="00DD4E54" w:rsidRPr="00F92836">
          <w:rPr>
            <w:rStyle w:val="Hyperlink"/>
          </w:rPr>
          <w:t>https://beta.nmgn.huygens.knaw.nl/binnenvaart-negentiende-eeuw.html</w:t>
        </w:r>
      </w:hyperlink>
      <w:r w:rsidR="00DD4E54">
        <w:rPr>
          <w:rStyle w:val="Hyperlink"/>
        </w:rPr>
        <w:t xml:space="preserve"> </w:t>
      </w:r>
      <w:r w:rsidR="00DD4E54" w:rsidRPr="00DD4E54">
        <w:rPr>
          <w:rStyle w:val="Hyperlink"/>
          <w:color w:val="auto"/>
          <w:u w:val="none"/>
        </w:rPr>
        <w:t>(online, 30 juni 2021).</w:t>
      </w:r>
    </w:p>
  </w:endnote>
  <w:endnote w:id="7">
    <w:p w14:paraId="17303F44" w14:textId="77777777" w:rsidR="000D2FB8" w:rsidRPr="0007076F" w:rsidRDefault="000D2FB8" w:rsidP="00BB7CBF">
      <w:pPr>
        <w:pStyle w:val="EndnoteText"/>
        <w:spacing w:line="276" w:lineRule="auto"/>
        <w:jc w:val="left"/>
      </w:pPr>
      <w:r>
        <w:rPr>
          <w:rStyle w:val="EndnoteReference"/>
        </w:rPr>
        <w:endnoteRef/>
      </w:r>
      <w:r>
        <w:t xml:space="preserve"> Filarski, </w:t>
      </w:r>
      <w:r>
        <w:rPr>
          <w:i/>
          <w:iCs/>
        </w:rPr>
        <w:t>Tegen de stroom</w:t>
      </w:r>
      <w:r>
        <w:t xml:space="preserve">, 118, 119, 378, 379; Nusteling, </w:t>
      </w:r>
      <w:r>
        <w:rPr>
          <w:i/>
          <w:iCs/>
        </w:rPr>
        <w:t>Rijnvaart</w:t>
      </w:r>
      <w:r>
        <w:t xml:space="preserve">, 233, 278; Schenk, </w:t>
      </w:r>
      <w:r>
        <w:rPr>
          <w:i/>
          <w:iCs/>
        </w:rPr>
        <w:t>Havenbaronnen</w:t>
      </w:r>
      <w:r>
        <w:t>, 176.</w:t>
      </w:r>
    </w:p>
  </w:endnote>
  <w:endnote w:id="8">
    <w:p w14:paraId="46A8698C" w14:textId="1E3D8BC0" w:rsidR="000D2FB8" w:rsidRPr="00BA300A" w:rsidRDefault="000D2FB8" w:rsidP="00BB7CBF">
      <w:pPr>
        <w:pStyle w:val="EndnoteText"/>
        <w:spacing w:line="276" w:lineRule="auto"/>
        <w:jc w:val="left"/>
      </w:pPr>
      <w:r>
        <w:rPr>
          <w:rStyle w:val="EndnoteReference"/>
        </w:rPr>
        <w:endnoteRef/>
      </w:r>
      <w:r>
        <w:t xml:space="preserve"> Filarski, </w:t>
      </w:r>
      <w:r>
        <w:rPr>
          <w:i/>
          <w:iCs/>
        </w:rPr>
        <w:t>Tegen de stroom</w:t>
      </w:r>
      <w:r>
        <w:t xml:space="preserve">, 119, 378, 379; Nusteling, </w:t>
      </w:r>
      <w:r>
        <w:rPr>
          <w:i/>
          <w:iCs/>
        </w:rPr>
        <w:t>Rijnvaart</w:t>
      </w:r>
      <w:r>
        <w:t xml:space="preserve">, 235-244; </w:t>
      </w:r>
      <w:r>
        <w:rPr>
          <w:i/>
          <w:iCs/>
        </w:rPr>
        <w:t>Statistiek in-, uit</w:t>
      </w:r>
      <w:r w:rsidR="00FD5A99">
        <w:rPr>
          <w:i/>
          <w:iCs/>
        </w:rPr>
        <w:t>-</w:t>
      </w:r>
      <w:r>
        <w:rPr>
          <w:i/>
          <w:iCs/>
        </w:rPr>
        <w:t xml:space="preserve"> en doorvoer </w:t>
      </w:r>
      <w:r>
        <w:t>(1910) 236</w:t>
      </w:r>
      <w:r w:rsidR="00B44C47">
        <w:t xml:space="preserve">, </w:t>
      </w:r>
      <w:r>
        <w:t>tabel 1.</w:t>
      </w:r>
    </w:p>
  </w:endnote>
  <w:endnote w:id="9">
    <w:p w14:paraId="2E5F5934" w14:textId="199D28E7" w:rsidR="000D2FB8" w:rsidRPr="000D691E" w:rsidRDefault="000D2FB8" w:rsidP="00B744CF">
      <w:pPr>
        <w:pStyle w:val="EndnoteText"/>
        <w:spacing w:line="276" w:lineRule="auto"/>
        <w:rPr>
          <w:iCs/>
          <w:color w:val="auto"/>
        </w:rPr>
      </w:pPr>
      <w:r>
        <w:rPr>
          <w:rStyle w:val="EndnoteReference"/>
        </w:rPr>
        <w:endnoteRef/>
      </w:r>
      <w:r>
        <w:t xml:space="preserve"> </w:t>
      </w:r>
      <w:r>
        <w:rPr>
          <w:rFonts w:eastAsia="Calibri" w:cs="Times New Roman"/>
          <w:iCs/>
          <w:color w:val="auto"/>
          <w:szCs w:val="24"/>
        </w:rPr>
        <w:t xml:space="preserve">Filarski, </w:t>
      </w:r>
      <w:r>
        <w:rPr>
          <w:rFonts w:eastAsia="Calibri" w:cs="Times New Roman"/>
          <w:i/>
          <w:color w:val="auto"/>
          <w:szCs w:val="24"/>
        </w:rPr>
        <w:t>Tegen de stroom</w:t>
      </w:r>
      <w:r>
        <w:rPr>
          <w:rFonts w:eastAsia="Calibri" w:cs="Times New Roman"/>
          <w:iCs/>
          <w:color w:val="auto"/>
          <w:szCs w:val="24"/>
        </w:rPr>
        <w:t xml:space="preserve">, 117, 273, 381; </w:t>
      </w:r>
      <w:r w:rsidRPr="005B50F5">
        <w:rPr>
          <w:rFonts w:eastAsia="Calibri" w:cs="Times New Roman"/>
          <w:iCs/>
          <w:color w:val="auto"/>
          <w:szCs w:val="24"/>
        </w:rPr>
        <w:t xml:space="preserve">CBS, StatLine, </w:t>
      </w:r>
      <w:r w:rsidRPr="005B50F5">
        <w:rPr>
          <w:rFonts w:eastAsia="Calibri" w:cs="Times New Roman"/>
          <w:i/>
          <w:color w:val="auto"/>
          <w:szCs w:val="24"/>
        </w:rPr>
        <w:t>Binnenvaart; goederenvervoer, vervoerstro</w:t>
      </w:r>
      <w:r>
        <w:rPr>
          <w:rFonts w:eastAsia="Calibri" w:cs="Times New Roman"/>
          <w:i/>
          <w:color w:val="auto"/>
          <w:szCs w:val="24"/>
        </w:rPr>
        <w:t>o</w:t>
      </w:r>
      <w:r w:rsidRPr="005B50F5">
        <w:rPr>
          <w:rFonts w:eastAsia="Calibri" w:cs="Times New Roman"/>
          <w:i/>
          <w:color w:val="auto"/>
          <w:szCs w:val="24"/>
        </w:rPr>
        <w:t>m, soort lading</w:t>
      </w:r>
      <w:r w:rsidRPr="005B50F5">
        <w:rPr>
          <w:rFonts w:eastAsia="Calibri" w:cs="Times New Roman"/>
          <w:iCs/>
          <w:color w:val="auto"/>
          <w:szCs w:val="24"/>
        </w:rPr>
        <w:t xml:space="preserve"> (18</w:t>
      </w:r>
      <w:r w:rsidR="00BC3F44">
        <w:rPr>
          <w:rFonts w:eastAsia="Calibri" w:cs="Times New Roman"/>
          <w:iCs/>
          <w:color w:val="auto"/>
          <w:szCs w:val="24"/>
        </w:rPr>
        <w:t xml:space="preserve"> augustus </w:t>
      </w:r>
      <w:r w:rsidRPr="005B50F5">
        <w:rPr>
          <w:rFonts w:eastAsia="Calibri" w:cs="Times New Roman"/>
          <w:iCs/>
          <w:color w:val="auto"/>
          <w:szCs w:val="24"/>
        </w:rPr>
        <w:t>2023);</w:t>
      </w:r>
      <w:r>
        <w:rPr>
          <w:rFonts w:eastAsia="Calibri" w:cs="Times New Roman"/>
          <w:iCs/>
          <w:color w:val="auto"/>
          <w:szCs w:val="24"/>
        </w:rPr>
        <w:t xml:space="preserve"> </w:t>
      </w:r>
      <w:r>
        <w:rPr>
          <w:rFonts w:eastAsia="Calibri" w:cs="Times New Roman"/>
          <w:i/>
          <w:color w:val="auto"/>
          <w:szCs w:val="24"/>
        </w:rPr>
        <w:t>Statistiek in-, uit- en doorvoer</w:t>
      </w:r>
      <w:r w:rsidR="00BC3F44">
        <w:rPr>
          <w:rFonts w:eastAsia="Calibri" w:cs="Times New Roman"/>
          <w:iCs/>
          <w:color w:val="auto"/>
          <w:szCs w:val="24"/>
        </w:rPr>
        <w:t xml:space="preserve"> </w:t>
      </w:r>
      <w:r>
        <w:rPr>
          <w:rFonts w:eastAsia="Calibri" w:cs="Times New Roman"/>
          <w:iCs/>
          <w:color w:val="auto"/>
          <w:szCs w:val="24"/>
        </w:rPr>
        <w:t xml:space="preserve">(1880) 555; </w:t>
      </w:r>
      <w:r w:rsidR="00BC3F44">
        <w:rPr>
          <w:rFonts w:eastAsia="Calibri" w:cs="Times New Roman"/>
          <w:i/>
          <w:color w:val="auto"/>
          <w:szCs w:val="24"/>
        </w:rPr>
        <w:t>Statistiek in-, uit- en doorvoer</w:t>
      </w:r>
      <w:r>
        <w:rPr>
          <w:rFonts w:eastAsia="Calibri" w:cs="Times New Roman"/>
          <w:iCs/>
          <w:color w:val="auto"/>
          <w:szCs w:val="24"/>
        </w:rPr>
        <w:t xml:space="preserve"> (1900) 749</w:t>
      </w:r>
      <w:r w:rsidRPr="003051FC">
        <w:rPr>
          <w:rFonts w:eastAsia="Calibri" w:cs="Times New Roman"/>
          <w:i/>
          <w:color w:val="auto"/>
          <w:szCs w:val="24"/>
        </w:rPr>
        <w:t>.</w:t>
      </w:r>
      <w:r>
        <w:rPr>
          <w:rFonts w:eastAsia="Calibri" w:cs="Times New Roman"/>
          <w:iCs/>
          <w:color w:val="auto"/>
          <w:szCs w:val="24"/>
        </w:rPr>
        <w:t xml:space="preserve"> Door afrondingen wijken de optellingen in verschillende tabellen enigszins af van de totale hoeveelheden, zoals die in de CBS-statistieken zijn vermeld. Het in de tabellen weergegeven ‘totaal’ komt steeds overeen met het ‘totaal’, dat ook in de CBS-</w:t>
      </w:r>
      <w:r w:rsidRPr="000D691E">
        <w:rPr>
          <w:rFonts w:eastAsia="Calibri" w:cs="Times New Roman"/>
          <w:iCs/>
          <w:color w:val="auto"/>
          <w:szCs w:val="24"/>
        </w:rPr>
        <w:t xml:space="preserve">statistieken is weergegeven.        </w:t>
      </w:r>
    </w:p>
  </w:endnote>
  <w:endnote w:id="10">
    <w:p w14:paraId="75E96918" w14:textId="1B8A2019" w:rsidR="000D2FB8" w:rsidRPr="007247D5" w:rsidRDefault="000D2FB8" w:rsidP="00BB7CBF">
      <w:pPr>
        <w:pStyle w:val="EndnoteText"/>
        <w:spacing w:line="276" w:lineRule="auto"/>
        <w:jc w:val="left"/>
        <w:rPr>
          <w:color w:val="auto"/>
        </w:rPr>
      </w:pPr>
      <w:r w:rsidRPr="000D691E">
        <w:rPr>
          <w:rStyle w:val="EndnoteReference"/>
          <w:color w:val="auto"/>
        </w:rPr>
        <w:endnoteRef/>
      </w:r>
      <w:r w:rsidRPr="000D691E">
        <w:rPr>
          <w:color w:val="auto"/>
        </w:rPr>
        <w:t xml:space="preserve"> Filarski, </w:t>
      </w:r>
      <w:r w:rsidRPr="000D691E">
        <w:rPr>
          <w:i/>
          <w:iCs/>
          <w:color w:val="auto"/>
        </w:rPr>
        <w:t>Tegen de stroom</w:t>
      </w:r>
      <w:r w:rsidRPr="000D691E">
        <w:rPr>
          <w:color w:val="auto"/>
        </w:rPr>
        <w:t xml:space="preserve">, 117, 120-123; Kuiler, </w:t>
      </w:r>
      <w:r w:rsidRPr="000D691E">
        <w:rPr>
          <w:i/>
          <w:color w:val="auto"/>
        </w:rPr>
        <w:t>Verkeer en vervoer</w:t>
      </w:r>
      <w:r w:rsidRPr="000D691E">
        <w:rPr>
          <w:color w:val="auto"/>
        </w:rPr>
        <w:t>, 114.</w:t>
      </w:r>
      <w:r w:rsidR="007247D5">
        <w:rPr>
          <w:color w:val="auto"/>
        </w:rPr>
        <w:t xml:space="preserve">  </w:t>
      </w:r>
    </w:p>
  </w:endnote>
  <w:endnote w:id="11">
    <w:p w14:paraId="14D07AF0" w14:textId="323B6C66" w:rsidR="000D2FB8" w:rsidRPr="00A674DB" w:rsidRDefault="000D2FB8" w:rsidP="00BB7CBF">
      <w:pPr>
        <w:pStyle w:val="EndnoteText"/>
        <w:spacing w:line="276" w:lineRule="auto"/>
        <w:jc w:val="left"/>
        <w:rPr>
          <w:i/>
          <w:iCs/>
        </w:rPr>
      </w:pPr>
      <w:r>
        <w:rPr>
          <w:rStyle w:val="EndnoteReference"/>
        </w:rPr>
        <w:endnoteRef/>
      </w:r>
      <w:r>
        <w:t xml:space="preserve"> Filarski, </w:t>
      </w:r>
      <w:r>
        <w:rPr>
          <w:i/>
          <w:iCs/>
        </w:rPr>
        <w:t>Tegen de stroom</w:t>
      </w:r>
      <w:r>
        <w:t>, 163, 170;</w:t>
      </w:r>
      <w:r>
        <w:rPr>
          <w:i/>
          <w:iCs/>
        </w:rPr>
        <w:t xml:space="preserve"> </w:t>
      </w:r>
      <w:r>
        <w:t xml:space="preserve">Verrips, </w:t>
      </w:r>
      <w:r>
        <w:rPr>
          <w:i/>
          <w:iCs/>
        </w:rPr>
        <w:t>T</w:t>
      </w:r>
      <w:r w:rsidRPr="00D95202">
        <w:rPr>
          <w:i/>
          <w:iCs/>
        </w:rPr>
        <w:t>ij verloopt</w:t>
      </w:r>
      <w:r>
        <w:t>, 9-32.</w:t>
      </w:r>
    </w:p>
  </w:endnote>
  <w:endnote w:id="12">
    <w:p w14:paraId="1B880D99" w14:textId="77777777" w:rsidR="000D2FB8" w:rsidRDefault="000D2FB8" w:rsidP="00DD22FC">
      <w:pPr>
        <w:pStyle w:val="EndnoteText"/>
        <w:jc w:val="left"/>
      </w:pPr>
      <w:r>
        <w:rPr>
          <w:rStyle w:val="EndnoteReference"/>
        </w:rPr>
        <w:endnoteRef/>
      </w:r>
      <w:r>
        <w:t xml:space="preserve"> De tekst van dit gedeelte is ontleend aan: Filarski, </w:t>
      </w:r>
      <w:r>
        <w:rPr>
          <w:i/>
          <w:iCs/>
        </w:rPr>
        <w:t>Tegen de stroom</w:t>
      </w:r>
      <w:r>
        <w:t xml:space="preserve">, 173-185, 379, 380; CBS, </w:t>
      </w:r>
      <w:r>
        <w:rPr>
          <w:i/>
          <w:iCs/>
        </w:rPr>
        <w:t>Tweehonderd jaar statistiek</w:t>
      </w:r>
      <w:r>
        <w:t xml:space="preserve">, 63. </w:t>
      </w:r>
    </w:p>
  </w:endnote>
  <w:endnote w:id="13">
    <w:p w14:paraId="6DF0B33F" w14:textId="77777777" w:rsidR="000D2FB8" w:rsidRDefault="000D2FB8" w:rsidP="00BB7CBF">
      <w:pPr>
        <w:pStyle w:val="EndnoteText"/>
        <w:jc w:val="left"/>
      </w:pPr>
      <w:r>
        <w:rPr>
          <w:rStyle w:val="EndnoteReference"/>
        </w:rPr>
        <w:endnoteRef/>
      </w:r>
      <w:r>
        <w:t xml:space="preserve"> Filarski, </w:t>
      </w:r>
      <w:r w:rsidRPr="00D15269">
        <w:rPr>
          <w:i/>
          <w:iCs/>
        </w:rPr>
        <w:t>Tegen de stroom</w:t>
      </w:r>
      <w:r>
        <w:t>, 195-197, 381, 382.</w:t>
      </w:r>
    </w:p>
  </w:endnote>
  <w:endnote w:id="14">
    <w:p w14:paraId="7BCEF29C" w14:textId="77777777" w:rsidR="000D2FB8" w:rsidRPr="0007777C" w:rsidRDefault="000D2FB8" w:rsidP="00BB7CBF">
      <w:pPr>
        <w:pStyle w:val="EndnoteText"/>
        <w:spacing w:line="276" w:lineRule="auto"/>
        <w:jc w:val="left"/>
        <w:rPr>
          <w:color w:val="auto"/>
        </w:rPr>
      </w:pPr>
      <w:r>
        <w:rPr>
          <w:rStyle w:val="EndnoteReference"/>
        </w:rPr>
        <w:endnoteRef/>
      </w:r>
      <w:r>
        <w:t xml:space="preserve"> Filarski, </w:t>
      </w:r>
      <w:r>
        <w:rPr>
          <w:i/>
          <w:iCs/>
        </w:rPr>
        <w:t xml:space="preserve">Tegen de </w:t>
      </w:r>
      <w:r w:rsidRPr="0007777C">
        <w:rPr>
          <w:i/>
          <w:iCs/>
          <w:color w:val="auto"/>
        </w:rPr>
        <w:t>stroom</w:t>
      </w:r>
      <w:r w:rsidRPr="0007777C">
        <w:rPr>
          <w:color w:val="auto"/>
        </w:rPr>
        <w:t xml:space="preserve">, 187-196, 237-239, 379-382; CBS, </w:t>
      </w:r>
      <w:r w:rsidRPr="0007777C">
        <w:rPr>
          <w:i/>
          <w:iCs/>
          <w:color w:val="auto"/>
        </w:rPr>
        <w:t>Tweehonderd jaar statistiek</w:t>
      </w:r>
      <w:r w:rsidRPr="0007777C">
        <w:rPr>
          <w:color w:val="auto"/>
        </w:rPr>
        <w:t>, 63.</w:t>
      </w:r>
    </w:p>
  </w:endnote>
  <w:endnote w:id="15">
    <w:p w14:paraId="295674C7" w14:textId="77777777" w:rsidR="000D2FB8" w:rsidRPr="0007777C" w:rsidRDefault="000D2FB8" w:rsidP="00BB7CBF">
      <w:pPr>
        <w:pStyle w:val="EndnoteText"/>
        <w:spacing w:line="276" w:lineRule="auto"/>
        <w:jc w:val="left"/>
        <w:rPr>
          <w:color w:val="auto"/>
        </w:rPr>
      </w:pPr>
      <w:r w:rsidRPr="0007777C">
        <w:rPr>
          <w:rStyle w:val="EndnoteReference"/>
          <w:color w:val="auto"/>
        </w:rPr>
        <w:endnoteRef/>
      </w:r>
      <w:r w:rsidRPr="0007777C">
        <w:rPr>
          <w:color w:val="auto"/>
        </w:rPr>
        <w:t xml:space="preserve"> Filarski, </w:t>
      </w:r>
      <w:r w:rsidRPr="0007777C">
        <w:rPr>
          <w:i/>
          <w:iCs/>
          <w:color w:val="auto"/>
        </w:rPr>
        <w:t>Tegen de stroom</w:t>
      </w:r>
      <w:r w:rsidRPr="0007777C">
        <w:rPr>
          <w:color w:val="auto"/>
        </w:rPr>
        <w:t>, 196, 199-201, 239-244.</w:t>
      </w:r>
    </w:p>
  </w:endnote>
  <w:endnote w:id="16">
    <w:p w14:paraId="50BEA4E8" w14:textId="4A21D81E" w:rsidR="000D2FB8" w:rsidRPr="00FC58F4" w:rsidRDefault="000D2FB8" w:rsidP="005A4BA2">
      <w:pPr>
        <w:pStyle w:val="EndnoteText"/>
        <w:spacing w:line="276" w:lineRule="auto"/>
        <w:jc w:val="left"/>
      </w:pPr>
      <w:r w:rsidRPr="0007777C">
        <w:rPr>
          <w:rStyle w:val="EndnoteReference"/>
          <w:color w:val="auto"/>
        </w:rPr>
        <w:endnoteRef/>
      </w:r>
      <w:r w:rsidRPr="0007777C">
        <w:rPr>
          <w:color w:val="auto"/>
        </w:rPr>
        <w:t xml:space="preserve"> De tekst van deze subparagraaf </w:t>
      </w:r>
      <w:r w:rsidRPr="00FC58F4">
        <w:t xml:space="preserve">is ontleend aan: Filarski, </w:t>
      </w:r>
      <w:r w:rsidRPr="00FC58F4">
        <w:rPr>
          <w:i/>
          <w:iCs/>
        </w:rPr>
        <w:t>Tegen de stroom</w:t>
      </w:r>
      <w:r w:rsidRPr="00FC58F4">
        <w:t>, 209, 210, 237-239.</w:t>
      </w:r>
    </w:p>
  </w:endnote>
  <w:endnote w:id="17">
    <w:p w14:paraId="63CCE7CB" w14:textId="0F6CC474" w:rsidR="000D2FB8" w:rsidRPr="00FC58F4" w:rsidRDefault="000D2FB8" w:rsidP="00914062">
      <w:pPr>
        <w:pStyle w:val="EndnoteText"/>
        <w:spacing w:line="276" w:lineRule="auto"/>
        <w:jc w:val="left"/>
      </w:pPr>
      <w:r w:rsidRPr="00FC58F4">
        <w:rPr>
          <w:rStyle w:val="EndnoteReference"/>
        </w:rPr>
        <w:endnoteRef/>
      </w:r>
      <w:r w:rsidRPr="00FC58F4">
        <w:t xml:space="preserve"> De tekst van deze subparagraaf is ontleend aan: Filarski, </w:t>
      </w:r>
      <w:r w:rsidRPr="00FC58F4">
        <w:rPr>
          <w:i/>
          <w:iCs/>
        </w:rPr>
        <w:t>Tegen de stroom</w:t>
      </w:r>
      <w:r w:rsidRPr="00FC58F4">
        <w:t xml:space="preserve">, 164, 188, 189, 241; De Ruiter, </w:t>
      </w:r>
      <w:r w:rsidRPr="00FC58F4">
        <w:rPr>
          <w:i/>
          <w:iCs/>
        </w:rPr>
        <w:t>Binnenscheepvaart</w:t>
      </w:r>
      <w:r w:rsidRPr="00FC58F4">
        <w:t xml:space="preserve">, 31. </w:t>
      </w:r>
    </w:p>
  </w:endnote>
  <w:endnote w:id="18">
    <w:p w14:paraId="323875E4" w14:textId="30D2224B" w:rsidR="002B41C8" w:rsidRPr="00FC58F4" w:rsidRDefault="002B41C8" w:rsidP="000D7696">
      <w:pPr>
        <w:pStyle w:val="EndnoteText"/>
        <w:spacing w:line="276" w:lineRule="auto"/>
        <w:jc w:val="left"/>
      </w:pPr>
      <w:r w:rsidRPr="00FC58F4">
        <w:rPr>
          <w:rStyle w:val="EndnoteReference"/>
        </w:rPr>
        <w:endnoteRef/>
      </w:r>
      <w:r w:rsidRPr="00FC58F4">
        <w:t xml:space="preserve"> </w:t>
      </w:r>
      <w:r w:rsidR="000D7696" w:rsidRPr="00FC58F4">
        <w:t xml:space="preserve">De Ruiter, </w:t>
      </w:r>
      <w:r w:rsidR="000D7696" w:rsidRPr="00FC58F4">
        <w:rPr>
          <w:i/>
          <w:iCs/>
        </w:rPr>
        <w:t>Binnenscheepvaart</w:t>
      </w:r>
      <w:r w:rsidR="000D7696" w:rsidRPr="00FC58F4">
        <w:t xml:space="preserve">, 31. </w:t>
      </w:r>
    </w:p>
  </w:endnote>
  <w:endnote w:id="19">
    <w:p w14:paraId="7793CC51" w14:textId="585B8A62" w:rsidR="000D2FB8" w:rsidRPr="00FC58F4" w:rsidRDefault="000D2FB8" w:rsidP="00BB7CBF">
      <w:pPr>
        <w:pStyle w:val="EndnoteText"/>
        <w:jc w:val="left"/>
      </w:pPr>
      <w:r w:rsidRPr="00FC58F4">
        <w:rPr>
          <w:rStyle w:val="EndnoteReference"/>
        </w:rPr>
        <w:endnoteRef/>
      </w:r>
      <w:r w:rsidRPr="00FC58F4">
        <w:t xml:space="preserve"> De stroomopwaarts vervoerde steenkolen hadden andere eigenschappen dan de kolen stroomafwaarts.</w:t>
      </w:r>
    </w:p>
  </w:endnote>
  <w:endnote w:id="20">
    <w:p w14:paraId="479CFC12" w14:textId="6F722A52" w:rsidR="000D2FB8" w:rsidRPr="008D37B3" w:rsidRDefault="000D2FB8" w:rsidP="00BB7CBF">
      <w:pPr>
        <w:pStyle w:val="EndnoteText"/>
        <w:spacing w:line="276" w:lineRule="auto"/>
        <w:jc w:val="left"/>
      </w:pPr>
      <w:r w:rsidRPr="00FC58F4">
        <w:rPr>
          <w:rStyle w:val="EndnoteReference"/>
        </w:rPr>
        <w:endnoteRef/>
      </w:r>
      <w:r w:rsidRPr="00FC58F4">
        <w:t xml:space="preserve"> Filarski, </w:t>
      </w:r>
      <w:r w:rsidRPr="00FC58F4">
        <w:rPr>
          <w:i/>
          <w:iCs/>
        </w:rPr>
        <w:t>Tegen de stroom</w:t>
      </w:r>
      <w:r w:rsidRPr="00FC58F4">
        <w:t xml:space="preserve">, 190-192, 380; </w:t>
      </w:r>
      <w:r w:rsidR="007F7F56">
        <w:t xml:space="preserve">CBS, </w:t>
      </w:r>
      <w:r w:rsidRPr="00FC58F4">
        <w:rPr>
          <w:i/>
          <w:iCs/>
        </w:rPr>
        <w:t>Tweehonderd</w:t>
      </w:r>
      <w:r>
        <w:rPr>
          <w:i/>
          <w:iCs/>
        </w:rPr>
        <w:t xml:space="preserve"> jaar statistiek</w:t>
      </w:r>
      <w:r>
        <w:t>, 63.</w:t>
      </w:r>
    </w:p>
  </w:endnote>
  <w:endnote w:id="21">
    <w:p w14:paraId="0AF695C9" w14:textId="4FF24328" w:rsidR="000D2FB8" w:rsidRDefault="000D2FB8" w:rsidP="00BB7CBF">
      <w:pPr>
        <w:pStyle w:val="EndnoteText"/>
        <w:spacing w:line="276" w:lineRule="auto"/>
        <w:jc w:val="left"/>
      </w:pPr>
      <w:r>
        <w:rPr>
          <w:rStyle w:val="EndnoteReference"/>
        </w:rPr>
        <w:endnoteRef/>
      </w:r>
      <w:r>
        <w:t xml:space="preserve"> Vervoersprestatie = het gewicht van de vervoerde lading vermenigvuldigd met de afstand waarover die lading wordt vervoerd, gemeten in tonkilometer.</w:t>
      </w:r>
    </w:p>
  </w:endnote>
  <w:endnote w:id="22">
    <w:p w14:paraId="7A591A56" w14:textId="16D42D37" w:rsidR="000D2FB8" w:rsidRPr="00CF03A2" w:rsidRDefault="000D2FB8" w:rsidP="00BB7CBF">
      <w:pPr>
        <w:pStyle w:val="EndnoteText"/>
        <w:jc w:val="left"/>
      </w:pPr>
      <w:r>
        <w:rPr>
          <w:rStyle w:val="EndnoteReference"/>
        </w:rPr>
        <w:endnoteRef/>
      </w:r>
      <w:r>
        <w:t xml:space="preserve"> Filarski, </w:t>
      </w:r>
      <w:r>
        <w:rPr>
          <w:i/>
          <w:iCs/>
        </w:rPr>
        <w:t>Tegen de stroom</w:t>
      </w:r>
      <w:r>
        <w:t>, 197-201, 190-193.</w:t>
      </w:r>
    </w:p>
  </w:endnote>
  <w:endnote w:id="23">
    <w:p w14:paraId="12CC5C38" w14:textId="77777777" w:rsidR="000D2FB8" w:rsidRPr="00AA2B74" w:rsidRDefault="000D2FB8" w:rsidP="00BB7CBF">
      <w:pPr>
        <w:pStyle w:val="EndnoteText"/>
        <w:spacing w:line="276" w:lineRule="auto"/>
        <w:jc w:val="left"/>
      </w:pPr>
      <w:r>
        <w:rPr>
          <w:rStyle w:val="EndnoteReference"/>
        </w:rPr>
        <w:endnoteRef/>
      </w:r>
      <w:r>
        <w:t xml:space="preserve"> Filarski, </w:t>
      </w:r>
      <w:r>
        <w:rPr>
          <w:i/>
          <w:iCs/>
        </w:rPr>
        <w:t>Tegen de stroom</w:t>
      </w:r>
      <w:r>
        <w:t>, 191.</w:t>
      </w:r>
    </w:p>
  </w:endnote>
  <w:endnote w:id="24">
    <w:p w14:paraId="67EB71CF" w14:textId="55B96250" w:rsidR="000D2FB8" w:rsidRDefault="000D2FB8" w:rsidP="00BB7CBF">
      <w:pPr>
        <w:pStyle w:val="EndnoteText"/>
        <w:jc w:val="left"/>
      </w:pPr>
      <w:r>
        <w:rPr>
          <w:rStyle w:val="EndnoteReference"/>
        </w:rPr>
        <w:endnoteRef/>
      </w:r>
      <w:r>
        <w:t xml:space="preserve"> Filarski, </w:t>
      </w:r>
      <w:r>
        <w:rPr>
          <w:i/>
          <w:iCs/>
        </w:rPr>
        <w:t>Tegen de stroom</w:t>
      </w:r>
      <w:r>
        <w:t>, 192, 193.</w:t>
      </w:r>
    </w:p>
  </w:endnote>
  <w:endnote w:id="25">
    <w:p w14:paraId="198444F0" w14:textId="77777777" w:rsidR="000D2FB8" w:rsidRPr="00090C8F" w:rsidRDefault="000D2FB8" w:rsidP="00BB7CBF">
      <w:pPr>
        <w:pStyle w:val="EndnoteText"/>
        <w:spacing w:line="276" w:lineRule="auto"/>
        <w:jc w:val="left"/>
      </w:pPr>
      <w:r>
        <w:rPr>
          <w:rStyle w:val="EndnoteReference"/>
        </w:rPr>
        <w:endnoteRef/>
      </w:r>
      <w:r>
        <w:t xml:space="preserve"> Bolt, </w:t>
      </w:r>
      <w:r>
        <w:rPr>
          <w:i/>
          <w:iCs/>
        </w:rPr>
        <w:t xml:space="preserve">Dubbele </w:t>
      </w:r>
      <w:r w:rsidRPr="00941DCD">
        <w:rPr>
          <w:i/>
          <w:iCs/>
        </w:rPr>
        <w:t>dreiging</w:t>
      </w:r>
      <w:r>
        <w:t xml:space="preserve">, passim; </w:t>
      </w:r>
      <w:r w:rsidRPr="0074601C">
        <w:t>Filarski</w:t>
      </w:r>
      <w:r>
        <w:t xml:space="preserve">, </w:t>
      </w:r>
      <w:r>
        <w:rPr>
          <w:i/>
          <w:iCs/>
        </w:rPr>
        <w:t>Tegen de stroom</w:t>
      </w:r>
      <w:r>
        <w:t xml:space="preserve">, 255-267; Van Lange, </w:t>
      </w:r>
      <w:r>
        <w:rPr>
          <w:i/>
          <w:iCs/>
        </w:rPr>
        <w:t>Binnenvaart in oorlogstijd</w:t>
      </w:r>
      <w:r>
        <w:t xml:space="preserve">, passim; Schouwenburg, </w:t>
      </w:r>
      <w:r>
        <w:rPr>
          <w:i/>
          <w:iCs/>
        </w:rPr>
        <w:t>Gevaren</w:t>
      </w:r>
      <w:r>
        <w:t>, passim.</w:t>
      </w:r>
    </w:p>
  </w:endnote>
  <w:endnote w:id="26">
    <w:p w14:paraId="04696D1B" w14:textId="1F788A49" w:rsidR="000D2FB8" w:rsidRPr="00B77192" w:rsidRDefault="000D2FB8" w:rsidP="00BB7CBF">
      <w:pPr>
        <w:pStyle w:val="EndnoteText"/>
        <w:spacing w:line="276" w:lineRule="auto"/>
        <w:jc w:val="left"/>
        <w:rPr>
          <w:b/>
        </w:rPr>
      </w:pPr>
      <w:r w:rsidRPr="00876386">
        <w:rPr>
          <w:rStyle w:val="EndnoteReference"/>
          <w:bCs/>
        </w:rPr>
        <w:endnoteRef/>
      </w:r>
      <w:r w:rsidRPr="00FD144C">
        <w:rPr>
          <w:b/>
        </w:rPr>
        <w:t xml:space="preserve"> </w:t>
      </w:r>
      <w:r w:rsidR="00AD4611" w:rsidRPr="00AD4611">
        <w:rPr>
          <w:bCs/>
          <w:iCs/>
        </w:rPr>
        <w:t>CBS</w:t>
      </w:r>
      <w:r w:rsidR="00AD4611">
        <w:rPr>
          <w:bCs/>
          <w:i/>
        </w:rPr>
        <w:t xml:space="preserve">, </w:t>
      </w:r>
      <w:r w:rsidRPr="00474B74">
        <w:rPr>
          <w:bCs/>
          <w:i/>
        </w:rPr>
        <w:t>Statistiek binnenlands goederenvervoer te water</w:t>
      </w:r>
      <w:r w:rsidR="00AD4611">
        <w:rPr>
          <w:bCs/>
          <w:i/>
        </w:rPr>
        <w:t xml:space="preserve"> (</w:t>
      </w:r>
      <w:r w:rsidRPr="00474B74">
        <w:rPr>
          <w:bCs/>
          <w:i/>
        </w:rPr>
        <w:t>1950</w:t>
      </w:r>
      <w:r w:rsidR="00AD4611">
        <w:rPr>
          <w:bCs/>
        </w:rPr>
        <w:t>)</w:t>
      </w:r>
      <w:r w:rsidRPr="00474B74">
        <w:rPr>
          <w:bCs/>
        </w:rPr>
        <w:t xml:space="preserve"> 5.</w:t>
      </w:r>
    </w:p>
  </w:endnote>
  <w:endnote w:id="27">
    <w:p w14:paraId="76311061" w14:textId="77777777" w:rsidR="000D2FB8" w:rsidRPr="006A5C8E" w:rsidRDefault="000D2FB8" w:rsidP="00BB7CBF">
      <w:pPr>
        <w:pStyle w:val="EndnoteText"/>
        <w:spacing w:line="276" w:lineRule="auto"/>
        <w:jc w:val="left"/>
      </w:pPr>
      <w:r>
        <w:rPr>
          <w:rStyle w:val="EndnoteReference"/>
        </w:rPr>
        <w:endnoteRef/>
      </w:r>
      <w:r>
        <w:t xml:space="preserve"> Filarski, </w:t>
      </w:r>
      <w:r>
        <w:rPr>
          <w:i/>
          <w:iCs/>
        </w:rPr>
        <w:t>Tegen de stroom</w:t>
      </w:r>
      <w:r>
        <w:t>, 270-272, 385.</w:t>
      </w:r>
    </w:p>
  </w:endnote>
  <w:endnote w:id="28">
    <w:p w14:paraId="0EF93EB8" w14:textId="77777777" w:rsidR="000D2FB8" w:rsidRPr="00134C89" w:rsidRDefault="000D2FB8" w:rsidP="007C2BCD">
      <w:pPr>
        <w:pStyle w:val="EndnoteText"/>
        <w:spacing w:line="276" w:lineRule="auto"/>
      </w:pPr>
      <w:r>
        <w:rPr>
          <w:rStyle w:val="EndnoteReference"/>
        </w:rPr>
        <w:endnoteRef/>
      </w:r>
      <w:r>
        <w:t xml:space="preserve"> </w:t>
      </w:r>
      <w:bookmarkStart w:id="23" w:name="_Hlk67134077"/>
      <w:r>
        <w:t xml:space="preserve">Filarski, </w:t>
      </w:r>
      <w:r>
        <w:rPr>
          <w:i/>
          <w:iCs/>
        </w:rPr>
        <w:t>Tegen de stroom</w:t>
      </w:r>
      <w:r>
        <w:t>, 384.</w:t>
      </w:r>
      <w:bookmarkEnd w:id="23"/>
    </w:p>
  </w:endnote>
  <w:endnote w:id="29">
    <w:p w14:paraId="077894A4" w14:textId="640E919E" w:rsidR="000D2FB8" w:rsidRDefault="000D2FB8" w:rsidP="00BB7CBF">
      <w:pPr>
        <w:pStyle w:val="EndnoteText"/>
        <w:jc w:val="left"/>
      </w:pPr>
      <w:r>
        <w:rPr>
          <w:rStyle w:val="EndnoteReference"/>
        </w:rPr>
        <w:endnoteRef/>
      </w:r>
      <w:r>
        <w:t xml:space="preserve"> CBS, </w:t>
      </w:r>
      <w:r>
        <w:rPr>
          <w:i/>
          <w:iCs/>
        </w:rPr>
        <w:t>Tweehonderd jaar statistiek</w:t>
      </w:r>
      <w:r>
        <w:t xml:space="preserve">, 64; Filarski, </w:t>
      </w:r>
      <w:r>
        <w:rPr>
          <w:i/>
          <w:iCs/>
        </w:rPr>
        <w:t>Tegen de stroom</w:t>
      </w:r>
      <w:r>
        <w:t>, 272, 384.</w:t>
      </w:r>
    </w:p>
  </w:endnote>
  <w:endnote w:id="30">
    <w:p w14:paraId="3503A401" w14:textId="7C8935E2" w:rsidR="000D2FB8" w:rsidRPr="0007777C" w:rsidRDefault="000D2FB8" w:rsidP="00BB7CBF">
      <w:pPr>
        <w:pStyle w:val="EndnoteText"/>
        <w:spacing w:line="276" w:lineRule="auto"/>
        <w:jc w:val="left"/>
      </w:pPr>
      <w:r>
        <w:rPr>
          <w:rStyle w:val="EndnoteReference"/>
        </w:rPr>
        <w:endnoteRef/>
      </w:r>
      <w:r>
        <w:t xml:space="preserve"> CBS, </w:t>
      </w:r>
      <w:r>
        <w:rPr>
          <w:i/>
          <w:iCs/>
        </w:rPr>
        <w:t>Statistiek</w:t>
      </w:r>
      <w:r>
        <w:t xml:space="preserve"> </w:t>
      </w:r>
      <w:r w:rsidR="00570271" w:rsidRPr="00570271">
        <w:rPr>
          <w:i/>
          <w:iCs/>
        </w:rPr>
        <w:t>van het</w:t>
      </w:r>
      <w:r w:rsidR="00570271">
        <w:t xml:space="preserve"> </w:t>
      </w:r>
      <w:r w:rsidRPr="0007777C">
        <w:rPr>
          <w:i/>
          <w:iCs/>
        </w:rPr>
        <w:t>internationaal goederenvervoer</w:t>
      </w:r>
      <w:r w:rsidR="00570271">
        <w:t xml:space="preserve"> (</w:t>
      </w:r>
      <w:r w:rsidRPr="0007777C">
        <w:t xml:space="preserve">1970) 58-63; </w:t>
      </w:r>
      <w:bookmarkStart w:id="25" w:name="_Hlk90282914"/>
      <w:r w:rsidRPr="0007777C">
        <w:t xml:space="preserve">CBS, StatLine, </w:t>
      </w:r>
      <w:r w:rsidRPr="0007777C">
        <w:rPr>
          <w:i/>
          <w:iCs/>
        </w:rPr>
        <w:t>Goederenvervoer; vervoerwijzen, vervoerstromen van en naar Nederland</w:t>
      </w:r>
      <w:r w:rsidRPr="0007777C">
        <w:t>;</w:t>
      </w:r>
      <w:bookmarkEnd w:id="25"/>
      <w:r w:rsidRPr="0007777C">
        <w:t xml:space="preserve"> Filarski, </w:t>
      </w:r>
      <w:r w:rsidRPr="0007777C">
        <w:rPr>
          <w:i/>
          <w:iCs/>
        </w:rPr>
        <w:t>Tegen de stroom</w:t>
      </w:r>
      <w:r w:rsidRPr="0007777C">
        <w:t xml:space="preserve">, 272, 384. </w:t>
      </w:r>
    </w:p>
  </w:endnote>
  <w:endnote w:id="31">
    <w:p w14:paraId="56846997" w14:textId="3513F87E" w:rsidR="000D2FB8" w:rsidRPr="0007777C" w:rsidRDefault="000D2FB8" w:rsidP="00022714">
      <w:pPr>
        <w:pStyle w:val="EndnoteText"/>
        <w:spacing w:line="276" w:lineRule="auto"/>
      </w:pPr>
      <w:r w:rsidRPr="0007777C">
        <w:rPr>
          <w:rStyle w:val="EndnoteReference"/>
        </w:rPr>
        <w:endnoteRef/>
      </w:r>
      <w:r w:rsidRPr="0007777C">
        <w:t xml:space="preserve"> CBS, StatLine, </w:t>
      </w:r>
      <w:r w:rsidRPr="0007777C">
        <w:rPr>
          <w:i/>
          <w:iCs/>
        </w:rPr>
        <w:t xml:space="preserve">Binnenvaart; goederenvervoer; vervoerstroom, goederensoort </w:t>
      </w:r>
      <w:r w:rsidRPr="0007777C">
        <w:t>(21</w:t>
      </w:r>
      <w:r w:rsidR="00C27877">
        <w:t xml:space="preserve"> augustus  </w:t>
      </w:r>
      <w:r w:rsidRPr="0007777C">
        <w:t xml:space="preserve">2023); CBS, StatLine, </w:t>
      </w:r>
      <w:r w:rsidRPr="0007777C">
        <w:rPr>
          <w:rFonts w:eastAsia="Calibri" w:cs="Times New Roman"/>
          <w:i/>
          <w:color w:val="auto"/>
        </w:rPr>
        <w:t>Binnenvaart; goederenvervoer, vervoerstroom, soort lading</w:t>
      </w:r>
      <w:r w:rsidRPr="0007777C">
        <w:rPr>
          <w:rFonts w:eastAsia="Calibri" w:cs="Times New Roman"/>
          <w:iCs/>
          <w:color w:val="auto"/>
        </w:rPr>
        <w:t xml:space="preserve"> (21</w:t>
      </w:r>
      <w:r w:rsidR="00C27877">
        <w:rPr>
          <w:rFonts w:eastAsia="Calibri" w:cs="Times New Roman"/>
          <w:iCs/>
          <w:color w:val="auto"/>
        </w:rPr>
        <w:t xml:space="preserve"> augustus </w:t>
      </w:r>
      <w:r w:rsidRPr="0007777C">
        <w:rPr>
          <w:rFonts w:eastAsia="Calibri" w:cs="Times New Roman"/>
          <w:iCs/>
          <w:color w:val="auto"/>
        </w:rPr>
        <w:t>2023)</w:t>
      </w:r>
      <w:r w:rsidRPr="0007777C">
        <w:rPr>
          <w:rFonts w:eastAsia="Calibri" w:cs="Times New Roman"/>
          <w:i/>
          <w:color w:val="auto"/>
        </w:rPr>
        <w:t>.</w:t>
      </w:r>
    </w:p>
  </w:endnote>
  <w:endnote w:id="32">
    <w:p w14:paraId="54E459A1" w14:textId="5A30BF28" w:rsidR="000D2FB8" w:rsidRPr="0007777C" w:rsidRDefault="000D2FB8" w:rsidP="00A77BF9">
      <w:pPr>
        <w:pStyle w:val="EndnoteText"/>
        <w:spacing w:line="276" w:lineRule="auto"/>
        <w:rPr>
          <w:iCs/>
        </w:rPr>
      </w:pPr>
      <w:r w:rsidRPr="0007777C">
        <w:rPr>
          <w:rStyle w:val="EndnoteReference"/>
        </w:rPr>
        <w:endnoteRef/>
      </w:r>
      <w:r w:rsidRPr="0007777C">
        <w:t xml:space="preserve"> </w:t>
      </w:r>
      <w:r w:rsidRPr="0007777C">
        <w:rPr>
          <w:rFonts w:eastAsia="Calibri" w:cs="Times New Roman"/>
          <w:iCs/>
          <w:color w:val="auto"/>
        </w:rPr>
        <w:t xml:space="preserve">CBS, StatLine, </w:t>
      </w:r>
      <w:r w:rsidRPr="0007777C">
        <w:rPr>
          <w:rFonts w:eastAsia="Calibri" w:cs="Times New Roman"/>
          <w:i/>
          <w:color w:val="auto"/>
        </w:rPr>
        <w:t>Binnenvaart; goederenvervoer, vervoerstroom, soort lading</w:t>
      </w:r>
      <w:r w:rsidRPr="0007777C">
        <w:rPr>
          <w:rFonts w:eastAsia="Calibri" w:cs="Times New Roman"/>
          <w:iCs/>
          <w:color w:val="auto"/>
        </w:rPr>
        <w:t xml:space="preserve"> (21</w:t>
      </w:r>
      <w:r w:rsidR="00C27877">
        <w:rPr>
          <w:rFonts w:eastAsia="Calibri" w:cs="Times New Roman"/>
          <w:iCs/>
          <w:color w:val="auto"/>
        </w:rPr>
        <w:t xml:space="preserve"> augustus </w:t>
      </w:r>
      <w:r w:rsidRPr="0007777C">
        <w:rPr>
          <w:rFonts w:eastAsia="Calibri" w:cs="Times New Roman"/>
          <w:iCs/>
          <w:color w:val="auto"/>
        </w:rPr>
        <w:t xml:space="preserve">2023); Filarski, </w:t>
      </w:r>
      <w:r w:rsidRPr="0007777C">
        <w:rPr>
          <w:rFonts w:eastAsia="Calibri" w:cs="Times New Roman"/>
          <w:i/>
          <w:color w:val="auto"/>
        </w:rPr>
        <w:t>Tegen de stroom</w:t>
      </w:r>
      <w:r w:rsidRPr="0007777C">
        <w:rPr>
          <w:rFonts w:eastAsia="Calibri" w:cs="Times New Roman"/>
          <w:iCs/>
          <w:color w:val="auto"/>
        </w:rPr>
        <w:t>, 385.</w:t>
      </w:r>
      <w:r w:rsidRPr="0007777C">
        <w:rPr>
          <w:rFonts w:eastAsia="Calibri" w:cs="Times New Roman"/>
          <w:i/>
          <w:color w:val="auto"/>
        </w:rPr>
        <w:t xml:space="preserve"> </w:t>
      </w:r>
    </w:p>
  </w:endnote>
  <w:endnote w:id="33">
    <w:p w14:paraId="7EA0C5F3" w14:textId="77777777" w:rsidR="000D2FB8" w:rsidRPr="0007777C" w:rsidRDefault="000D2FB8" w:rsidP="00CA27FB">
      <w:pPr>
        <w:pStyle w:val="EndnoteText"/>
        <w:jc w:val="left"/>
        <w:rPr>
          <w:i/>
          <w:iCs/>
        </w:rPr>
      </w:pPr>
      <w:r w:rsidRPr="0007777C">
        <w:rPr>
          <w:rStyle w:val="EndnoteReference"/>
        </w:rPr>
        <w:endnoteRef/>
      </w:r>
      <w:r w:rsidRPr="0007777C">
        <w:t xml:space="preserve"> </w:t>
      </w:r>
      <w:bookmarkStart w:id="26" w:name="_Hlk90283475"/>
      <w:r w:rsidRPr="0007777C">
        <w:t xml:space="preserve">CBS, StatLine, </w:t>
      </w:r>
      <w:r w:rsidRPr="0007777C">
        <w:rPr>
          <w:i/>
          <w:iCs/>
        </w:rPr>
        <w:t>Goederenvervoer; vervoerwijzen, vervoerstromen van en naar Nederland.</w:t>
      </w:r>
      <w:bookmarkEnd w:id="26"/>
    </w:p>
  </w:endnote>
  <w:endnote w:id="34">
    <w:p w14:paraId="4C86C019" w14:textId="56F3C696" w:rsidR="000D2FB8" w:rsidRPr="0007777C" w:rsidRDefault="000D2FB8" w:rsidP="00CA27FB">
      <w:pPr>
        <w:pStyle w:val="EndnoteText"/>
        <w:spacing w:line="276" w:lineRule="auto"/>
        <w:jc w:val="left"/>
      </w:pPr>
      <w:r w:rsidRPr="0007777C">
        <w:rPr>
          <w:rStyle w:val="EndnoteReference"/>
        </w:rPr>
        <w:endnoteRef/>
      </w:r>
      <w:r w:rsidRPr="0007777C">
        <w:t xml:space="preserve"> CBS, </w:t>
      </w:r>
      <w:r w:rsidRPr="0007777C">
        <w:rPr>
          <w:i/>
          <w:iCs/>
        </w:rPr>
        <w:t>Tweehonderd jaar</w:t>
      </w:r>
      <w:r w:rsidRPr="0007777C">
        <w:t xml:space="preserve">, 63, 64; Filarski, </w:t>
      </w:r>
      <w:r w:rsidRPr="0007777C">
        <w:rPr>
          <w:i/>
          <w:iCs/>
        </w:rPr>
        <w:t>Tegen de stroom</w:t>
      </w:r>
      <w:r w:rsidRPr="0007777C">
        <w:t>, 272-286, 384.</w:t>
      </w:r>
    </w:p>
  </w:endnote>
  <w:endnote w:id="35">
    <w:p w14:paraId="7B4032C0" w14:textId="5D2454BF" w:rsidR="000D2FB8" w:rsidRPr="0007777C" w:rsidRDefault="000D2FB8" w:rsidP="00CA27FB">
      <w:pPr>
        <w:pStyle w:val="EndnoteText"/>
        <w:spacing w:line="276" w:lineRule="auto"/>
        <w:jc w:val="left"/>
        <w:rPr>
          <w:bCs/>
        </w:rPr>
      </w:pPr>
      <w:r w:rsidRPr="0007777C">
        <w:rPr>
          <w:rStyle w:val="EndnoteReference"/>
          <w:bCs/>
        </w:rPr>
        <w:endnoteRef/>
      </w:r>
      <w:r w:rsidRPr="0007777C">
        <w:rPr>
          <w:bCs/>
        </w:rPr>
        <w:t xml:space="preserve"> CBS, StatLine, </w:t>
      </w:r>
      <w:r w:rsidRPr="0007777C">
        <w:rPr>
          <w:bCs/>
          <w:i/>
          <w:iCs/>
        </w:rPr>
        <w:t>Binnenvaart, goederenvervoer, binnenlandse en internationale binnenvaart</w:t>
      </w:r>
      <w:r w:rsidRPr="0007777C">
        <w:rPr>
          <w:bCs/>
        </w:rPr>
        <w:t>, 1996-2011</w:t>
      </w:r>
      <w:r w:rsidR="009A332B">
        <w:rPr>
          <w:bCs/>
        </w:rPr>
        <w:t xml:space="preserve"> (</w:t>
      </w:r>
      <w:r w:rsidRPr="0007777C">
        <w:rPr>
          <w:bCs/>
        </w:rPr>
        <w:t>geraadpleegd medio 2021</w:t>
      </w:r>
      <w:r w:rsidR="009A332B">
        <w:rPr>
          <w:bCs/>
        </w:rPr>
        <w:t>)</w:t>
      </w:r>
      <w:r w:rsidRPr="0007777C">
        <w:rPr>
          <w:bCs/>
        </w:rPr>
        <w:t xml:space="preserve">; CBS, StatLine, </w:t>
      </w:r>
      <w:r w:rsidRPr="0007777C">
        <w:rPr>
          <w:bCs/>
          <w:i/>
        </w:rPr>
        <w:t>Binnenvaart; goederenvervoer, vervoerstroom, goederensoort</w:t>
      </w:r>
      <w:r w:rsidR="009A332B">
        <w:rPr>
          <w:bCs/>
          <w:iCs/>
        </w:rPr>
        <w:t xml:space="preserve"> (</w:t>
      </w:r>
      <w:r w:rsidRPr="0007777C">
        <w:rPr>
          <w:bCs/>
          <w:iCs/>
        </w:rPr>
        <w:t>23</w:t>
      </w:r>
      <w:r w:rsidR="00BD212B">
        <w:rPr>
          <w:bCs/>
          <w:iCs/>
        </w:rPr>
        <w:t xml:space="preserve"> augustus </w:t>
      </w:r>
      <w:r w:rsidRPr="0007777C">
        <w:rPr>
          <w:bCs/>
          <w:iCs/>
        </w:rPr>
        <w:t>2023</w:t>
      </w:r>
      <w:r w:rsidR="009A332B">
        <w:rPr>
          <w:bCs/>
          <w:iCs/>
        </w:rPr>
        <w:t>)</w:t>
      </w:r>
      <w:r w:rsidRPr="0007777C">
        <w:rPr>
          <w:bCs/>
          <w:iCs/>
        </w:rPr>
        <w:t xml:space="preserve">; Filarski, </w:t>
      </w:r>
      <w:r w:rsidRPr="0007777C">
        <w:rPr>
          <w:bCs/>
          <w:i/>
        </w:rPr>
        <w:t>Tegen de stroom</w:t>
      </w:r>
      <w:r w:rsidRPr="0007777C">
        <w:rPr>
          <w:bCs/>
          <w:iCs/>
        </w:rPr>
        <w:t xml:space="preserve">, 273.  </w:t>
      </w:r>
    </w:p>
  </w:endnote>
  <w:endnote w:id="36">
    <w:p w14:paraId="2100A4DC" w14:textId="77777777" w:rsidR="000D2FB8" w:rsidRPr="0007777C" w:rsidRDefault="000D2FB8" w:rsidP="00CA27FB">
      <w:pPr>
        <w:pStyle w:val="EndnoteText"/>
        <w:spacing w:line="276" w:lineRule="auto"/>
        <w:jc w:val="left"/>
      </w:pPr>
      <w:r w:rsidRPr="0007777C">
        <w:rPr>
          <w:rStyle w:val="EndnoteReference"/>
        </w:rPr>
        <w:endnoteRef/>
      </w:r>
      <w:r w:rsidRPr="0007777C">
        <w:t xml:space="preserve"> Filarski, </w:t>
      </w:r>
      <w:r w:rsidRPr="0007777C">
        <w:rPr>
          <w:i/>
          <w:iCs/>
        </w:rPr>
        <w:t>Tegen de stroom</w:t>
      </w:r>
      <w:r w:rsidRPr="0007777C">
        <w:t xml:space="preserve">, 384. </w:t>
      </w:r>
      <w:r w:rsidRPr="0007777C">
        <w:rPr>
          <w:rFonts w:eastAsia="Times New Roman" w:cs="Times New Roman"/>
          <w:color w:val="auto"/>
          <w:lang w:eastAsia="nl-NL"/>
        </w:rPr>
        <w:t>In de statistieken van 1950 is niet gespecificeerd welke soort goederen door de beurtvaart werden vervoerd.</w:t>
      </w:r>
    </w:p>
  </w:endnote>
  <w:endnote w:id="37">
    <w:p w14:paraId="5579F962" w14:textId="55D3F8A7" w:rsidR="000D2FB8" w:rsidRPr="009E26AE" w:rsidRDefault="000D2FB8" w:rsidP="00CA27FB">
      <w:pPr>
        <w:pStyle w:val="EndnoteText"/>
        <w:spacing w:line="276" w:lineRule="auto"/>
        <w:jc w:val="left"/>
        <w:rPr>
          <w:iCs/>
        </w:rPr>
      </w:pPr>
      <w:r w:rsidRPr="0007777C">
        <w:rPr>
          <w:rStyle w:val="EndnoteReference"/>
        </w:rPr>
        <w:endnoteRef/>
      </w:r>
      <w:r w:rsidRPr="0007777C">
        <w:t xml:space="preserve"> CBS, </w:t>
      </w:r>
      <w:r w:rsidRPr="0007777C">
        <w:rPr>
          <w:i/>
          <w:iCs/>
        </w:rPr>
        <w:t>Tweehonderd jaar</w:t>
      </w:r>
      <w:r w:rsidRPr="0007777C">
        <w:t xml:space="preserve">, 64; </w:t>
      </w:r>
      <w:r w:rsidRPr="0007777C">
        <w:rPr>
          <w:rFonts w:eastAsia="Times New Roman" w:cs="Times New Roman"/>
          <w:iCs/>
          <w:color w:val="auto"/>
          <w:lang w:eastAsia="nl-NL"/>
        </w:rPr>
        <w:t xml:space="preserve">CBS, </w:t>
      </w:r>
      <w:r w:rsidRPr="0007777C">
        <w:rPr>
          <w:rFonts w:eastAsia="Calibri" w:cs="Times New Roman"/>
          <w:iCs/>
          <w:color w:val="auto"/>
        </w:rPr>
        <w:t xml:space="preserve">StatLine, </w:t>
      </w:r>
      <w:r w:rsidRPr="0007777C">
        <w:rPr>
          <w:rFonts w:eastAsia="Calibri" w:cs="Times New Roman"/>
          <w:i/>
          <w:color w:val="auto"/>
        </w:rPr>
        <w:t>Binnenvaart; goederenvervoer, vervoerstroom, soort lading</w:t>
      </w:r>
      <w:r w:rsidR="009E26AE">
        <w:rPr>
          <w:rFonts w:eastAsia="Calibri" w:cs="Times New Roman"/>
          <w:i/>
          <w:color w:val="auto"/>
        </w:rPr>
        <w:t xml:space="preserve"> </w:t>
      </w:r>
      <w:r w:rsidR="009E26AE" w:rsidRPr="0007777C">
        <w:rPr>
          <w:bCs/>
          <w:iCs/>
        </w:rPr>
        <w:t>(24</w:t>
      </w:r>
      <w:r w:rsidR="009E26AE">
        <w:rPr>
          <w:bCs/>
          <w:iCs/>
        </w:rPr>
        <w:t xml:space="preserve"> augustus </w:t>
      </w:r>
      <w:r w:rsidR="009E26AE" w:rsidRPr="0007777C">
        <w:rPr>
          <w:bCs/>
          <w:iCs/>
        </w:rPr>
        <w:t>2023).</w:t>
      </w:r>
    </w:p>
  </w:endnote>
  <w:endnote w:id="38">
    <w:p w14:paraId="1B0BD793" w14:textId="756B2BF0" w:rsidR="000D2FB8" w:rsidRPr="0007777C" w:rsidRDefault="000D2FB8" w:rsidP="00CA27FB">
      <w:pPr>
        <w:pStyle w:val="EndnoteText"/>
        <w:spacing w:line="276" w:lineRule="auto"/>
        <w:jc w:val="left"/>
        <w:rPr>
          <w:iCs/>
        </w:rPr>
      </w:pPr>
      <w:r w:rsidRPr="0007777C">
        <w:rPr>
          <w:rStyle w:val="EndnoteReference"/>
        </w:rPr>
        <w:endnoteRef/>
      </w:r>
      <w:r w:rsidRPr="0007777C">
        <w:t xml:space="preserve"> </w:t>
      </w:r>
      <w:r w:rsidRPr="0007777C">
        <w:rPr>
          <w:bCs/>
        </w:rPr>
        <w:t xml:space="preserve">CBS, StatLine, </w:t>
      </w:r>
      <w:r w:rsidRPr="0007777C">
        <w:rPr>
          <w:bCs/>
          <w:i/>
        </w:rPr>
        <w:t>Binnenvaart; goederenvervoer, vervoerstroom, goederensoort</w:t>
      </w:r>
      <w:r w:rsidRPr="0007777C">
        <w:rPr>
          <w:bCs/>
          <w:iCs/>
        </w:rPr>
        <w:t xml:space="preserve"> </w:t>
      </w:r>
      <w:bookmarkStart w:id="27" w:name="_Hlk170727985"/>
      <w:r w:rsidRPr="0007777C">
        <w:rPr>
          <w:bCs/>
          <w:iCs/>
        </w:rPr>
        <w:t>(24</w:t>
      </w:r>
      <w:r w:rsidR="009E26AE">
        <w:rPr>
          <w:bCs/>
          <w:iCs/>
        </w:rPr>
        <w:t xml:space="preserve"> augustus </w:t>
      </w:r>
      <w:r w:rsidRPr="0007777C">
        <w:rPr>
          <w:bCs/>
          <w:iCs/>
        </w:rPr>
        <w:t>2023).</w:t>
      </w:r>
    </w:p>
    <w:bookmarkEnd w:id="27"/>
  </w:endnote>
  <w:endnote w:id="39">
    <w:p w14:paraId="1FB54974" w14:textId="77777777" w:rsidR="000D2FB8" w:rsidRPr="0007777C" w:rsidRDefault="000D2FB8" w:rsidP="00CA27FB">
      <w:pPr>
        <w:pStyle w:val="EndnoteText"/>
        <w:jc w:val="left"/>
      </w:pPr>
      <w:r w:rsidRPr="0007777C">
        <w:rPr>
          <w:rStyle w:val="EndnoteReference"/>
        </w:rPr>
        <w:endnoteRef/>
      </w:r>
      <w:r w:rsidRPr="0007777C">
        <w:t xml:space="preserve"> Filarski, </w:t>
      </w:r>
      <w:r w:rsidRPr="0007777C">
        <w:rPr>
          <w:i/>
          <w:iCs/>
        </w:rPr>
        <w:t>Tegen de stroom</w:t>
      </w:r>
      <w:r w:rsidRPr="0007777C">
        <w:t xml:space="preserve">, 334-343; De Ruiter, </w:t>
      </w:r>
      <w:r w:rsidRPr="0007777C">
        <w:rPr>
          <w:i/>
          <w:iCs/>
        </w:rPr>
        <w:t>Binnenscheepvaart</w:t>
      </w:r>
      <w:r w:rsidRPr="0007777C">
        <w:t xml:space="preserve">, passim; Verrips, </w:t>
      </w:r>
      <w:r w:rsidRPr="0007777C">
        <w:rPr>
          <w:i/>
          <w:iCs/>
        </w:rPr>
        <w:t>Tij verloopt</w:t>
      </w:r>
      <w:r w:rsidRPr="0007777C">
        <w:t>, 153-230.</w:t>
      </w:r>
    </w:p>
  </w:endnote>
  <w:endnote w:id="40">
    <w:p w14:paraId="495545DF" w14:textId="74CDFDCE" w:rsidR="000D2FB8" w:rsidRPr="0007777C" w:rsidRDefault="000D2FB8" w:rsidP="00CA27FB">
      <w:pPr>
        <w:pStyle w:val="EndnoteText"/>
        <w:jc w:val="left"/>
      </w:pPr>
      <w:r w:rsidRPr="0007777C">
        <w:rPr>
          <w:rStyle w:val="EndnoteReference"/>
        </w:rPr>
        <w:endnoteRef/>
      </w:r>
      <w:r w:rsidRPr="0007777C">
        <w:t xml:space="preserve"> Filarski, </w:t>
      </w:r>
      <w:r w:rsidRPr="0007777C">
        <w:rPr>
          <w:i/>
          <w:iCs/>
        </w:rPr>
        <w:t>Tegen de stroom</w:t>
      </w:r>
      <w:r w:rsidRPr="0007777C">
        <w:t xml:space="preserve">, 334, 335; De Ruiter, </w:t>
      </w:r>
      <w:r w:rsidRPr="0007777C">
        <w:rPr>
          <w:i/>
          <w:iCs/>
        </w:rPr>
        <w:t>Binnenscheepvaart</w:t>
      </w:r>
      <w:r w:rsidRPr="0007777C">
        <w:t xml:space="preserve">, 103-125; Verheij, </w:t>
      </w:r>
      <w:r w:rsidRPr="0007777C">
        <w:rPr>
          <w:i/>
          <w:iCs/>
        </w:rPr>
        <w:t>Wetten</w:t>
      </w:r>
      <w:r w:rsidRPr="0007777C">
        <w:t>, 200-222.</w:t>
      </w:r>
    </w:p>
  </w:endnote>
  <w:endnote w:id="41">
    <w:p w14:paraId="09C257A1" w14:textId="0775A1E0" w:rsidR="000D2FB8" w:rsidRPr="0007777C" w:rsidRDefault="000D2FB8" w:rsidP="00CA27FB">
      <w:pPr>
        <w:pStyle w:val="EndnoteText"/>
        <w:jc w:val="left"/>
      </w:pPr>
      <w:r w:rsidRPr="0007777C">
        <w:rPr>
          <w:rStyle w:val="EndnoteReference"/>
        </w:rPr>
        <w:endnoteRef/>
      </w:r>
      <w:r w:rsidRPr="0007777C">
        <w:t xml:space="preserve"> Filarski, </w:t>
      </w:r>
      <w:r w:rsidRPr="0007777C">
        <w:rPr>
          <w:i/>
          <w:iCs/>
        </w:rPr>
        <w:t>Tegen de stroom</w:t>
      </w:r>
      <w:r w:rsidRPr="0007777C">
        <w:t xml:space="preserve">, 335-337; De Ruiter, </w:t>
      </w:r>
      <w:r w:rsidRPr="0007777C">
        <w:rPr>
          <w:i/>
          <w:iCs/>
        </w:rPr>
        <w:t>Binnenscheepvaart</w:t>
      </w:r>
      <w:r w:rsidRPr="0007777C">
        <w:t>, 105-123.</w:t>
      </w:r>
    </w:p>
  </w:endnote>
  <w:endnote w:id="42">
    <w:p w14:paraId="6124295E" w14:textId="69DF7C17" w:rsidR="000D2FB8" w:rsidRPr="0007777C" w:rsidRDefault="000D2FB8" w:rsidP="00CA27FB">
      <w:pPr>
        <w:jc w:val="left"/>
        <w:rPr>
          <w:sz w:val="20"/>
          <w:szCs w:val="20"/>
        </w:rPr>
      </w:pPr>
      <w:r w:rsidRPr="0007777C">
        <w:rPr>
          <w:rStyle w:val="EndnoteReference"/>
          <w:sz w:val="20"/>
          <w:szCs w:val="20"/>
        </w:rPr>
        <w:endnoteRef/>
      </w:r>
      <w:r w:rsidRPr="0007777C">
        <w:rPr>
          <w:sz w:val="20"/>
          <w:szCs w:val="20"/>
        </w:rPr>
        <w:t xml:space="preserve"> Filarski, </w:t>
      </w:r>
      <w:r w:rsidRPr="0007777C">
        <w:rPr>
          <w:i/>
          <w:iCs/>
          <w:sz w:val="20"/>
          <w:szCs w:val="20"/>
        </w:rPr>
        <w:t>Tegen de stroom</w:t>
      </w:r>
      <w:r w:rsidRPr="0007777C">
        <w:rPr>
          <w:sz w:val="20"/>
          <w:szCs w:val="20"/>
        </w:rPr>
        <w:t>, 274, 335-337;</w:t>
      </w:r>
      <w:r w:rsidRPr="0007777C">
        <w:rPr>
          <w:i/>
          <w:iCs/>
          <w:sz w:val="20"/>
          <w:szCs w:val="20"/>
        </w:rPr>
        <w:t xml:space="preserve"> </w:t>
      </w:r>
      <w:r w:rsidRPr="0007777C">
        <w:rPr>
          <w:sz w:val="20"/>
          <w:szCs w:val="20"/>
        </w:rPr>
        <w:t xml:space="preserve">De Ruiter, </w:t>
      </w:r>
      <w:r w:rsidRPr="0007777C">
        <w:rPr>
          <w:i/>
          <w:iCs/>
          <w:sz w:val="20"/>
          <w:szCs w:val="20"/>
        </w:rPr>
        <w:t>Binnenscheepvaart</w:t>
      </w:r>
      <w:r w:rsidRPr="0007777C">
        <w:rPr>
          <w:sz w:val="20"/>
          <w:szCs w:val="20"/>
        </w:rPr>
        <w:t>, 33, 106, 107..</w:t>
      </w:r>
    </w:p>
  </w:endnote>
  <w:endnote w:id="43">
    <w:p w14:paraId="433058CF" w14:textId="77777777" w:rsidR="000D2FB8" w:rsidRPr="0007777C" w:rsidRDefault="000D2FB8" w:rsidP="00CA27FB">
      <w:pPr>
        <w:pStyle w:val="EndnoteText"/>
        <w:jc w:val="left"/>
      </w:pPr>
      <w:r w:rsidRPr="0007777C">
        <w:rPr>
          <w:rStyle w:val="EndnoteReference"/>
        </w:rPr>
        <w:endnoteRef/>
      </w:r>
      <w:r w:rsidRPr="0007777C">
        <w:t xml:space="preserve"> Filarski, </w:t>
      </w:r>
      <w:r w:rsidRPr="0007777C">
        <w:rPr>
          <w:i/>
          <w:iCs/>
        </w:rPr>
        <w:t>Tegen de stroom</w:t>
      </w:r>
      <w:r w:rsidRPr="0007777C">
        <w:t xml:space="preserve">, 337-343; De Ruiter, </w:t>
      </w:r>
      <w:r w:rsidRPr="0007777C">
        <w:rPr>
          <w:i/>
          <w:iCs/>
        </w:rPr>
        <w:t>Binnenscheepvaart</w:t>
      </w:r>
      <w:r w:rsidRPr="0007777C">
        <w:t>, 127-147.</w:t>
      </w:r>
    </w:p>
  </w:endnote>
  <w:endnote w:id="44">
    <w:p w14:paraId="6726D743" w14:textId="77777777" w:rsidR="000D2FB8" w:rsidRPr="0007777C" w:rsidRDefault="000D2FB8" w:rsidP="00CA27FB">
      <w:pPr>
        <w:pStyle w:val="EndnoteText"/>
        <w:jc w:val="left"/>
      </w:pPr>
      <w:r w:rsidRPr="0007777C">
        <w:rPr>
          <w:rStyle w:val="EndnoteReference"/>
        </w:rPr>
        <w:endnoteRef/>
      </w:r>
      <w:r w:rsidRPr="0007777C">
        <w:t xml:space="preserve"> De tekst in dit gedeelte is ontleend aan: </w:t>
      </w:r>
      <w:r w:rsidRPr="0007777C">
        <w:rPr>
          <w:bCs/>
        </w:rPr>
        <w:t xml:space="preserve">Filarski, </w:t>
      </w:r>
      <w:r w:rsidRPr="0007777C">
        <w:rPr>
          <w:bCs/>
          <w:i/>
          <w:iCs/>
        </w:rPr>
        <w:t xml:space="preserve">Tegen de </w:t>
      </w:r>
      <w:r w:rsidRPr="00941DCD">
        <w:rPr>
          <w:bCs/>
          <w:i/>
          <w:iCs/>
        </w:rPr>
        <w:t>stroom</w:t>
      </w:r>
      <w:r w:rsidRPr="0007777C">
        <w:rPr>
          <w:bCs/>
        </w:rPr>
        <w:t xml:space="preserve">, 276, 286, 340, 341; Verheij, </w:t>
      </w:r>
      <w:r w:rsidRPr="0007777C">
        <w:rPr>
          <w:bCs/>
          <w:i/>
          <w:iCs/>
        </w:rPr>
        <w:t>Wetten</w:t>
      </w:r>
      <w:r w:rsidRPr="0007777C">
        <w:rPr>
          <w:bCs/>
        </w:rPr>
        <w:t>,</w:t>
      </w:r>
      <w:r w:rsidRPr="0007777C">
        <w:rPr>
          <w:bCs/>
          <w:i/>
          <w:iCs/>
        </w:rPr>
        <w:t xml:space="preserve"> </w:t>
      </w:r>
      <w:r w:rsidRPr="0007777C">
        <w:rPr>
          <w:bCs/>
        </w:rPr>
        <w:t>268-272, 315, 383-387, 424-427.</w:t>
      </w:r>
    </w:p>
  </w:endnote>
  <w:endnote w:id="45">
    <w:p w14:paraId="1E047A09" w14:textId="77777777" w:rsidR="000D2FB8" w:rsidRPr="0007777C" w:rsidRDefault="000D2FB8" w:rsidP="00CA27FB">
      <w:pPr>
        <w:pStyle w:val="EndnoteText"/>
        <w:jc w:val="left"/>
      </w:pPr>
      <w:r w:rsidRPr="0007777C">
        <w:rPr>
          <w:rStyle w:val="EndnoteReference"/>
        </w:rPr>
        <w:endnoteRef/>
      </w:r>
      <w:r w:rsidRPr="0007777C">
        <w:t xml:space="preserve"> Filarski, </w:t>
      </w:r>
      <w:r w:rsidRPr="0007777C">
        <w:rPr>
          <w:i/>
          <w:iCs/>
        </w:rPr>
        <w:t>Tegen de stroom</w:t>
      </w:r>
      <w:r w:rsidRPr="0007777C">
        <w:t>, 210, 391.</w:t>
      </w:r>
    </w:p>
  </w:endnote>
  <w:endnote w:id="46">
    <w:p w14:paraId="2CCA6258" w14:textId="5FE1B1C0" w:rsidR="000D2FB8" w:rsidRPr="0007777C" w:rsidRDefault="000D2FB8" w:rsidP="00BB7CBF">
      <w:pPr>
        <w:pStyle w:val="EndnoteText"/>
        <w:jc w:val="left"/>
      </w:pPr>
      <w:r w:rsidRPr="0007777C">
        <w:rPr>
          <w:rStyle w:val="EndnoteReference"/>
        </w:rPr>
        <w:endnoteRef/>
      </w:r>
      <w:r w:rsidRPr="0007777C">
        <w:t xml:space="preserve"> Filarski, </w:t>
      </w:r>
      <w:r w:rsidRPr="0007777C">
        <w:rPr>
          <w:i/>
          <w:iCs/>
        </w:rPr>
        <w:t>Tegen de stroom</w:t>
      </w:r>
      <w:r w:rsidRPr="0007777C">
        <w:t>, 210, 392.</w:t>
      </w:r>
    </w:p>
  </w:endnote>
  <w:endnote w:id="47">
    <w:p w14:paraId="6B2B90D9" w14:textId="77777777" w:rsidR="000D2FB8" w:rsidRPr="0007777C" w:rsidRDefault="000D2FB8" w:rsidP="00BB7CBF">
      <w:pPr>
        <w:pStyle w:val="EndnoteText"/>
        <w:jc w:val="left"/>
      </w:pPr>
      <w:r w:rsidRPr="0007777C">
        <w:rPr>
          <w:rStyle w:val="EndnoteReference"/>
        </w:rPr>
        <w:endnoteRef/>
      </w:r>
      <w:r w:rsidRPr="0007777C">
        <w:t xml:space="preserve"> Filarski, </w:t>
      </w:r>
      <w:r w:rsidRPr="0007777C">
        <w:rPr>
          <w:i/>
          <w:iCs/>
        </w:rPr>
        <w:t>Tegen de stroom</w:t>
      </w:r>
      <w:r w:rsidRPr="0007777C">
        <w:t>, 210-212.</w:t>
      </w:r>
    </w:p>
  </w:endnote>
  <w:endnote w:id="48">
    <w:p w14:paraId="73FBA40D" w14:textId="5DECDE63" w:rsidR="000D2FB8" w:rsidRPr="0007777C" w:rsidRDefault="000D2FB8" w:rsidP="00A40724">
      <w:pPr>
        <w:pStyle w:val="EndnoteText"/>
        <w:jc w:val="left"/>
      </w:pPr>
      <w:r w:rsidRPr="0007777C">
        <w:rPr>
          <w:rStyle w:val="EndnoteReference"/>
        </w:rPr>
        <w:endnoteRef/>
      </w:r>
      <w:r w:rsidRPr="0007777C">
        <w:t xml:space="preserve"> De tekst in deze subparagraaf is ontleend aan: </w:t>
      </w:r>
      <w:r w:rsidRPr="0007777C">
        <w:rPr>
          <w:bCs/>
        </w:rPr>
        <w:t xml:space="preserve">Filarski, </w:t>
      </w:r>
      <w:r w:rsidRPr="0007777C">
        <w:rPr>
          <w:bCs/>
          <w:i/>
          <w:iCs/>
        </w:rPr>
        <w:t xml:space="preserve">Tegen de </w:t>
      </w:r>
      <w:r w:rsidRPr="00941DCD">
        <w:rPr>
          <w:bCs/>
          <w:i/>
          <w:iCs/>
        </w:rPr>
        <w:t>stroom</w:t>
      </w:r>
      <w:r w:rsidRPr="0007777C">
        <w:rPr>
          <w:bCs/>
        </w:rPr>
        <w:t xml:space="preserve">, 276, 286, 340, 341; Verheij, </w:t>
      </w:r>
      <w:r w:rsidRPr="0007777C">
        <w:rPr>
          <w:bCs/>
          <w:i/>
          <w:iCs/>
        </w:rPr>
        <w:t>Wetten</w:t>
      </w:r>
      <w:r w:rsidRPr="0007777C">
        <w:rPr>
          <w:bCs/>
        </w:rPr>
        <w:t>,</w:t>
      </w:r>
      <w:r w:rsidRPr="0007777C">
        <w:rPr>
          <w:bCs/>
          <w:i/>
          <w:iCs/>
        </w:rPr>
        <w:t xml:space="preserve"> </w:t>
      </w:r>
      <w:r w:rsidRPr="0007777C">
        <w:rPr>
          <w:bCs/>
        </w:rPr>
        <w:t>268-272, 315, 383-387, 424-427.</w:t>
      </w:r>
      <w:r w:rsidR="0045099D" w:rsidRPr="0007777C">
        <w:rPr>
          <w:bCs/>
        </w:rPr>
        <w:t xml:space="preserve"> </w:t>
      </w:r>
    </w:p>
  </w:endnote>
  <w:endnote w:id="49">
    <w:p w14:paraId="79E25723" w14:textId="769CF3B0" w:rsidR="000D2FB8" w:rsidRPr="0007777C" w:rsidRDefault="000D2FB8" w:rsidP="004A788F">
      <w:pPr>
        <w:rPr>
          <w:sz w:val="20"/>
          <w:szCs w:val="20"/>
        </w:rPr>
      </w:pPr>
      <w:r w:rsidRPr="0007777C">
        <w:rPr>
          <w:rStyle w:val="EndnoteReference"/>
          <w:sz w:val="20"/>
          <w:szCs w:val="20"/>
        </w:rPr>
        <w:endnoteRef/>
      </w:r>
      <w:r w:rsidRPr="0007777C">
        <w:rPr>
          <w:sz w:val="20"/>
          <w:szCs w:val="20"/>
        </w:rPr>
        <w:t xml:space="preserve"> Filarski, </w:t>
      </w:r>
      <w:r w:rsidRPr="0007777C">
        <w:rPr>
          <w:i/>
          <w:iCs/>
          <w:sz w:val="20"/>
          <w:szCs w:val="20"/>
        </w:rPr>
        <w:t>Tegen de stroom</w:t>
      </w:r>
      <w:r w:rsidRPr="0007777C">
        <w:rPr>
          <w:sz w:val="20"/>
          <w:szCs w:val="20"/>
        </w:rPr>
        <w:t xml:space="preserve">, 306; CBS, StatLine, </w:t>
      </w:r>
      <w:r w:rsidRPr="0007777C">
        <w:rPr>
          <w:i/>
          <w:iCs/>
          <w:sz w:val="20"/>
          <w:szCs w:val="20"/>
        </w:rPr>
        <w:t>Bedrijven, bedrijfstak</w:t>
      </w:r>
      <w:r w:rsidRPr="0007777C">
        <w:rPr>
          <w:sz w:val="20"/>
          <w:szCs w:val="20"/>
        </w:rPr>
        <w:t xml:space="preserve">; CBS, StatLine, </w:t>
      </w:r>
      <w:r w:rsidRPr="0007777C">
        <w:rPr>
          <w:i/>
          <w:iCs/>
          <w:sz w:val="20"/>
          <w:szCs w:val="20"/>
        </w:rPr>
        <w:t>Bedrijfsleven, arbeids- en financiële gegevens per branche</w:t>
      </w:r>
      <w:r w:rsidRPr="0007777C">
        <w:rPr>
          <w:sz w:val="20"/>
          <w:szCs w:val="20"/>
        </w:rPr>
        <w:t>,</w:t>
      </w:r>
      <w:r w:rsidR="004A788F" w:rsidRPr="0007777C">
        <w:rPr>
          <w:sz w:val="20"/>
          <w:szCs w:val="20"/>
        </w:rPr>
        <w:t xml:space="preserve"> </w:t>
      </w:r>
      <w:hyperlink r:id="rId4" w:history="1">
        <w:r w:rsidRPr="0007777C">
          <w:rPr>
            <w:rStyle w:val="Hyperlink"/>
            <w:sz w:val="20"/>
            <w:szCs w:val="20"/>
          </w:rPr>
          <w:t>https://opendata.cbs.nl</w:t>
        </w:r>
      </w:hyperlink>
      <w:r w:rsidRPr="0007777C">
        <w:rPr>
          <w:sz w:val="20"/>
          <w:szCs w:val="20"/>
        </w:rPr>
        <w:t xml:space="preserve"> </w:t>
      </w:r>
      <w:r w:rsidR="004A788F" w:rsidRPr="0007777C">
        <w:rPr>
          <w:sz w:val="20"/>
          <w:szCs w:val="20"/>
        </w:rPr>
        <w:t>(</w:t>
      </w:r>
      <w:r w:rsidRPr="0007777C">
        <w:rPr>
          <w:sz w:val="20"/>
          <w:szCs w:val="20"/>
        </w:rPr>
        <w:t>geraadpleegd 28</w:t>
      </w:r>
      <w:r w:rsidR="0063686E">
        <w:rPr>
          <w:sz w:val="20"/>
          <w:szCs w:val="20"/>
        </w:rPr>
        <w:t xml:space="preserve"> juni </w:t>
      </w:r>
      <w:r w:rsidRPr="0007777C">
        <w:rPr>
          <w:sz w:val="20"/>
          <w:szCs w:val="20"/>
        </w:rPr>
        <w:t>2021</w:t>
      </w:r>
      <w:r w:rsidR="004A788F" w:rsidRPr="0007777C">
        <w:rPr>
          <w:sz w:val="20"/>
          <w:szCs w:val="20"/>
        </w:rPr>
        <w:t>).</w:t>
      </w:r>
    </w:p>
  </w:endnote>
  <w:endnote w:id="50">
    <w:p w14:paraId="2502B2F5" w14:textId="02A5EEC0" w:rsidR="000D2FB8" w:rsidRPr="0007777C" w:rsidRDefault="000D2FB8" w:rsidP="00AA2F4A">
      <w:pPr>
        <w:pStyle w:val="EndnoteText"/>
        <w:jc w:val="left"/>
      </w:pPr>
      <w:r w:rsidRPr="0007777C">
        <w:rPr>
          <w:rStyle w:val="EndnoteReference"/>
        </w:rPr>
        <w:endnoteRef/>
      </w:r>
      <w:r w:rsidRPr="0007777C">
        <w:t xml:space="preserve"> De tekst van deze subparagraaf is ontleend aan</w:t>
      </w:r>
      <w:r w:rsidR="0072289C">
        <w:t xml:space="preserve"> de dissertatie van</w:t>
      </w:r>
      <w:r w:rsidRPr="0007777C">
        <w:t xml:space="preserve"> Beulakker, </w:t>
      </w:r>
      <w:r w:rsidRPr="0007777C">
        <w:rPr>
          <w:i/>
          <w:iCs/>
        </w:rPr>
        <w:t>Onderscheid</w:t>
      </w:r>
      <w:r w:rsidRPr="0007777C">
        <w:t xml:space="preserve">, 115, passim; Filarski, </w:t>
      </w:r>
      <w:r w:rsidRPr="0007777C">
        <w:rPr>
          <w:i/>
          <w:iCs/>
        </w:rPr>
        <w:t>Tegen de stroom</w:t>
      </w:r>
      <w:r w:rsidRPr="0007777C">
        <w:t xml:space="preserve">, 306-310; Plaisier, </w:t>
      </w:r>
      <w:r w:rsidRPr="0007777C">
        <w:rPr>
          <w:i/>
          <w:iCs/>
        </w:rPr>
        <w:t>Passagiersvaart</w:t>
      </w:r>
      <w:r w:rsidRPr="0007777C">
        <w:t xml:space="preserve">, passim. </w:t>
      </w:r>
    </w:p>
  </w:endnote>
  <w:endnote w:id="51">
    <w:p w14:paraId="588EF0C4" w14:textId="77777777" w:rsidR="000D2FB8" w:rsidRPr="00C44A5D" w:rsidRDefault="000D2FB8" w:rsidP="00BB7CBF">
      <w:pPr>
        <w:pStyle w:val="EndnoteText"/>
        <w:jc w:val="left"/>
      </w:pPr>
      <w:r w:rsidRPr="0007777C">
        <w:rPr>
          <w:rStyle w:val="EndnoteReference"/>
        </w:rPr>
        <w:endnoteRef/>
      </w:r>
      <w:r w:rsidRPr="0007777C">
        <w:t xml:space="preserve"> Plaisier, </w:t>
      </w:r>
      <w:r w:rsidRPr="0007777C">
        <w:rPr>
          <w:i/>
          <w:iCs/>
        </w:rPr>
        <w:t>Passagiersvaart</w:t>
      </w:r>
      <w:r w:rsidRPr="0007777C">
        <w:t>, 14.</w:t>
      </w:r>
    </w:p>
  </w:endnote>
  <w:endnote w:id="52">
    <w:p w14:paraId="7EB77CAB" w14:textId="422206D5" w:rsidR="000D2FB8" w:rsidRPr="00C44A5D" w:rsidRDefault="000D2FB8" w:rsidP="00BB7CBF">
      <w:pPr>
        <w:pStyle w:val="EndnoteText"/>
        <w:jc w:val="left"/>
      </w:pPr>
      <w:r>
        <w:rPr>
          <w:rStyle w:val="EndnoteReference"/>
        </w:rPr>
        <w:endnoteRef/>
      </w:r>
      <w:r>
        <w:t xml:space="preserve"> Plaisier, </w:t>
      </w:r>
      <w:r w:rsidRPr="008A6239">
        <w:rPr>
          <w:i/>
          <w:iCs/>
        </w:rPr>
        <w:t>Passagiersvaart</w:t>
      </w:r>
      <w:r w:rsidRPr="008A6239">
        <w:t xml:space="preserve">, VI. </w:t>
      </w:r>
    </w:p>
  </w:endnote>
  <w:endnote w:id="53">
    <w:p w14:paraId="1A80CB54" w14:textId="77777777" w:rsidR="000D2FB8" w:rsidRDefault="000D2FB8" w:rsidP="00BB7CBF">
      <w:pPr>
        <w:pStyle w:val="EndnoteText"/>
        <w:jc w:val="left"/>
      </w:pPr>
      <w:r>
        <w:rPr>
          <w:rStyle w:val="EndnoteReference"/>
        </w:rPr>
        <w:endnoteRef/>
      </w:r>
      <w:r>
        <w:t xml:space="preserve"> Een sleepschip is een ongemotoriseerd vrachtschip dat door een sleepboot wordt voortgesleept. Meestal wordt hiermee gedoeld op schepen die noch over een motor, noch over zeilen beschikken.  </w:t>
      </w:r>
    </w:p>
  </w:endnote>
  <w:endnote w:id="54">
    <w:p w14:paraId="5A050BB0" w14:textId="668BFE7F" w:rsidR="000D2FB8" w:rsidRDefault="000D2FB8" w:rsidP="00BB7CBF">
      <w:pPr>
        <w:pStyle w:val="EndnoteText"/>
        <w:jc w:val="left"/>
      </w:pPr>
      <w:r>
        <w:rPr>
          <w:rStyle w:val="EndnoteReference"/>
        </w:rPr>
        <w:endnoteRef/>
      </w:r>
      <w:r>
        <w:t xml:space="preserve"> Filarski, </w:t>
      </w:r>
      <w:r>
        <w:rPr>
          <w:i/>
          <w:iCs/>
        </w:rPr>
        <w:t>Tegen de stroom</w:t>
      </w:r>
      <w:r>
        <w:t xml:space="preserve">, 140, 142, 156; Nusteling, </w:t>
      </w:r>
      <w:r>
        <w:rPr>
          <w:i/>
          <w:iCs/>
        </w:rPr>
        <w:t>Rijnvaart</w:t>
      </w:r>
      <w:r>
        <w:t>, 242.</w:t>
      </w:r>
    </w:p>
  </w:endnote>
  <w:endnote w:id="55">
    <w:p w14:paraId="3910FACB" w14:textId="77777777" w:rsidR="000D2FB8" w:rsidRPr="000D0C3B" w:rsidRDefault="000D2FB8" w:rsidP="00BB7CBF">
      <w:pPr>
        <w:pStyle w:val="EndnoteText"/>
        <w:jc w:val="left"/>
      </w:pPr>
      <w:r>
        <w:rPr>
          <w:rStyle w:val="EndnoteReference"/>
        </w:rPr>
        <w:endnoteRef/>
      </w:r>
      <w:r>
        <w:t xml:space="preserve"> Filarski, </w:t>
      </w:r>
      <w:r>
        <w:rPr>
          <w:i/>
          <w:iCs/>
        </w:rPr>
        <w:t>Tegen de stroom</w:t>
      </w:r>
      <w:r>
        <w:t>, passim.</w:t>
      </w:r>
    </w:p>
  </w:endnote>
  <w:endnote w:id="56">
    <w:p w14:paraId="68D5065D" w14:textId="304D4347" w:rsidR="000D2FB8" w:rsidRPr="00733301" w:rsidRDefault="000D2FB8" w:rsidP="00BB7CBF">
      <w:pPr>
        <w:pStyle w:val="EndnoteText"/>
        <w:jc w:val="left"/>
      </w:pPr>
      <w:r w:rsidRPr="00733301">
        <w:rPr>
          <w:rStyle w:val="EndnoteReference"/>
        </w:rPr>
        <w:endnoteRef/>
      </w:r>
      <w:r w:rsidRPr="00733301">
        <w:t xml:space="preserve"> Nusteling, </w:t>
      </w:r>
      <w:r w:rsidRPr="00733301">
        <w:rPr>
          <w:i/>
          <w:iCs/>
        </w:rPr>
        <w:t>Rijnvaart</w:t>
      </w:r>
      <w:r w:rsidRPr="00733301">
        <w:t xml:space="preserve">, 242; Sepp, </w:t>
      </w:r>
      <w:r w:rsidRPr="00733301">
        <w:rPr>
          <w:i/>
        </w:rPr>
        <w:t>Onder zeil en op de motor</w:t>
      </w:r>
      <w:r w:rsidRPr="00733301">
        <w:t xml:space="preserve"> 2, (1983), 35, 36.</w:t>
      </w:r>
    </w:p>
  </w:endnote>
  <w:endnote w:id="57">
    <w:p w14:paraId="4F621FDC" w14:textId="6E3EC030" w:rsidR="000D2FB8" w:rsidRDefault="000D2FB8" w:rsidP="00BB7CBF">
      <w:pPr>
        <w:pStyle w:val="EndnoteText"/>
        <w:jc w:val="left"/>
      </w:pPr>
      <w:r w:rsidRPr="00733301">
        <w:rPr>
          <w:rStyle w:val="EndnoteReference"/>
        </w:rPr>
        <w:endnoteRef/>
      </w:r>
      <w:r w:rsidRPr="00733301">
        <w:t xml:space="preserve"> Filarski, </w:t>
      </w:r>
      <w:r w:rsidRPr="00733301">
        <w:rPr>
          <w:i/>
          <w:iCs/>
        </w:rPr>
        <w:t>Tegen de stroom</w:t>
      </w:r>
      <w:r w:rsidRPr="00733301">
        <w:t xml:space="preserve">, 160; Nusteling, </w:t>
      </w:r>
      <w:r w:rsidRPr="00733301">
        <w:rPr>
          <w:i/>
          <w:iCs/>
        </w:rPr>
        <w:t>Rijnvaart</w:t>
      </w:r>
      <w:r w:rsidRPr="00733301">
        <w:t xml:space="preserve">, 120, 121; Sepp, </w:t>
      </w:r>
      <w:r w:rsidRPr="00733301">
        <w:rPr>
          <w:bCs/>
        </w:rPr>
        <w:t>‘Onder zeil en op de motor’</w:t>
      </w:r>
      <w:r w:rsidRPr="00733301">
        <w:t xml:space="preserve"> 8 (1982) 44; Sepp, </w:t>
      </w:r>
      <w:r w:rsidRPr="00733301">
        <w:rPr>
          <w:bCs/>
        </w:rPr>
        <w:t>‘Onder zeil en op de motor’</w:t>
      </w:r>
      <w:r w:rsidRPr="00733301">
        <w:t xml:space="preserve"> 2 (1983) 36-38.</w:t>
      </w:r>
      <w:r>
        <w:t xml:space="preserve">  </w:t>
      </w:r>
    </w:p>
  </w:endnote>
  <w:endnote w:id="58">
    <w:p w14:paraId="026D215A" w14:textId="5E073DA5" w:rsidR="000D2FB8" w:rsidRPr="005A3242" w:rsidRDefault="000D2FB8" w:rsidP="00BB7CBF">
      <w:pPr>
        <w:pStyle w:val="EndnoteText"/>
        <w:jc w:val="left"/>
      </w:pPr>
      <w:r>
        <w:rPr>
          <w:rStyle w:val="EndnoteReference"/>
        </w:rPr>
        <w:endnoteRef/>
      </w:r>
      <w:r>
        <w:t xml:space="preserve"> Sepp, </w:t>
      </w:r>
      <w:r w:rsidRPr="009B459B">
        <w:t>‘</w:t>
      </w:r>
      <w:r w:rsidRPr="009B459B">
        <w:rPr>
          <w:iCs/>
        </w:rPr>
        <w:t>Binnenlandse scheepvaart’</w:t>
      </w:r>
      <w:r>
        <w:t>, 66-72.</w:t>
      </w:r>
    </w:p>
  </w:endnote>
  <w:endnote w:id="59">
    <w:p w14:paraId="6A21CFE5" w14:textId="4DC71754" w:rsidR="000D2FB8" w:rsidRDefault="000D2FB8" w:rsidP="00BB7CBF">
      <w:pPr>
        <w:pStyle w:val="EndnoteText"/>
        <w:jc w:val="left"/>
      </w:pPr>
      <w:r>
        <w:rPr>
          <w:rStyle w:val="EndnoteReference"/>
        </w:rPr>
        <w:endnoteRef/>
      </w:r>
      <w:r>
        <w:t xml:space="preserve"> Naast de arbeidskosten had de ondernemer ook te maken met onderhoudskosten, brandstofkosten en afschrijvingen. </w:t>
      </w:r>
    </w:p>
  </w:endnote>
  <w:endnote w:id="60">
    <w:p w14:paraId="2FA538C9" w14:textId="77777777" w:rsidR="000D2FB8" w:rsidRDefault="000D2FB8" w:rsidP="00BB7CBF">
      <w:pPr>
        <w:pStyle w:val="EndnoteText"/>
        <w:jc w:val="left"/>
      </w:pPr>
      <w:r>
        <w:rPr>
          <w:rStyle w:val="EndnoteReference"/>
        </w:rPr>
        <w:endnoteRef/>
      </w:r>
      <w:r>
        <w:t xml:space="preserve"> Filarski, </w:t>
      </w:r>
      <w:r>
        <w:rPr>
          <w:i/>
          <w:iCs/>
        </w:rPr>
        <w:t>Tegen de stroom</w:t>
      </w:r>
      <w:r>
        <w:t>, 205.</w:t>
      </w:r>
    </w:p>
  </w:endnote>
  <w:endnote w:id="61">
    <w:p w14:paraId="32B41581" w14:textId="77777777" w:rsidR="000D2FB8" w:rsidRPr="00A140ED" w:rsidRDefault="000D2FB8" w:rsidP="00BB7CBF">
      <w:pPr>
        <w:pStyle w:val="EndnoteText"/>
        <w:jc w:val="left"/>
      </w:pPr>
      <w:r>
        <w:rPr>
          <w:rStyle w:val="EndnoteReference"/>
        </w:rPr>
        <w:endnoteRef/>
      </w:r>
      <w:r>
        <w:t xml:space="preserve"> Sepp, </w:t>
      </w:r>
      <w:r>
        <w:rPr>
          <w:i/>
          <w:iCs/>
        </w:rPr>
        <w:t>Binnenlandse scheepvaart</w:t>
      </w:r>
      <w:r>
        <w:t>, 70.</w:t>
      </w:r>
    </w:p>
  </w:endnote>
  <w:endnote w:id="62">
    <w:p w14:paraId="2DE4B756" w14:textId="77777777" w:rsidR="000D2FB8" w:rsidRPr="00A140ED" w:rsidRDefault="000D2FB8" w:rsidP="00BB7CBF">
      <w:pPr>
        <w:pStyle w:val="EndnoteText"/>
        <w:jc w:val="left"/>
      </w:pPr>
      <w:r>
        <w:rPr>
          <w:rStyle w:val="EndnoteReference"/>
        </w:rPr>
        <w:endnoteRef/>
      </w:r>
      <w:r>
        <w:t xml:space="preserve"> Sepp, </w:t>
      </w:r>
      <w:r>
        <w:rPr>
          <w:i/>
          <w:iCs/>
        </w:rPr>
        <w:t>Binnenlandse scheepvaart</w:t>
      </w:r>
      <w:r>
        <w:t xml:space="preserve">, 67, 70-72.  </w:t>
      </w:r>
    </w:p>
  </w:endnote>
  <w:endnote w:id="63">
    <w:p w14:paraId="07269F12" w14:textId="5769C249" w:rsidR="000D2FB8" w:rsidRDefault="000D2FB8" w:rsidP="00A34ED3">
      <w:pPr>
        <w:pStyle w:val="EndnoteText"/>
        <w:jc w:val="left"/>
      </w:pPr>
      <w:r>
        <w:rPr>
          <w:rStyle w:val="EndnoteReference"/>
        </w:rPr>
        <w:endnoteRef/>
      </w:r>
      <w:r>
        <w:t xml:space="preserve"> De tekst van deze subparagraaf is ontleend aan Filarski, </w:t>
      </w:r>
      <w:r>
        <w:rPr>
          <w:i/>
          <w:iCs/>
        </w:rPr>
        <w:t>Tegen de stroom</w:t>
      </w:r>
      <w:r>
        <w:t>, 205-207</w:t>
      </w:r>
      <w:r w:rsidR="00367F2A">
        <w:t>.</w:t>
      </w:r>
    </w:p>
  </w:endnote>
  <w:endnote w:id="64">
    <w:p w14:paraId="1B50CDBA" w14:textId="408F6511" w:rsidR="001D249D" w:rsidRDefault="001D249D" w:rsidP="001D249D">
      <w:pPr>
        <w:pStyle w:val="EndnoteText"/>
        <w:jc w:val="left"/>
      </w:pPr>
      <w:r>
        <w:rPr>
          <w:rStyle w:val="EndnoteReference"/>
        </w:rPr>
        <w:endnoteRef/>
      </w:r>
      <w:r>
        <w:t xml:space="preserve"> Touw, ‘De oorsprong en betekenis van de typenaam “luxe motor”’ (3), 45, 46.</w:t>
      </w:r>
    </w:p>
  </w:endnote>
  <w:endnote w:id="65">
    <w:p w14:paraId="48BE4695" w14:textId="614F1633" w:rsidR="000D2FB8" w:rsidRDefault="000D2FB8" w:rsidP="00342E84">
      <w:pPr>
        <w:pStyle w:val="EndnoteText"/>
        <w:jc w:val="left"/>
      </w:pPr>
      <w:r>
        <w:rPr>
          <w:rStyle w:val="EndnoteReference"/>
        </w:rPr>
        <w:endnoteRef/>
      </w:r>
      <w:r>
        <w:t xml:space="preserve"> De tekst van deze subparagraaf is ontleend aan Filarski, </w:t>
      </w:r>
      <w:r>
        <w:rPr>
          <w:i/>
          <w:iCs/>
        </w:rPr>
        <w:t>Tegen de stroom</w:t>
      </w:r>
      <w:r>
        <w:t>, 202-209.</w:t>
      </w:r>
    </w:p>
  </w:endnote>
  <w:endnote w:id="66">
    <w:p w14:paraId="07141AF2" w14:textId="77777777" w:rsidR="000D2FB8" w:rsidRPr="009A670D" w:rsidRDefault="000D2FB8" w:rsidP="00BB7CBF">
      <w:pPr>
        <w:pStyle w:val="EndnoteText"/>
        <w:spacing w:line="276" w:lineRule="auto"/>
        <w:jc w:val="left"/>
        <w:rPr>
          <w:bCs/>
        </w:rPr>
      </w:pPr>
      <w:r w:rsidRPr="009A670D">
        <w:rPr>
          <w:rStyle w:val="EndnoteReference"/>
          <w:bCs/>
        </w:rPr>
        <w:endnoteRef/>
      </w:r>
      <w:r w:rsidRPr="001A4518">
        <w:rPr>
          <w:b/>
        </w:rPr>
        <w:t xml:space="preserve"> </w:t>
      </w:r>
      <w:r>
        <w:rPr>
          <w:bCs/>
        </w:rPr>
        <w:t xml:space="preserve">Filarski, </w:t>
      </w:r>
      <w:r>
        <w:rPr>
          <w:bCs/>
          <w:i/>
          <w:iCs/>
        </w:rPr>
        <w:t>Tegen de stroom</w:t>
      </w:r>
      <w:r>
        <w:rPr>
          <w:bCs/>
        </w:rPr>
        <w:t>, 207.</w:t>
      </w:r>
    </w:p>
  </w:endnote>
  <w:endnote w:id="67">
    <w:p w14:paraId="0AA89EBD" w14:textId="77777777" w:rsidR="000D2FB8" w:rsidRPr="00833305" w:rsidRDefault="000D2FB8" w:rsidP="00BB7CBF">
      <w:pPr>
        <w:pStyle w:val="EndnoteText"/>
        <w:spacing w:line="276" w:lineRule="auto"/>
        <w:jc w:val="left"/>
        <w:rPr>
          <w:bCs/>
        </w:rPr>
      </w:pPr>
      <w:r w:rsidRPr="00833305">
        <w:rPr>
          <w:rStyle w:val="EndnoteReference"/>
          <w:bCs/>
        </w:rPr>
        <w:endnoteRef/>
      </w:r>
      <w:r w:rsidRPr="00833305">
        <w:rPr>
          <w:bCs/>
        </w:rPr>
        <w:t xml:space="preserve"> </w:t>
      </w:r>
      <w:r>
        <w:rPr>
          <w:bCs/>
        </w:rPr>
        <w:t xml:space="preserve">Filarski, </w:t>
      </w:r>
      <w:r>
        <w:rPr>
          <w:bCs/>
          <w:i/>
          <w:iCs/>
        </w:rPr>
        <w:t xml:space="preserve">Tegen de </w:t>
      </w:r>
      <w:r w:rsidRPr="00894A85">
        <w:rPr>
          <w:bCs/>
          <w:i/>
          <w:iCs/>
        </w:rPr>
        <w:t>stroom,</w:t>
      </w:r>
      <w:r>
        <w:rPr>
          <w:bCs/>
        </w:rPr>
        <w:t xml:space="preserve"> 207</w:t>
      </w:r>
      <w:r w:rsidRPr="00833305">
        <w:rPr>
          <w:bCs/>
        </w:rPr>
        <w:t>.</w:t>
      </w:r>
    </w:p>
  </w:endnote>
  <w:endnote w:id="68">
    <w:p w14:paraId="75A4B549" w14:textId="77777777" w:rsidR="000D2FB8" w:rsidRPr="00AA3725" w:rsidRDefault="000D2FB8" w:rsidP="00BB7CBF">
      <w:pPr>
        <w:pStyle w:val="EndnoteText"/>
        <w:spacing w:line="276" w:lineRule="auto"/>
        <w:jc w:val="left"/>
        <w:rPr>
          <w:bCs/>
          <w:lang w:val="de-DE"/>
        </w:rPr>
      </w:pPr>
      <w:r w:rsidRPr="00AA3725">
        <w:rPr>
          <w:rStyle w:val="EndnoteReference"/>
          <w:bCs/>
        </w:rPr>
        <w:endnoteRef/>
      </w:r>
      <w:r w:rsidRPr="00AA3725">
        <w:rPr>
          <w:bCs/>
          <w:lang w:val="de-DE"/>
        </w:rPr>
        <w:t xml:space="preserve"> </w:t>
      </w:r>
      <w:r>
        <w:rPr>
          <w:bCs/>
          <w:lang w:val="de-DE"/>
        </w:rPr>
        <w:t xml:space="preserve">Filarski, </w:t>
      </w:r>
      <w:r>
        <w:rPr>
          <w:bCs/>
          <w:i/>
          <w:iCs/>
          <w:lang w:val="de-DE"/>
        </w:rPr>
        <w:t>Tegen de stroom</w:t>
      </w:r>
      <w:r>
        <w:rPr>
          <w:bCs/>
          <w:lang w:val="de-DE"/>
        </w:rPr>
        <w:t>, 202.</w:t>
      </w:r>
    </w:p>
  </w:endnote>
  <w:endnote w:id="69">
    <w:p w14:paraId="7D5E85F1" w14:textId="77777777" w:rsidR="000D2FB8" w:rsidRPr="00AA3725" w:rsidRDefault="000D2FB8" w:rsidP="00BB7CBF">
      <w:pPr>
        <w:pStyle w:val="EndnoteText"/>
        <w:spacing w:line="276" w:lineRule="auto"/>
        <w:jc w:val="left"/>
        <w:rPr>
          <w:bCs/>
        </w:rPr>
      </w:pPr>
      <w:r w:rsidRPr="00AA3725">
        <w:rPr>
          <w:rStyle w:val="EndnoteReference"/>
          <w:bCs/>
        </w:rPr>
        <w:endnoteRef/>
      </w:r>
      <w:r w:rsidRPr="00AA3725">
        <w:rPr>
          <w:bCs/>
        </w:rPr>
        <w:t xml:space="preserve"> </w:t>
      </w:r>
      <w:r>
        <w:rPr>
          <w:bCs/>
        </w:rPr>
        <w:t xml:space="preserve">Filarski, </w:t>
      </w:r>
      <w:r>
        <w:rPr>
          <w:bCs/>
          <w:i/>
          <w:iCs/>
        </w:rPr>
        <w:t>Tegen de stroom</w:t>
      </w:r>
      <w:r>
        <w:rPr>
          <w:bCs/>
        </w:rPr>
        <w:t>, 202.</w:t>
      </w:r>
    </w:p>
  </w:endnote>
  <w:endnote w:id="70">
    <w:p w14:paraId="423E5CC8" w14:textId="0A5881E0" w:rsidR="000D2FB8" w:rsidRPr="00427146" w:rsidRDefault="000D2FB8" w:rsidP="00B93DEE">
      <w:pPr>
        <w:jc w:val="left"/>
      </w:pPr>
      <w:r>
        <w:rPr>
          <w:rStyle w:val="EndnoteReference"/>
        </w:rPr>
        <w:endnoteRef/>
      </w:r>
      <w:r>
        <w:t xml:space="preserve"> </w:t>
      </w:r>
      <w:r w:rsidRPr="00D02D47">
        <w:rPr>
          <w:sz w:val="20"/>
          <w:szCs w:val="20"/>
        </w:rPr>
        <w:t xml:space="preserve">Filarski, </w:t>
      </w:r>
      <w:r w:rsidRPr="00D02D47">
        <w:rPr>
          <w:i/>
          <w:iCs/>
          <w:sz w:val="20"/>
          <w:szCs w:val="20"/>
        </w:rPr>
        <w:t>Tegen de stroom</w:t>
      </w:r>
      <w:r w:rsidRPr="00D02D47">
        <w:rPr>
          <w:sz w:val="20"/>
          <w:szCs w:val="20"/>
        </w:rPr>
        <w:t xml:space="preserve">, 255-267. </w:t>
      </w:r>
      <w:r>
        <w:rPr>
          <w:sz w:val="20"/>
          <w:szCs w:val="20"/>
        </w:rPr>
        <w:t>Omdat de gebeurtenissen in de Tweede Wereldoorlog voor de binnenvaart slechts weinig blijvende gevolgen hadden, is in dit hoofdstuk aan deze periode weinig aandacht besteed. V</w:t>
      </w:r>
      <w:r w:rsidRPr="00D02D47">
        <w:rPr>
          <w:sz w:val="20"/>
          <w:szCs w:val="20"/>
        </w:rPr>
        <w:t xml:space="preserve">oor de ontwikkeling van de binnenvaart in de Tweede Wereldoorlog wordt verwezen naar de volgende publicaties: </w:t>
      </w:r>
      <w:r w:rsidR="00643485">
        <w:rPr>
          <w:sz w:val="20"/>
          <w:szCs w:val="20"/>
        </w:rPr>
        <w:t xml:space="preserve">A.B. </w:t>
      </w:r>
      <w:r w:rsidRPr="00D02D47">
        <w:rPr>
          <w:sz w:val="20"/>
          <w:szCs w:val="20"/>
        </w:rPr>
        <w:t xml:space="preserve">Bolt, </w:t>
      </w:r>
      <w:r w:rsidRPr="00D02D47">
        <w:rPr>
          <w:i/>
          <w:sz w:val="20"/>
          <w:szCs w:val="20"/>
        </w:rPr>
        <w:t xml:space="preserve">De dubbele dreiging. De Nederlandse binnenvaart tijdens de </w:t>
      </w:r>
      <w:r w:rsidR="00DE57D5">
        <w:rPr>
          <w:i/>
          <w:sz w:val="20"/>
          <w:szCs w:val="20"/>
        </w:rPr>
        <w:t>T</w:t>
      </w:r>
      <w:r w:rsidRPr="00D02D47">
        <w:rPr>
          <w:i/>
          <w:sz w:val="20"/>
          <w:szCs w:val="20"/>
        </w:rPr>
        <w:t xml:space="preserve">weede </w:t>
      </w:r>
      <w:r w:rsidR="00DE57D5">
        <w:rPr>
          <w:i/>
          <w:sz w:val="20"/>
          <w:szCs w:val="20"/>
        </w:rPr>
        <w:t>W</w:t>
      </w:r>
      <w:r w:rsidRPr="00D02D47">
        <w:rPr>
          <w:i/>
          <w:sz w:val="20"/>
          <w:szCs w:val="20"/>
        </w:rPr>
        <w:t>ereldoorlog</w:t>
      </w:r>
      <w:r w:rsidR="006E454D">
        <w:rPr>
          <w:i/>
          <w:sz w:val="20"/>
          <w:szCs w:val="20"/>
        </w:rPr>
        <w:t xml:space="preserve"> </w:t>
      </w:r>
      <w:r w:rsidRPr="00D02D47">
        <w:rPr>
          <w:sz w:val="20"/>
          <w:szCs w:val="20"/>
        </w:rPr>
        <w:t>(</w:t>
      </w:r>
      <w:r w:rsidR="00740956">
        <w:rPr>
          <w:sz w:val="20"/>
          <w:szCs w:val="20"/>
        </w:rPr>
        <w:t>D</w:t>
      </w:r>
      <w:r w:rsidRPr="00D02D47">
        <w:rPr>
          <w:sz w:val="20"/>
          <w:szCs w:val="20"/>
        </w:rPr>
        <w:t>octoraalscriptie, Erasmus Universiteit Rotterdam 1999</w:t>
      </w:r>
      <w:r w:rsidR="00740956">
        <w:rPr>
          <w:sz w:val="20"/>
          <w:szCs w:val="20"/>
        </w:rPr>
        <w:t>);</w:t>
      </w:r>
      <w:r w:rsidRPr="00D02D47">
        <w:rPr>
          <w:sz w:val="20"/>
          <w:szCs w:val="20"/>
        </w:rPr>
        <w:t xml:space="preserve"> </w:t>
      </w:r>
      <w:r w:rsidR="00643485">
        <w:rPr>
          <w:sz w:val="20"/>
          <w:szCs w:val="20"/>
        </w:rPr>
        <w:t xml:space="preserve">R. </w:t>
      </w:r>
      <w:r w:rsidRPr="00D02D47">
        <w:rPr>
          <w:sz w:val="20"/>
          <w:szCs w:val="20"/>
        </w:rPr>
        <w:t xml:space="preserve">Filarski, </w:t>
      </w:r>
      <w:r w:rsidRPr="00D02D47">
        <w:rPr>
          <w:i/>
          <w:iCs/>
          <w:sz w:val="20"/>
          <w:szCs w:val="20"/>
        </w:rPr>
        <w:t>Tegen de stroom in</w:t>
      </w:r>
      <w:r w:rsidR="00740956">
        <w:rPr>
          <w:i/>
          <w:iCs/>
          <w:sz w:val="20"/>
          <w:szCs w:val="20"/>
        </w:rPr>
        <w:t>.</w:t>
      </w:r>
      <w:r w:rsidRPr="00D02D47">
        <w:rPr>
          <w:i/>
          <w:iCs/>
          <w:sz w:val="20"/>
          <w:szCs w:val="20"/>
        </w:rPr>
        <w:t xml:space="preserve"> Binnenvaart en vaarwegen vanaf 1800</w:t>
      </w:r>
      <w:r w:rsidR="000E675B">
        <w:rPr>
          <w:sz w:val="20"/>
          <w:szCs w:val="20"/>
        </w:rPr>
        <w:t xml:space="preserve"> </w:t>
      </w:r>
      <w:r w:rsidRPr="00D02D47">
        <w:rPr>
          <w:sz w:val="20"/>
          <w:szCs w:val="20"/>
        </w:rPr>
        <w:t xml:space="preserve">(Utrecht 2014); </w:t>
      </w:r>
      <w:r w:rsidR="00643485">
        <w:rPr>
          <w:sz w:val="20"/>
          <w:szCs w:val="20"/>
        </w:rPr>
        <w:t xml:space="preserve">A. </w:t>
      </w:r>
      <w:r w:rsidRPr="00D02D47">
        <w:rPr>
          <w:sz w:val="20"/>
          <w:szCs w:val="20"/>
        </w:rPr>
        <w:t xml:space="preserve">Schouwenburg, </w:t>
      </w:r>
      <w:r w:rsidRPr="00D02D47">
        <w:rPr>
          <w:i/>
          <w:sz w:val="20"/>
          <w:szCs w:val="20"/>
        </w:rPr>
        <w:t xml:space="preserve">Gevaren. De Nederlandse binnenvaart tijdens de </w:t>
      </w:r>
      <w:r w:rsidR="00DE57D5">
        <w:rPr>
          <w:i/>
          <w:sz w:val="20"/>
          <w:szCs w:val="20"/>
        </w:rPr>
        <w:t>T</w:t>
      </w:r>
      <w:r w:rsidRPr="00D02D47">
        <w:rPr>
          <w:i/>
          <w:sz w:val="20"/>
          <w:szCs w:val="20"/>
        </w:rPr>
        <w:t xml:space="preserve">weede </w:t>
      </w:r>
      <w:r w:rsidR="00DE57D5">
        <w:rPr>
          <w:i/>
          <w:sz w:val="20"/>
          <w:szCs w:val="20"/>
        </w:rPr>
        <w:t>W</w:t>
      </w:r>
      <w:r w:rsidRPr="00D02D47">
        <w:rPr>
          <w:i/>
          <w:sz w:val="20"/>
          <w:szCs w:val="20"/>
        </w:rPr>
        <w:t>ereldoorlog’</w:t>
      </w:r>
      <w:r w:rsidRPr="00D02D47">
        <w:rPr>
          <w:sz w:val="20"/>
          <w:szCs w:val="20"/>
        </w:rPr>
        <w:t xml:space="preserve"> (</w:t>
      </w:r>
      <w:r w:rsidR="00C74AEC">
        <w:rPr>
          <w:sz w:val="20"/>
          <w:szCs w:val="20"/>
        </w:rPr>
        <w:t>D</w:t>
      </w:r>
      <w:r w:rsidRPr="00D02D47">
        <w:rPr>
          <w:sz w:val="20"/>
          <w:szCs w:val="20"/>
        </w:rPr>
        <w:t>octoraalscriptie, Erasmus Universiteit Rotterdam</w:t>
      </w:r>
      <w:r w:rsidR="00C74AEC">
        <w:rPr>
          <w:sz w:val="20"/>
          <w:szCs w:val="20"/>
        </w:rPr>
        <w:t xml:space="preserve"> </w:t>
      </w:r>
      <w:r w:rsidRPr="00D02D47">
        <w:rPr>
          <w:sz w:val="20"/>
          <w:szCs w:val="20"/>
        </w:rPr>
        <w:t>1999).</w:t>
      </w:r>
    </w:p>
  </w:endnote>
  <w:endnote w:id="71">
    <w:p w14:paraId="6D7A44DD" w14:textId="77777777" w:rsidR="000D2FB8" w:rsidRPr="00427146" w:rsidRDefault="000D2FB8" w:rsidP="00BB7CBF">
      <w:pPr>
        <w:pStyle w:val="EndnoteText"/>
        <w:jc w:val="left"/>
      </w:pPr>
      <w:r>
        <w:rPr>
          <w:rStyle w:val="EndnoteReference"/>
        </w:rPr>
        <w:endnoteRef/>
      </w:r>
      <w:r>
        <w:t xml:space="preserve"> Filarski, </w:t>
      </w:r>
      <w:r>
        <w:rPr>
          <w:i/>
          <w:iCs/>
        </w:rPr>
        <w:t>Tegen de stroom</w:t>
      </w:r>
      <w:r>
        <w:t>, 259-261, 275.</w:t>
      </w:r>
    </w:p>
  </w:endnote>
  <w:endnote w:id="72">
    <w:p w14:paraId="0B770E19" w14:textId="77777777" w:rsidR="000D2FB8" w:rsidRPr="00946307" w:rsidRDefault="000D2FB8" w:rsidP="00BB7CBF">
      <w:pPr>
        <w:pStyle w:val="EndnoteText"/>
        <w:jc w:val="left"/>
      </w:pPr>
      <w:r>
        <w:rPr>
          <w:rStyle w:val="EndnoteReference"/>
        </w:rPr>
        <w:endnoteRef/>
      </w:r>
      <w:r>
        <w:t xml:space="preserve"> Filarski, </w:t>
      </w:r>
      <w:r>
        <w:rPr>
          <w:i/>
          <w:iCs/>
        </w:rPr>
        <w:t>Tegen de stroom</w:t>
      </w:r>
      <w:r>
        <w:t>, 275, 276.</w:t>
      </w:r>
    </w:p>
  </w:endnote>
  <w:endnote w:id="73">
    <w:p w14:paraId="43ACB634" w14:textId="3920CFCD" w:rsidR="000D2FB8" w:rsidRPr="003366A0" w:rsidRDefault="000D2FB8" w:rsidP="00BB7CBF">
      <w:pPr>
        <w:pStyle w:val="EndnoteText"/>
        <w:jc w:val="left"/>
      </w:pPr>
      <w:r>
        <w:rPr>
          <w:rStyle w:val="EndnoteReference"/>
        </w:rPr>
        <w:endnoteRef/>
      </w:r>
      <w:r>
        <w:t xml:space="preserve"> Filarski, </w:t>
      </w:r>
      <w:r>
        <w:rPr>
          <w:i/>
          <w:iCs/>
        </w:rPr>
        <w:t>Tegen de stroom</w:t>
      </w:r>
      <w:r>
        <w:t>, 275, 276.</w:t>
      </w:r>
    </w:p>
  </w:endnote>
  <w:endnote w:id="74">
    <w:p w14:paraId="074F6CBB" w14:textId="3B90FFB3" w:rsidR="000D2FB8" w:rsidRDefault="000D2FB8" w:rsidP="00BB7CBF">
      <w:pPr>
        <w:pStyle w:val="EndnoteText"/>
        <w:jc w:val="left"/>
      </w:pPr>
      <w:r>
        <w:rPr>
          <w:rStyle w:val="EndnoteReference"/>
        </w:rPr>
        <w:endnoteRef/>
      </w:r>
      <w:r>
        <w:t xml:space="preserve"> </w:t>
      </w:r>
      <w:r>
        <w:rPr>
          <w:rFonts w:eastAsia="Calibri" w:cs="Times New Roman"/>
          <w:iCs/>
          <w:color w:val="auto"/>
          <w:szCs w:val="24"/>
        </w:rPr>
        <w:t xml:space="preserve">Filarski, </w:t>
      </w:r>
      <w:r>
        <w:rPr>
          <w:rFonts w:eastAsia="Calibri" w:cs="Times New Roman"/>
          <w:i/>
          <w:color w:val="auto"/>
          <w:szCs w:val="24"/>
        </w:rPr>
        <w:t>Tegen de stroom</w:t>
      </w:r>
      <w:r>
        <w:rPr>
          <w:rFonts w:eastAsia="Calibri" w:cs="Times New Roman"/>
          <w:iCs/>
          <w:color w:val="auto"/>
          <w:szCs w:val="24"/>
        </w:rPr>
        <w:t>, 276.</w:t>
      </w:r>
    </w:p>
  </w:endnote>
  <w:endnote w:id="75">
    <w:p w14:paraId="13EDC021" w14:textId="77777777" w:rsidR="000D2FB8" w:rsidRPr="00E909CC" w:rsidRDefault="000D2FB8" w:rsidP="00BB7CBF">
      <w:pPr>
        <w:pStyle w:val="EndnoteText"/>
        <w:jc w:val="left"/>
      </w:pPr>
      <w:r>
        <w:rPr>
          <w:rStyle w:val="EndnoteReference"/>
        </w:rPr>
        <w:endnoteRef/>
      </w:r>
      <w:r>
        <w:t xml:space="preserve"> Filarski, </w:t>
      </w:r>
      <w:r>
        <w:rPr>
          <w:i/>
          <w:iCs/>
        </w:rPr>
        <w:t>Tegen de stroom</w:t>
      </w:r>
      <w:r>
        <w:t>, 290-292.</w:t>
      </w:r>
    </w:p>
  </w:endnote>
  <w:endnote w:id="76">
    <w:p w14:paraId="22F05EBA" w14:textId="12BB73A9" w:rsidR="000D2FB8" w:rsidRPr="006E60F0" w:rsidRDefault="000D2FB8" w:rsidP="00BB7CBF">
      <w:pPr>
        <w:pStyle w:val="EndnoteText"/>
        <w:ind w:left="708" w:hanging="708"/>
        <w:jc w:val="left"/>
        <w:rPr>
          <w:i/>
          <w:iCs/>
        </w:rPr>
      </w:pPr>
      <w:r>
        <w:rPr>
          <w:rStyle w:val="EndnoteReference"/>
        </w:rPr>
        <w:endnoteRef/>
      </w:r>
      <w:r>
        <w:t xml:space="preserve"> Filarski, </w:t>
      </w:r>
      <w:r>
        <w:rPr>
          <w:i/>
          <w:iCs/>
        </w:rPr>
        <w:t>Tegen de stroom</w:t>
      </w:r>
      <w:r>
        <w:t>, 275, 276, 292-298</w:t>
      </w:r>
      <w:r w:rsidR="0039172C">
        <w:t>.</w:t>
      </w:r>
    </w:p>
  </w:endnote>
  <w:endnote w:id="77">
    <w:p w14:paraId="7D2418D9" w14:textId="53C83E5C" w:rsidR="000D2FB8" w:rsidRDefault="000D2FB8" w:rsidP="00BB7CBF">
      <w:pPr>
        <w:pStyle w:val="EndnoteText"/>
        <w:jc w:val="left"/>
      </w:pPr>
      <w:r>
        <w:rPr>
          <w:rStyle w:val="EndnoteReference"/>
        </w:rPr>
        <w:endnoteRef/>
      </w:r>
      <w:r>
        <w:t xml:space="preserve"> Radiozender en ontvanger, waarmee een schipper contact kan onderhouden met andere schepen en walstations.</w:t>
      </w:r>
    </w:p>
  </w:endnote>
  <w:endnote w:id="78">
    <w:p w14:paraId="5EB3C33D" w14:textId="1714B998" w:rsidR="000D2FB8" w:rsidRPr="0065503D" w:rsidRDefault="000D2FB8" w:rsidP="00BB7CBF">
      <w:pPr>
        <w:pStyle w:val="EndnoteText"/>
        <w:jc w:val="left"/>
      </w:pPr>
      <w:r>
        <w:rPr>
          <w:rStyle w:val="EndnoteReference"/>
        </w:rPr>
        <w:endnoteRef/>
      </w:r>
      <w:r>
        <w:t xml:space="preserve"> Filarski, </w:t>
      </w:r>
      <w:r>
        <w:rPr>
          <w:i/>
          <w:iCs/>
        </w:rPr>
        <w:t>Tegen de stroom</w:t>
      </w:r>
      <w:r>
        <w:t>, 286, 287.</w:t>
      </w:r>
    </w:p>
  </w:endnote>
  <w:endnote w:id="79">
    <w:p w14:paraId="12625C62" w14:textId="77777777" w:rsidR="000D2FB8" w:rsidRPr="005363E4" w:rsidRDefault="000D2FB8" w:rsidP="00BB7CBF">
      <w:pPr>
        <w:pStyle w:val="EndnoteText"/>
        <w:jc w:val="left"/>
      </w:pPr>
      <w:r>
        <w:rPr>
          <w:rStyle w:val="EndnoteReference"/>
        </w:rPr>
        <w:endnoteRef/>
      </w:r>
      <w:r w:rsidRPr="005363E4">
        <w:t xml:space="preserve"> TEU = Twenty feet Equivalent Unit, de maat voor een</w:t>
      </w:r>
      <w:r>
        <w:t xml:space="preserve"> kleine standaardcontainer met een lengte van 20 voet. Daarnaast zijn er ook grotere containers.  </w:t>
      </w:r>
    </w:p>
  </w:endnote>
  <w:endnote w:id="80">
    <w:p w14:paraId="627ED452" w14:textId="77777777" w:rsidR="000D2FB8" w:rsidRPr="00F63D9C" w:rsidRDefault="000D2FB8" w:rsidP="00BB7CBF">
      <w:pPr>
        <w:pStyle w:val="EndnoteText"/>
        <w:jc w:val="left"/>
      </w:pPr>
      <w:r>
        <w:rPr>
          <w:rStyle w:val="EndnoteReference"/>
        </w:rPr>
        <w:endnoteRef/>
      </w:r>
      <w:r>
        <w:t xml:space="preserve"> Filarski, </w:t>
      </w:r>
      <w:r>
        <w:rPr>
          <w:i/>
          <w:iCs/>
        </w:rPr>
        <w:t>Tegen de stroom</w:t>
      </w:r>
      <w:r>
        <w:t>, 275, 287-289.</w:t>
      </w:r>
    </w:p>
  </w:endnote>
  <w:endnote w:id="81">
    <w:p w14:paraId="36A43AE3" w14:textId="77777777" w:rsidR="000D2FB8" w:rsidRPr="00DC76DC" w:rsidRDefault="000D2FB8" w:rsidP="00BB7CBF">
      <w:pPr>
        <w:pStyle w:val="EndnoteText"/>
        <w:jc w:val="left"/>
      </w:pPr>
      <w:r>
        <w:rPr>
          <w:rStyle w:val="EndnoteReference"/>
        </w:rPr>
        <w:endnoteRef/>
      </w:r>
      <w:r>
        <w:t xml:space="preserve"> Filarski, </w:t>
      </w:r>
      <w:r>
        <w:rPr>
          <w:i/>
          <w:iCs/>
        </w:rPr>
        <w:t>Tegen de stroom</w:t>
      </w:r>
      <w:r>
        <w:t>, 288.</w:t>
      </w:r>
    </w:p>
  </w:endnote>
  <w:endnote w:id="82">
    <w:p w14:paraId="5573DBEC" w14:textId="1721DFFB" w:rsidR="000D2FB8" w:rsidRDefault="000D2FB8" w:rsidP="00BB7CBF">
      <w:pPr>
        <w:pStyle w:val="EndnoteText"/>
        <w:jc w:val="left"/>
      </w:pPr>
      <w:r>
        <w:rPr>
          <w:rStyle w:val="EndnoteReference"/>
        </w:rPr>
        <w:endnoteRef/>
      </w:r>
      <w:r>
        <w:t xml:space="preserve"> Filarski, </w:t>
      </w:r>
      <w:r>
        <w:rPr>
          <w:i/>
          <w:iCs/>
        </w:rPr>
        <w:t>Tegen de stroom</w:t>
      </w:r>
      <w:r>
        <w:t xml:space="preserve">, 288; Verlaat, </w:t>
      </w:r>
      <w:r>
        <w:rPr>
          <w:i/>
          <w:iCs/>
        </w:rPr>
        <w:t>Reders en bevrachters</w:t>
      </w:r>
      <w:r>
        <w:t>, 5-18.</w:t>
      </w:r>
    </w:p>
  </w:endnote>
  <w:endnote w:id="83">
    <w:p w14:paraId="58C8D52F" w14:textId="2E5512D1" w:rsidR="000D2FB8" w:rsidRDefault="000D2FB8" w:rsidP="00BB7CBF">
      <w:pPr>
        <w:pStyle w:val="EndnoteText"/>
        <w:jc w:val="left"/>
      </w:pPr>
      <w:r>
        <w:rPr>
          <w:rStyle w:val="EndnoteReference"/>
        </w:rPr>
        <w:endnoteRef/>
      </w:r>
      <w:r>
        <w:t xml:space="preserve"> </w:t>
      </w:r>
      <w:r w:rsidRPr="00B56609">
        <w:rPr>
          <w:i/>
          <w:iCs/>
        </w:rPr>
        <w:t>Nieuwsblad Transport</w:t>
      </w:r>
      <w:r>
        <w:t>, 10</w:t>
      </w:r>
      <w:r w:rsidR="00D61B52">
        <w:t xml:space="preserve"> oktober </w:t>
      </w:r>
      <w:r>
        <w:t>2023; Port of Rotterdam, persbericht, 14</w:t>
      </w:r>
      <w:r w:rsidR="001E4B3B">
        <w:t xml:space="preserve"> november </w:t>
      </w:r>
      <w:r>
        <w:t xml:space="preserve">2023; </w:t>
      </w:r>
      <w:r w:rsidR="00CA5103">
        <w:rPr>
          <w:i/>
          <w:iCs/>
        </w:rPr>
        <w:t>Schuttevaêr</w:t>
      </w:r>
      <w:r>
        <w:t>, 14</w:t>
      </w:r>
      <w:r w:rsidR="001E4B3B">
        <w:t xml:space="preserve"> november </w:t>
      </w:r>
      <w:r>
        <w:t>2023.</w:t>
      </w:r>
    </w:p>
  </w:endnote>
  <w:endnote w:id="84">
    <w:p w14:paraId="2653C8CA" w14:textId="32ED1423" w:rsidR="000D2FB8" w:rsidRDefault="000D2FB8" w:rsidP="003D781C">
      <w:pPr>
        <w:pStyle w:val="EndnoteText"/>
        <w:jc w:val="left"/>
      </w:pPr>
      <w:r>
        <w:rPr>
          <w:rStyle w:val="EndnoteReference"/>
        </w:rPr>
        <w:endnoteRef/>
      </w:r>
      <w:r>
        <w:t xml:space="preserve"> De gehele tekst in paragraaf 8 is ontleend aan:</w:t>
      </w:r>
      <w:r w:rsidRPr="002066B5">
        <w:t xml:space="preserve"> </w:t>
      </w:r>
      <w:r>
        <w:t>Filarski</w:t>
      </w:r>
      <w:r w:rsidRPr="002066B5">
        <w:t>,</w:t>
      </w:r>
      <w:r>
        <w:t xml:space="preserve"> </w:t>
      </w:r>
      <w:r>
        <w:rPr>
          <w:i/>
          <w:iCs/>
        </w:rPr>
        <w:t xml:space="preserve">Tegen de stroom, </w:t>
      </w:r>
      <w:r>
        <w:t xml:space="preserve">159-171, 244-251, 368-371; De Hoog, </w:t>
      </w:r>
      <w:r>
        <w:rPr>
          <w:i/>
          <w:iCs/>
        </w:rPr>
        <w:t>De Nederlandsche binnenscheepvaart</w:t>
      </w:r>
      <w:r>
        <w:t xml:space="preserve">, passim; Verrips, </w:t>
      </w:r>
      <w:r w:rsidRPr="002831DE">
        <w:rPr>
          <w:i/>
        </w:rPr>
        <w:t>Tij verloopt</w:t>
      </w:r>
      <w:r w:rsidRPr="00692457">
        <w:t xml:space="preserve">, 27-146; </w:t>
      </w:r>
      <w:r w:rsidRPr="00692457">
        <w:rPr>
          <w:i/>
          <w:iCs/>
        </w:rPr>
        <w:t>Verslag</w:t>
      </w:r>
      <w:r>
        <w:rPr>
          <w:i/>
          <w:iCs/>
        </w:rPr>
        <w:t xml:space="preserve"> Staatscommissie 1905</w:t>
      </w:r>
      <w:r>
        <w:t>, passim.</w:t>
      </w:r>
    </w:p>
  </w:endnote>
  <w:endnote w:id="85">
    <w:p w14:paraId="3B2E0E49" w14:textId="261492E3" w:rsidR="0023406F" w:rsidRDefault="0023406F">
      <w:pPr>
        <w:pStyle w:val="EndnoteText"/>
      </w:pPr>
      <w:r>
        <w:rPr>
          <w:rStyle w:val="EndnoteReference"/>
        </w:rPr>
        <w:endnoteRef/>
      </w:r>
      <w:r>
        <w:t xml:space="preserve"> De Hoog, </w:t>
      </w:r>
      <w:r>
        <w:rPr>
          <w:i/>
          <w:iCs/>
        </w:rPr>
        <w:t>De Nederlandsche binnenscheepvaart</w:t>
      </w:r>
      <w:r>
        <w:t>, passim.</w:t>
      </w:r>
    </w:p>
  </w:endnote>
  <w:endnote w:id="86">
    <w:p w14:paraId="38F2E760" w14:textId="4E44C9BA" w:rsidR="000D2FB8" w:rsidRPr="000A5559" w:rsidRDefault="000D2FB8" w:rsidP="00190F07">
      <w:pPr>
        <w:pStyle w:val="EndnoteText"/>
        <w:jc w:val="left"/>
      </w:pPr>
      <w:r>
        <w:rPr>
          <w:rStyle w:val="EndnoteReference"/>
        </w:rPr>
        <w:endnoteRef/>
      </w:r>
      <w:r>
        <w:t xml:space="preserve"> De tekst van paragraaf 9 is, voor zover niet anders aangegeven, ontleend aan: Filarski, </w:t>
      </w:r>
      <w:r>
        <w:rPr>
          <w:i/>
          <w:iCs/>
        </w:rPr>
        <w:t>Tegen de stroom</w:t>
      </w:r>
      <w:r>
        <w:t xml:space="preserve">, 286, 287, 345-347; Verrips, </w:t>
      </w:r>
      <w:r w:rsidRPr="002831DE">
        <w:rPr>
          <w:i/>
        </w:rPr>
        <w:t>Tij verloopt</w:t>
      </w:r>
      <w:r>
        <w:t>, 153-249.</w:t>
      </w:r>
    </w:p>
  </w:endnote>
  <w:endnote w:id="87">
    <w:p w14:paraId="10726DE5" w14:textId="2CB15046" w:rsidR="000D2FB8" w:rsidRPr="000A5559" w:rsidRDefault="000D2FB8" w:rsidP="00BB7CBF">
      <w:pPr>
        <w:pStyle w:val="EndnoteText"/>
        <w:jc w:val="left"/>
      </w:pPr>
      <w:r>
        <w:rPr>
          <w:rStyle w:val="EndnoteReference"/>
        </w:rPr>
        <w:endnoteRef/>
      </w:r>
      <w:r>
        <w:t xml:space="preserve"> Filarski, </w:t>
      </w:r>
      <w:r>
        <w:rPr>
          <w:i/>
          <w:iCs/>
        </w:rPr>
        <w:t>Tegen de stroom</w:t>
      </w:r>
      <w:r>
        <w:t xml:space="preserve">, 279-286; Verrips, </w:t>
      </w:r>
      <w:r w:rsidRPr="002831DE">
        <w:rPr>
          <w:i/>
        </w:rPr>
        <w:t>Tij verloopt</w:t>
      </w:r>
      <w:r>
        <w:t>, 154-156.</w:t>
      </w:r>
    </w:p>
  </w:endnote>
  <w:endnote w:id="88">
    <w:p w14:paraId="7C7779AC" w14:textId="7309DDCC" w:rsidR="000D2FB8" w:rsidRPr="00B01778" w:rsidRDefault="000D2FB8" w:rsidP="00BB7CBF">
      <w:pPr>
        <w:pStyle w:val="EndnoteText"/>
        <w:jc w:val="left"/>
      </w:pPr>
      <w:r>
        <w:rPr>
          <w:rStyle w:val="EndnoteReference"/>
        </w:rPr>
        <w:endnoteRef/>
      </w:r>
      <w:r>
        <w:t xml:space="preserve"> </w:t>
      </w:r>
      <w:r>
        <w:rPr>
          <w:i/>
          <w:iCs/>
        </w:rPr>
        <w:t>Nieuwe Rotterdamse Courant</w:t>
      </w:r>
      <w:r>
        <w:t>, 13</w:t>
      </w:r>
      <w:r w:rsidR="00D61B52">
        <w:t xml:space="preserve"> mei </w:t>
      </w:r>
      <w:r>
        <w:t>1980.</w:t>
      </w:r>
    </w:p>
  </w:endnote>
  <w:endnote w:id="89">
    <w:p w14:paraId="61B39296" w14:textId="77777777" w:rsidR="000D2FB8" w:rsidRPr="004378BD" w:rsidRDefault="000D2FB8" w:rsidP="00BB7CBF">
      <w:pPr>
        <w:pStyle w:val="EndnoteText"/>
        <w:jc w:val="left"/>
        <w:rPr>
          <w:b/>
          <w:bCs/>
        </w:rPr>
      </w:pPr>
      <w:r>
        <w:rPr>
          <w:rStyle w:val="EndnoteReference"/>
        </w:rPr>
        <w:endnoteRef/>
      </w:r>
      <w:r>
        <w:t xml:space="preserve"> Filarski, </w:t>
      </w:r>
      <w:r>
        <w:rPr>
          <w:i/>
          <w:iCs/>
        </w:rPr>
        <w:t>Tegen de stroom</w:t>
      </w:r>
      <w:r>
        <w:t xml:space="preserve">, 137-140, </w:t>
      </w:r>
      <w:r w:rsidRPr="00692457">
        <w:t>passim</w:t>
      </w:r>
      <w:r>
        <w:t xml:space="preserve">; Kamphuis, </w:t>
      </w:r>
      <w:r>
        <w:rPr>
          <w:i/>
          <w:iCs/>
        </w:rPr>
        <w:t>Kanalenwet</w:t>
      </w:r>
      <w:r>
        <w:t xml:space="preserve">, </w:t>
      </w:r>
      <w:r w:rsidRPr="004378BD">
        <w:t>passim.</w:t>
      </w:r>
    </w:p>
  </w:endnote>
  <w:endnote w:id="90">
    <w:p w14:paraId="1547F45E" w14:textId="15584B70" w:rsidR="000D2FB8" w:rsidRPr="00060389" w:rsidRDefault="000D2FB8" w:rsidP="00BB7CBF">
      <w:pPr>
        <w:pStyle w:val="EndnoteText"/>
        <w:jc w:val="left"/>
      </w:pPr>
      <w:r w:rsidRPr="004378BD">
        <w:rPr>
          <w:rStyle w:val="EndnoteReference"/>
        </w:rPr>
        <w:endnoteRef/>
      </w:r>
      <w:r w:rsidRPr="004378BD">
        <w:t xml:space="preserve"> Filarski, </w:t>
      </w:r>
      <w:r w:rsidRPr="004378BD">
        <w:rPr>
          <w:i/>
          <w:iCs/>
        </w:rPr>
        <w:t>Tegen de stroom</w:t>
      </w:r>
      <w:r w:rsidRPr="004378BD">
        <w:t xml:space="preserve">, 137-140; Greup, </w:t>
      </w:r>
      <w:r w:rsidRPr="004378BD">
        <w:rPr>
          <w:i/>
          <w:iCs/>
        </w:rPr>
        <w:t>Rijnverbinding</w:t>
      </w:r>
      <w:r w:rsidRPr="004378BD">
        <w:t>, 78-102; Wikipedia</w:t>
      </w:r>
      <w:r w:rsidR="00D61B52">
        <w:t>,</w:t>
      </w:r>
      <w:r w:rsidRPr="004378BD">
        <w:t xml:space="preserve"> https://nl.wikipedia.org/wiki/ naam vaarweg </w:t>
      </w:r>
      <w:r w:rsidR="00692457" w:rsidRPr="004378BD">
        <w:t>(</w:t>
      </w:r>
      <w:r w:rsidRPr="004378BD">
        <w:t>21</w:t>
      </w:r>
      <w:r w:rsidR="0063686E">
        <w:t xml:space="preserve"> mei </w:t>
      </w:r>
      <w:r w:rsidRPr="004378BD">
        <w:t>2021</w:t>
      </w:r>
      <w:r w:rsidR="00692457" w:rsidRPr="004378BD">
        <w:t>)</w:t>
      </w:r>
      <w:r w:rsidRPr="004378BD">
        <w:t>.</w:t>
      </w:r>
      <w:r>
        <w:t xml:space="preserve"> </w:t>
      </w:r>
    </w:p>
  </w:endnote>
  <w:endnote w:id="91">
    <w:p w14:paraId="217632FC" w14:textId="45B97386" w:rsidR="000D2FB8" w:rsidRDefault="000D2FB8" w:rsidP="00BB7CBF">
      <w:pPr>
        <w:pStyle w:val="EndnoteText"/>
        <w:jc w:val="left"/>
      </w:pPr>
      <w:r>
        <w:rPr>
          <w:rStyle w:val="EndnoteReference"/>
        </w:rPr>
        <w:endnoteRef/>
      </w:r>
      <w:r>
        <w:t xml:space="preserve"> Filarski, </w:t>
      </w:r>
      <w:r>
        <w:rPr>
          <w:i/>
          <w:iCs/>
        </w:rPr>
        <w:t>Tegen de stroom</w:t>
      </w:r>
      <w:r>
        <w:t xml:space="preserve">, 224, 226; </w:t>
      </w:r>
      <w:r w:rsidRPr="00597852">
        <w:rPr>
          <w:bCs/>
        </w:rPr>
        <w:t>Greup,</w:t>
      </w:r>
      <w:r>
        <w:rPr>
          <w:bCs/>
          <w:i/>
          <w:iCs/>
        </w:rPr>
        <w:t xml:space="preserve"> Rijnverbinding</w:t>
      </w:r>
      <w:r>
        <w:rPr>
          <w:bCs/>
        </w:rPr>
        <w:t>,</w:t>
      </w:r>
      <w:r w:rsidRPr="00597852">
        <w:rPr>
          <w:bCs/>
        </w:rPr>
        <w:t xml:space="preserve"> 116; Nusteling,</w:t>
      </w:r>
      <w:r>
        <w:rPr>
          <w:bCs/>
        </w:rPr>
        <w:t xml:space="preserve"> </w:t>
      </w:r>
      <w:r>
        <w:rPr>
          <w:bCs/>
          <w:i/>
          <w:iCs/>
        </w:rPr>
        <w:t>Rijnvaart</w:t>
      </w:r>
      <w:r>
        <w:rPr>
          <w:bCs/>
        </w:rPr>
        <w:t>,</w:t>
      </w:r>
      <w:r w:rsidRPr="00597852">
        <w:rPr>
          <w:bCs/>
        </w:rPr>
        <w:t xml:space="preserve"> 243,</w:t>
      </w:r>
      <w:r>
        <w:rPr>
          <w:bCs/>
        </w:rPr>
        <w:t xml:space="preserve"> </w:t>
      </w:r>
      <w:r w:rsidRPr="00597852">
        <w:rPr>
          <w:bCs/>
        </w:rPr>
        <w:t>244</w:t>
      </w:r>
      <w:r>
        <w:rPr>
          <w:bCs/>
        </w:rPr>
        <w:t>.</w:t>
      </w:r>
    </w:p>
  </w:endnote>
  <w:endnote w:id="92">
    <w:p w14:paraId="4E8EA152" w14:textId="019FCCDF" w:rsidR="000D2FB8" w:rsidRDefault="000D2FB8" w:rsidP="00BB7CBF">
      <w:pPr>
        <w:pStyle w:val="EndnoteText"/>
        <w:jc w:val="left"/>
      </w:pPr>
      <w:r>
        <w:rPr>
          <w:rStyle w:val="EndnoteReference"/>
        </w:rPr>
        <w:endnoteRef/>
      </w:r>
      <w:r>
        <w:t xml:space="preserve"> Filarski, </w:t>
      </w:r>
      <w:r>
        <w:rPr>
          <w:i/>
          <w:iCs/>
        </w:rPr>
        <w:t>Tegen de stroom</w:t>
      </w:r>
      <w:r>
        <w:t xml:space="preserve">, 225-227; Greup, </w:t>
      </w:r>
      <w:r>
        <w:rPr>
          <w:i/>
          <w:iCs/>
        </w:rPr>
        <w:t>Rijnverbinding</w:t>
      </w:r>
      <w:r>
        <w:t>, 116-138.</w:t>
      </w:r>
    </w:p>
  </w:endnote>
  <w:endnote w:id="93">
    <w:p w14:paraId="56A4D8A9" w14:textId="6EA8ACEF" w:rsidR="000D2FB8" w:rsidRDefault="000D2FB8" w:rsidP="00BB7CBF">
      <w:pPr>
        <w:pStyle w:val="EndnoteText"/>
        <w:jc w:val="left"/>
      </w:pPr>
      <w:r>
        <w:rPr>
          <w:rStyle w:val="EndnoteReference"/>
        </w:rPr>
        <w:endnoteRef/>
      </w:r>
      <w:r>
        <w:t xml:space="preserve"> </w:t>
      </w:r>
      <w:r>
        <w:rPr>
          <w:i/>
          <w:iCs/>
        </w:rPr>
        <w:t>Beschrijving vaarwegen</w:t>
      </w:r>
      <w:r>
        <w:t>, 486, 644;</w:t>
      </w:r>
      <w:r>
        <w:rPr>
          <w:i/>
          <w:iCs/>
        </w:rPr>
        <w:t xml:space="preserve"> </w:t>
      </w:r>
      <w:r>
        <w:t xml:space="preserve">Filarski, </w:t>
      </w:r>
      <w:r>
        <w:rPr>
          <w:i/>
          <w:iCs/>
        </w:rPr>
        <w:t>Tegen de stroom</w:t>
      </w:r>
      <w:r>
        <w:t xml:space="preserve">, 225, 228; Van der Kley, </w:t>
      </w:r>
      <w:r>
        <w:rPr>
          <w:i/>
          <w:iCs/>
        </w:rPr>
        <w:t>Vaarwegen Nederland</w:t>
      </w:r>
      <w:r>
        <w:t xml:space="preserve">, 194-197, 202, 203; Schlingemann, </w:t>
      </w:r>
      <w:r>
        <w:rPr>
          <w:i/>
          <w:iCs/>
        </w:rPr>
        <w:t>Verkeer te water</w:t>
      </w:r>
      <w:r>
        <w:t>, 387, 417, 418.</w:t>
      </w:r>
    </w:p>
  </w:endnote>
  <w:endnote w:id="94">
    <w:p w14:paraId="52F226CC" w14:textId="391AF9AF" w:rsidR="000D2FB8" w:rsidRPr="00633FBC" w:rsidRDefault="000D2FB8" w:rsidP="00BB7CBF">
      <w:pPr>
        <w:pStyle w:val="EndnoteText"/>
        <w:jc w:val="left"/>
      </w:pPr>
      <w:r>
        <w:rPr>
          <w:rStyle w:val="EndnoteReference"/>
        </w:rPr>
        <w:endnoteRef/>
      </w:r>
      <w:r>
        <w:t xml:space="preserve"> Filarski, </w:t>
      </w:r>
      <w:r>
        <w:rPr>
          <w:i/>
          <w:iCs/>
        </w:rPr>
        <w:t>Tegen de stroom</w:t>
      </w:r>
      <w:r>
        <w:t xml:space="preserve">, 232; Van Velzen, </w:t>
      </w:r>
      <w:r>
        <w:rPr>
          <w:i/>
          <w:iCs/>
        </w:rPr>
        <w:t>Provinciale vaarwegen</w:t>
      </w:r>
      <w:r>
        <w:t xml:space="preserve"> </w:t>
      </w:r>
      <w:r>
        <w:rPr>
          <w:i/>
          <w:iCs/>
        </w:rPr>
        <w:t>Zuid-Holland</w:t>
      </w:r>
      <w:r>
        <w:t>, 61-72.</w:t>
      </w:r>
    </w:p>
  </w:endnote>
  <w:endnote w:id="95">
    <w:p w14:paraId="05E0DC77" w14:textId="136BB198" w:rsidR="000D2FB8" w:rsidRPr="00B85208" w:rsidRDefault="000D2FB8" w:rsidP="00BB7CBF">
      <w:pPr>
        <w:pStyle w:val="EndnoteText"/>
        <w:jc w:val="left"/>
      </w:pPr>
      <w:r>
        <w:rPr>
          <w:rStyle w:val="EndnoteReference"/>
        </w:rPr>
        <w:endnoteRef/>
      </w:r>
      <w:r>
        <w:t xml:space="preserve"> Filarski, </w:t>
      </w:r>
      <w:r>
        <w:rPr>
          <w:i/>
          <w:iCs/>
        </w:rPr>
        <w:t>Tegen de stroom</w:t>
      </w:r>
      <w:r>
        <w:t xml:space="preserve">, 229, 230; Smolders, </w:t>
      </w:r>
      <w:r>
        <w:rPr>
          <w:i/>
          <w:iCs/>
        </w:rPr>
        <w:t>Overijsselse kanalen</w:t>
      </w:r>
      <w:r>
        <w:t>, 39-46.</w:t>
      </w:r>
    </w:p>
  </w:endnote>
  <w:endnote w:id="96">
    <w:p w14:paraId="27C2C7C9" w14:textId="49486093" w:rsidR="000D2FB8" w:rsidRPr="008E5DA8" w:rsidRDefault="000D2FB8" w:rsidP="0005704F">
      <w:pPr>
        <w:pStyle w:val="EndnoteText"/>
        <w:jc w:val="left"/>
      </w:pPr>
      <w:r>
        <w:rPr>
          <w:rStyle w:val="EndnoteReference"/>
        </w:rPr>
        <w:endnoteRef/>
      </w:r>
      <w:r>
        <w:t xml:space="preserve"> Deze subparagraaf is gebaseerd op: Filarski, </w:t>
      </w:r>
      <w:r>
        <w:rPr>
          <w:i/>
          <w:iCs/>
        </w:rPr>
        <w:t>Tegen de stroom</w:t>
      </w:r>
      <w:r>
        <w:t>, 225.</w:t>
      </w:r>
    </w:p>
  </w:endnote>
  <w:endnote w:id="97">
    <w:p w14:paraId="409DEDC3" w14:textId="26E6E04F" w:rsidR="000D2FB8" w:rsidRDefault="000D2FB8" w:rsidP="00DE5B81">
      <w:pPr>
        <w:pStyle w:val="EndnoteText"/>
        <w:jc w:val="left"/>
      </w:pPr>
      <w:r>
        <w:rPr>
          <w:rStyle w:val="EndnoteReference"/>
        </w:rPr>
        <w:endnoteRef/>
      </w:r>
      <w:r>
        <w:t xml:space="preserve"> Deze subparagraaf is ontleend aan: Greup, </w:t>
      </w:r>
      <w:r>
        <w:rPr>
          <w:i/>
          <w:iCs/>
        </w:rPr>
        <w:t>Rijnvaart</w:t>
      </w:r>
      <w:r>
        <w:t xml:space="preserve">, passim. </w:t>
      </w:r>
    </w:p>
  </w:endnote>
  <w:endnote w:id="98">
    <w:p w14:paraId="0F23A5BF" w14:textId="1FD30F30" w:rsidR="000D2FB8" w:rsidRDefault="000D2FB8" w:rsidP="00DB2BCE">
      <w:pPr>
        <w:pStyle w:val="EndnoteText"/>
      </w:pPr>
      <w:r>
        <w:rPr>
          <w:rStyle w:val="EndnoteReference"/>
        </w:rPr>
        <w:endnoteRef/>
      </w:r>
      <w:r>
        <w:t xml:space="preserve"> </w:t>
      </w:r>
      <w:r w:rsidRPr="00692457">
        <w:t xml:space="preserve">Bron bij kaart 2: Greup, </w:t>
      </w:r>
      <w:r w:rsidRPr="00692457">
        <w:rPr>
          <w:i/>
        </w:rPr>
        <w:t>Rijnverbinding</w:t>
      </w:r>
      <w:r w:rsidRPr="00692457">
        <w:t>, 136.</w:t>
      </w:r>
    </w:p>
  </w:endnote>
  <w:endnote w:id="99">
    <w:p w14:paraId="7F7FE6D1" w14:textId="0694AD62" w:rsidR="000D2FB8" w:rsidRDefault="000D2FB8" w:rsidP="00BB7CBF">
      <w:pPr>
        <w:pStyle w:val="EndnoteText"/>
        <w:jc w:val="left"/>
      </w:pPr>
      <w:r>
        <w:rPr>
          <w:rStyle w:val="EndnoteReference"/>
        </w:rPr>
        <w:endnoteRef/>
      </w:r>
      <w:r>
        <w:t xml:space="preserve"> Filarski, </w:t>
      </w:r>
      <w:r>
        <w:rPr>
          <w:i/>
          <w:iCs/>
        </w:rPr>
        <w:t>Tegen de stroom</w:t>
      </w:r>
      <w:r>
        <w:t>, 228-232; Heit</w:t>
      </w:r>
      <w:r w:rsidR="002016C8">
        <w:t>l</w:t>
      </w:r>
      <w:r>
        <w:t xml:space="preserve">ing en Lensen, </w:t>
      </w:r>
      <w:r>
        <w:rPr>
          <w:i/>
          <w:iCs/>
        </w:rPr>
        <w:t>Twenthekanalen</w:t>
      </w:r>
      <w:r>
        <w:t xml:space="preserve">, passim; Smolders, </w:t>
      </w:r>
      <w:r>
        <w:rPr>
          <w:i/>
          <w:iCs/>
        </w:rPr>
        <w:t>Overijsselse kanalen</w:t>
      </w:r>
      <w:r>
        <w:t>, 39-46.</w:t>
      </w:r>
    </w:p>
  </w:endnote>
  <w:endnote w:id="100">
    <w:p w14:paraId="78FB1631" w14:textId="42E70EC3" w:rsidR="000D2FB8" w:rsidRPr="00AF46FD" w:rsidRDefault="000D2FB8" w:rsidP="00BB7CBF">
      <w:pPr>
        <w:pStyle w:val="EndnoteText"/>
        <w:spacing w:line="276" w:lineRule="auto"/>
        <w:jc w:val="left"/>
        <w:rPr>
          <w:bCs/>
        </w:rPr>
      </w:pPr>
      <w:r w:rsidRPr="00AF46FD">
        <w:rPr>
          <w:rStyle w:val="EndnoteReference"/>
          <w:bCs/>
        </w:rPr>
        <w:endnoteRef/>
      </w:r>
      <w:r w:rsidRPr="00AF46FD">
        <w:rPr>
          <w:bCs/>
        </w:rPr>
        <w:t xml:space="preserve"> </w:t>
      </w:r>
      <w:r>
        <w:rPr>
          <w:bCs/>
        </w:rPr>
        <w:t xml:space="preserve">Filarski, </w:t>
      </w:r>
      <w:r>
        <w:rPr>
          <w:bCs/>
          <w:i/>
          <w:iCs/>
        </w:rPr>
        <w:t>Tegen de stroom</w:t>
      </w:r>
      <w:r>
        <w:rPr>
          <w:bCs/>
        </w:rPr>
        <w:t xml:space="preserve">, 232, 233; Van Velzen, </w:t>
      </w:r>
      <w:r>
        <w:rPr>
          <w:bCs/>
          <w:i/>
          <w:iCs/>
        </w:rPr>
        <w:t>Provinciale vaarwegen Zuid-Holland</w:t>
      </w:r>
      <w:r>
        <w:rPr>
          <w:bCs/>
        </w:rPr>
        <w:t>, 69-72.</w:t>
      </w:r>
    </w:p>
  </w:endnote>
  <w:endnote w:id="101">
    <w:p w14:paraId="310F9E0C" w14:textId="00E7AE3C" w:rsidR="000D2FB8" w:rsidRDefault="000D2FB8" w:rsidP="00BB7CBF">
      <w:pPr>
        <w:pStyle w:val="EndnoteText"/>
        <w:jc w:val="left"/>
      </w:pPr>
      <w:r>
        <w:rPr>
          <w:rStyle w:val="EndnoteReference"/>
        </w:rPr>
        <w:endnoteRef/>
      </w:r>
      <w:r>
        <w:t xml:space="preserve"> Coert, </w:t>
      </w:r>
      <w:r>
        <w:rPr>
          <w:i/>
          <w:iCs/>
        </w:rPr>
        <w:t>Natte waterstaat Drenthe</w:t>
      </w:r>
      <w:r>
        <w:t xml:space="preserve">, 271-273; Filarski, </w:t>
      </w:r>
      <w:r>
        <w:rPr>
          <w:i/>
          <w:iCs/>
        </w:rPr>
        <w:t>Tegen de stroom</w:t>
      </w:r>
      <w:r>
        <w:t xml:space="preserve">, 233; Lambooy, </w:t>
      </w:r>
      <w:r>
        <w:rPr>
          <w:i/>
          <w:iCs/>
        </w:rPr>
        <w:t>Kanalisatie West-Friesland</w:t>
      </w:r>
      <w:r>
        <w:t>, passim.</w:t>
      </w:r>
    </w:p>
  </w:endnote>
  <w:endnote w:id="102">
    <w:p w14:paraId="0F4EA404" w14:textId="57FD810C" w:rsidR="000D2FB8" w:rsidRDefault="000D2FB8" w:rsidP="00737BDD">
      <w:pPr>
        <w:pStyle w:val="EndnoteText"/>
        <w:jc w:val="left"/>
      </w:pPr>
      <w:r>
        <w:rPr>
          <w:rStyle w:val="EndnoteReference"/>
        </w:rPr>
        <w:endnoteRef/>
      </w:r>
      <w:r>
        <w:t xml:space="preserve"> Deze subparagraaf is gebaseerd op: Filarski, </w:t>
      </w:r>
      <w:r>
        <w:rPr>
          <w:i/>
          <w:iCs/>
        </w:rPr>
        <w:t>Tegen de stroom</w:t>
      </w:r>
      <w:r>
        <w:t xml:space="preserve">, 216-220. </w:t>
      </w:r>
    </w:p>
  </w:endnote>
  <w:endnote w:id="103">
    <w:p w14:paraId="25E4F61F" w14:textId="77777777" w:rsidR="000D2FB8" w:rsidRDefault="000D2FB8" w:rsidP="00C9636B">
      <w:pPr>
        <w:pStyle w:val="EndnoteText"/>
        <w:jc w:val="left"/>
      </w:pPr>
      <w:r>
        <w:rPr>
          <w:rStyle w:val="EndnoteReference"/>
        </w:rPr>
        <w:endnoteRef/>
      </w:r>
      <w:r>
        <w:t xml:space="preserve"> Filarski, </w:t>
      </w:r>
      <w:r>
        <w:rPr>
          <w:i/>
          <w:iCs/>
        </w:rPr>
        <w:t>Tegen de stroom</w:t>
      </w:r>
      <w:r>
        <w:t>, 219.</w:t>
      </w:r>
      <w:r>
        <w:rPr>
          <w:i/>
          <w:iCs/>
        </w:rPr>
        <w:t xml:space="preserve"> </w:t>
      </w:r>
      <w:r>
        <w:t xml:space="preserve"> </w:t>
      </w:r>
    </w:p>
  </w:endnote>
  <w:endnote w:id="104">
    <w:p w14:paraId="639D7626" w14:textId="66A0547B" w:rsidR="000D2FB8" w:rsidRPr="00ED6413" w:rsidRDefault="000D2FB8" w:rsidP="0054456E">
      <w:pPr>
        <w:pStyle w:val="EndnoteText"/>
        <w:jc w:val="left"/>
      </w:pPr>
      <w:r>
        <w:rPr>
          <w:rStyle w:val="EndnoteReference"/>
        </w:rPr>
        <w:endnoteRef/>
      </w:r>
      <w:r>
        <w:t xml:space="preserve"> Deze subparagraaf is gebaseerd op: Filarski, </w:t>
      </w:r>
      <w:r>
        <w:rPr>
          <w:i/>
          <w:iCs/>
        </w:rPr>
        <w:t>Tegen de stroom</w:t>
      </w:r>
      <w:r>
        <w:t>, 233, 234.</w:t>
      </w:r>
    </w:p>
  </w:endnote>
  <w:endnote w:id="105">
    <w:p w14:paraId="11F2D2D8" w14:textId="2D874002" w:rsidR="000D2FB8" w:rsidRDefault="000D2FB8" w:rsidP="00BB7CBF">
      <w:pPr>
        <w:pStyle w:val="EndnoteText"/>
        <w:jc w:val="left"/>
      </w:pPr>
      <w:r>
        <w:rPr>
          <w:rStyle w:val="EndnoteReference"/>
        </w:rPr>
        <w:endnoteRef/>
      </w:r>
      <w:r>
        <w:t xml:space="preserve"> </w:t>
      </w:r>
      <w:r>
        <w:rPr>
          <w:bCs/>
          <w:iCs/>
        </w:rPr>
        <w:t xml:space="preserve">Filarski, </w:t>
      </w:r>
      <w:r>
        <w:rPr>
          <w:bCs/>
          <w:i/>
        </w:rPr>
        <w:t>Tegen de stroom</w:t>
      </w:r>
      <w:r>
        <w:rPr>
          <w:bCs/>
          <w:iCs/>
        </w:rPr>
        <w:t>, 234.</w:t>
      </w:r>
    </w:p>
  </w:endnote>
  <w:endnote w:id="106">
    <w:p w14:paraId="07DECEC2" w14:textId="77777777" w:rsidR="000D2FB8" w:rsidRPr="00CA5103" w:rsidRDefault="000D2FB8" w:rsidP="005A6818">
      <w:pPr>
        <w:pStyle w:val="EndnoteText"/>
        <w:jc w:val="left"/>
      </w:pPr>
      <w:r>
        <w:rPr>
          <w:rStyle w:val="EndnoteReference"/>
        </w:rPr>
        <w:endnoteRef/>
      </w:r>
      <w:r>
        <w:t xml:space="preserve"> Zie voor verdere informatie: Filarski, </w:t>
      </w:r>
      <w:r>
        <w:rPr>
          <w:i/>
          <w:iCs/>
        </w:rPr>
        <w:t>Tegen de stroom</w:t>
      </w:r>
      <w:r>
        <w:t xml:space="preserve">, 234-237; Gerretson, </w:t>
      </w:r>
      <w:r w:rsidRPr="006F578D">
        <w:rPr>
          <w:i/>
          <w:iCs/>
        </w:rPr>
        <w:t>Tusschenwateren,</w:t>
      </w:r>
      <w:r>
        <w:t xml:space="preserve"> passim; Schuursma, </w:t>
      </w:r>
      <w:r>
        <w:rPr>
          <w:i/>
          <w:iCs/>
        </w:rPr>
        <w:t>Tractaat</w:t>
      </w:r>
      <w:r>
        <w:t>,</w:t>
      </w:r>
      <w:r>
        <w:rPr>
          <w:i/>
          <w:iCs/>
        </w:rPr>
        <w:t xml:space="preserve"> </w:t>
      </w:r>
      <w:r>
        <w:t xml:space="preserve">passim; </w:t>
      </w:r>
      <w:r w:rsidRPr="00CA5103">
        <w:t xml:space="preserve">Smit, </w:t>
      </w:r>
      <w:r w:rsidRPr="00CA5103">
        <w:rPr>
          <w:i/>
          <w:iCs/>
        </w:rPr>
        <w:t>Scheldekwestie</w:t>
      </w:r>
      <w:r w:rsidRPr="00CA5103">
        <w:t xml:space="preserve">, passim. </w:t>
      </w:r>
    </w:p>
  </w:endnote>
  <w:endnote w:id="107">
    <w:p w14:paraId="3972FB9E" w14:textId="7EED5AF4" w:rsidR="000D2FB8" w:rsidRPr="00CA5103" w:rsidRDefault="000D2FB8" w:rsidP="00BB7CBF">
      <w:pPr>
        <w:pStyle w:val="EndnoteText"/>
        <w:jc w:val="left"/>
      </w:pPr>
      <w:r w:rsidRPr="00CA5103">
        <w:rPr>
          <w:rStyle w:val="EndnoteReference"/>
        </w:rPr>
        <w:endnoteRef/>
      </w:r>
      <w:r w:rsidRPr="00CA5103">
        <w:t xml:space="preserve"> Filarski, </w:t>
      </w:r>
      <w:r w:rsidRPr="00CA5103">
        <w:rPr>
          <w:i/>
          <w:iCs/>
        </w:rPr>
        <w:t>Tegen de stroom</w:t>
      </w:r>
      <w:r w:rsidRPr="00CA5103">
        <w:t xml:space="preserve">, 233; </w:t>
      </w:r>
      <w:r w:rsidRPr="00CA5103">
        <w:rPr>
          <w:i/>
          <w:iCs/>
        </w:rPr>
        <w:t>Schuttevaêr</w:t>
      </w:r>
      <w:r w:rsidRPr="00CA5103">
        <w:t>, 6</w:t>
      </w:r>
      <w:r w:rsidR="005C58AC">
        <w:t xml:space="preserve"> augustus </w:t>
      </w:r>
      <w:r w:rsidRPr="00CA5103">
        <w:t>1927.</w:t>
      </w:r>
    </w:p>
  </w:endnote>
  <w:endnote w:id="108">
    <w:p w14:paraId="0B2BA828" w14:textId="77777777" w:rsidR="000D2FB8" w:rsidRPr="00CA5103" w:rsidRDefault="000D2FB8" w:rsidP="00BB7CBF">
      <w:pPr>
        <w:pStyle w:val="EndnoteText"/>
        <w:jc w:val="left"/>
      </w:pPr>
      <w:r w:rsidRPr="00CA5103">
        <w:rPr>
          <w:rStyle w:val="EndnoteReference"/>
        </w:rPr>
        <w:endnoteRef/>
      </w:r>
      <w:r w:rsidRPr="00CA5103">
        <w:t xml:space="preserve"> Filarski, </w:t>
      </w:r>
      <w:r w:rsidRPr="00CA5103">
        <w:rPr>
          <w:i/>
          <w:iCs/>
        </w:rPr>
        <w:t>Tegen de stroom</w:t>
      </w:r>
      <w:r w:rsidRPr="00CA5103">
        <w:t>, 220.</w:t>
      </w:r>
    </w:p>
  </w:endnote>
  <w:endnote w:id="109">
    <w:p w14:paraId="26002FF9" w14:textId="6A33DB80" w:rsidR="000D2FB8" w:rsidRPr="00CA5103" w:rsidRDefault="000D2FB8" w:rsidP="005367F9">
      <w:pPr>
        <w:pStyle w:val="EndnoteText"/>
        <w:jc w:val="left"/>
      </w:pPr>
      <w:r w:rsidRPr="00CA5103">
        <w:rPr>
          <w:rStyle w:val="EndnoteReference"/>
        </w:rPr>
        <w:endnoteRef/>
      </w:r>
      <w:r w:rsidRPr="00CA5103">
        <w:t xml:space="preserve"> Deze subparagraaf is gebaseerd op</w:t>
      </w:r>
      <w:r w:rsidR="006D0E37">
        <w:t>:</w:t>
      </w:r>
      <w:r w:rsidRPr="00CA5103">
        <w:t xml:space="preserve"> Filarski, </w:t>
      </w:r>
      <w:r w:rsidRPr="00CA5103">
        <w:rPr>
          <w:i/>
          <w:iCs/>
        </w:rPr>
        <w:t>Tegen de stroom</w:t>
      </w:r>
      <w:r w:rsidRPr="00CA5103">
        <w:t>, 252, 253.</w:t>
      </w:r>
    </w:p>
  </w:endnote>
  <w:endnote w:id="110">
    <w:p w14:paraId="7D71D5D1" w14:textId="08F8F785" w:rsidR="000D2FB8" w:rsidRPr="00CA5103" w:rsidRDefault="000D2FB8" w:rsidP="00BB7CBF">
      <w:pPr>
        <w:pStyle w:val="EndnoteText"/>
        <w:jc w:val="left"/>
      </w:pPr>
      <w:r w:rsidRPr="00CA5103">
        <w:rPr>
          <w:rStyle w:val="EndnoteReference"/>
        </w:rPr>
        <w:endnoteRef/>
      </w:r>
      <w:r w:rsidRPr="00CA5103">
        <w:t xml:space="preserve"> </w:t>
      </w:r>
      <w:r w:rsidRPr="00CA5103">
        <w:rPr>
          <w:bCs/>
        </w:rPr>
        <w:t>Filarski,</w:t>
      </w:r>
      <w:r w:rsidRPr="00CA5103">
        <w:t xml:space="preserve"> </w:t>
      </w:r>
      <w:r w:rsidRPr="00CA5103">
        <w:rPr>
          <w:i/>
          <w:iCs/>
        </w:rPr>
        <w:t>Tegen de stroom</w:t>
      </w:r>
      <w:r w:rsidRPr="00CA5103">
        <w:t xml:space="preserve">, 326; </w:t>
      </w:r>
      <w:r w:rsidR="00244495" w:rsidRPr="00244495">
        <w:rPr>
          <w:i/>
          <w:iCs/>
        </w:rPr>
        <w:t>De</w:t>
      </w:r>
      <w:r w:rsidR="00244495">
        <w:t xml:space="preserve"> </w:t>
      </w:r>
      <w:r w:rsidRPr="00CA5103">
        <w:rPr>
          <w:i/>
          <w:iCs/>
        </w:rPr>
        <w:t>Maasbode</w:t>
      </w:r>
      <w:r w:rsidRPr="00CA5103">
        <w:t>, 26</w:t>
      </w:r>
      <w:r w:rsidR="00244495">
        <w:t xml:space="preserve"> juli </w:t>
      </w:r>
      <w:r w:rsidRPr="00CA5103">
        <w:t xml:space="preserve">1945; </w:t>
      </w:r>
      <w:r w:rsidRPr="00CA5103">
        <w:rPr>
          <w:i/>
          <w:iCs/>
        </w:rPr>
        <w:t>Nederlandsche Transport Courant</w:t>
      </w:r>
      <w:r w:rsidRPr="00CA5103">
        <w:t xml:space="preserve"> </w:t>
      </w:r>
      <w:r w:rsidR="00BA6061">
        <w:t>(</w:t>
      </w:r>
      <w:r w:rsidRPr="00CA5103">
        <w:t>1945</w:t>
      </w:r>
      <w:r w:rsidR="00BA6061">
        <w:t xml:space="preserve">) </w:t>
      </w:r>
      <w:r w:rsidRPr="00CA5103">
        <w:t>passim.</w:t>
      </w:r>
    </w:p>
  </w:endnote>
  <w:endnote w:id="111">
    <w:p w14:paraId="1324A0B3" w14:textId="322FF167" w:rsidR="000D2FB8" w:rsidRPr="00CA5103" w:rsidRDefault="000D2FB8" w:rsidP="00BB7CBF">
      <w:pPr>
        <w:pStyle w:val="EndnoteText"/>
        <w:jc w:val="left"/>
      </w:pPr>
      <w:r w:rsidRPr="00CA5103">
        <w:rPr>
          <w:rStyle w:val="EndnoteReference"/>
        </w:rPr>
        <w:endnoteRef/>
      </w:r>
      <w:r w:rsidRPr="00CA5103">
        <w:t xml:space="preserve"> Filarski, </w:t>
      </w:r>
      <w:r w:rsidRPr="00CA5103">
        <w:rPr>
          <w:i/>
          <w:iCs/>
        </w:rPr>
        <w:t>Tegen de stroom</w:t>
      </w:r>
      <w:r w:rsidRPr="00CA5103">
        <w:t xml:space="preserve">, passim; </w:t>
      </w:r>
      <w:r w:rsidRPr="00CA5103">
        <w:rPr>
          <w:bCs/>
          <w:i/>
        </w:rPr>
        <w:t>Tweede Struktuurschema Verkeer en Vervoer</w:t>
      </w:r>
      <w:r w:rsidR="00A81670">
        <w:rPr>
          <w:bCs/>
          <w:i/>
        </w:rPr>
        <w:t xml:space="preserve"> (</w:t>
      </w:r>
      <w:r w:rsidR="00A81670" w:rsidRPr="00A81670">
        <w:rPr>
          <w:bCs/>
          <w:iCs/>
        </w:rPr>
        <w:t>1988-1991</w:t>
      </w:r>
      <w:r w:rsidR="00A81670">
        <w:rPr>
          <w:bCs/>
          <w:i/>
        </w:rPr>
        <w:t xml:space="preserve">) </w:t>
      </w:r>
      <w:r w:rsidRPr="00CA5103">
        <w:rPr>
          <w:bCs/>
        </w:rPr>
        <w:t>16, 17, 21, 41-47, 67, 215.</w:t>
      </w:r>
    </w:p>
  </w:endnote>
  <w:endnote w:id="112">
    <w:p w14:paraId="6739452F" w14:textId="0509945A" w:rsidR="000D2FB8" w:rsidRPr="00CA5103" w:rsidRDefault="000D2FB8" w:rsidP="00BB7CBF">
      <w:pPr>
        <w:pStyle w:val="EndnoteText"/>
        <w:jc w:val="left"/>
      </w:pPr>
      <w:r w:rsidRPr="00CA5103">
        <w:rPr>
          <w:rStyle w:val="EndnoteReference"/>
        </w:rPr>
        <w:endnoteRef/>
      </w:r>
      <w:r w:rsidRPr="00CA5103">
        <w:t xml:space="preserve"> Filarski, </w:t>
      </w:r>
      <w:r w:rsidRPr="00CA5103">
        <w:rPr>
          <w:i/>
          <w:iCs/>
        </w:rPr>
        <w:t>Tegen de stroom</w:t>
      </w:r>
      <w:r w:rsidRPr="00CA5103">
        <w:t xml:space="preserve">, 326-329; Filarski, </w:t>
      </w:r>
      <w:r w:rsidR="006F5B8D">
        <w:t>‘</w:t>
      </w:r>
      <w:r w:rsidRPr="006F5B8D">
        <w:t>Nederlandse binnenscheepvaart</w:t>
      </w:r>
      <w:r w:rsidR="006F5B8D">
        <w:t>’</w:t>
      </w:r>
      <w:r w:rsidRPr="00CA5103">
        <w:t>, 377, 378.</w:t>
      </w:r>
    </w:p>
  </w:endnote>
  <w:endnote w:id="113">
    <w:p w14:paraId="34EA4FA3" w14:textId="4F4ED5F2" w:rsidR="000D2FB8" w:rsidRDefault="000D2FB8" w:rsidP="00BB7CBF">
      <w:pPr>
        <w:pStyle w:val="EndnoteText"/>
        <w:jc w:val="left"/>
      </w:pPr>
      <w:r w:rsidRPr="00CA5103">
        <w:rPr>
          <w:rStyle w:val="EndnoteReference"/>
        </w:rPr>
        <w:endnoteRef/>
      </w:r>
      <w:r w:rsidRPr="00CA5103">
        <w:t xml:space="preserve"> Filarski, </w:t>
      </w:r>
      <w:r w:rsidRPr="00CA5103">
        <w:rPr>
          <w:i/>
          <w:iCs/>
        </w:rPr>
        <w:t>Tegen de stroom</w:t>
      </w:r>
      <w:r w:rsidRPr="00CA5103">
        <w:t>, 326; Van Heezik</w:t>
      </w:r>
      <w:r>
        <w:t xml:space="preserve">, </w:t>
      </w:r>
      <w:r w:rsidRPr="00470CF2">
        <w:rPr>
          <w:bCs/>
          <w:i/>
        </w:rPr>
        <w:t>Strijd om de rivieren</w:t>
      </w:r>
      <w:r>
        <w:rPr>
          <w:bCs/>
          <w:iCs/>
        </w:rPr>
        <w:t>,</w:t>
      </w:r>
      <w:r>
        <w:t xml:space="preserve"> 165; Van der Kley, </w:t>
      </w:r>
      <w:r>
        <w:rPr>
          <w:i/>
          <w:iCs/>
        </w:rPr>
        <w:t>Nederlandse vaarwegen</w:t>
      </w:r>
      <w:r>
        <w:t xml:space="preserve">, 57-61; Ploeger, </w:t>
      </w:r>
      <w:r>
        <w:rPr>
          <w:i/>
          <w:iCs/>
        </w:rPr>
        <w:t>Rijn</w:t>
      </w:r>
      <w:r>
        <w:t xml:space="preserve">, 64, 65. </w:t>
      </w:r>
    </w:p>
  </w:endnote>
  <w:endnote w:id="114">
    <w:p w14:paraId="24C3EF8D" w14:textId="1651DB3C" w:rsidR="000D2FB8" w:rsidRPr="00754E27" w:rsidRDefault="000D2FB8" w:rsidP="00BB7CBF">
      <w:pPr>
        <w:pStyle w:val="EndnoteText"/>
        <w:jc w:val="left"/>
      </w:pPr>
      <w:r>
        <w:rPr>
          <w:rStyle w:val="EndnoteReference"/>
        </w:rPr>
        <w:endnoteRef/>
      </w:r>
      <w:r>
        <w:t xml:space="preserve"> Filarski, </w:t>
      </w:r>
      <w:r>
        <w:rPr>
          <w:i/>
          <w:iCs/>
        </w:rPr>
        <w:t>Tegen de stroom</w:t>
      </w:r>
      <w:r>
        <w:t>, 326.</w:t>
      </w:r>
    </w:p>
  </w:endnote>
  <w:endnote w:id="115">
    <w:p w14:paraId="0BC9CA9E" w14:textId="77777777" w:rsidR="000D2FB8" w:rsidRPr="00470CF2" w:rsidRDefault="000D2FB8" w:rsidP="00BB7CBF">
      <w:pPr>
        <w:pStyle w:val="EndnoteText"/>
        <w:spacing w:line="276" w:lineRule="auto"/>
        <w:jc w:val="left"/>
        <w:rPr>
          <w:bCs/>
        </w:rPr>
      </w:pPr>
      <w:r w:rsidRPr="00470CF2">
        <w:rPr>
          <w:rStyle w:val="EndnoteReference"/>
          <w:bCs/>
        </w:rPr>
        <w:endnoteRef/>
      </w:r>
      <w:r w:rsidRPr="00470CF2">
        <w:rPr>
          <w:bCs/>
        </w:rPr>
        <w:t xml:space="preserve"> </w:t>
      </w:r>
      <w:r>
        <w:rPr>
          <w:bCs/>
        </w:rPr>
        <w:t xml:space="preserve">Filarski, </w:t>
      </w:r>
      <w:r>
        <w:rPr>
          <w:bCs/>
          <w:i/>
          <w:iCs/>
        </w:rPr>
        <w:t>Tegen de stroom</w:t>
      </w:r>
      <w:r>
        <w:rPr>
          <w:bCs/>
        </w:rPr>
        <w:t>, 326, 327.</w:t>
      </w:r>
      <w:r w:rsidRPr="00470CF2">
        <w:rPr>
          <w:bCs/>
        </w:rPr>
        <w:t xml:space="preserve">      </w:t>
      </w:r>
    </w:p>
  </w:endnote>
  <w:endnote w:id="116">
    <w:p w14:paraId="4E71CD79" w14:textId="518C4BE8" w:rsidR="000D2FB8" w:rsidRPr="00102A52" w:rsidRDefault="000D2FB8" w:rsidP="00BB7CBF">
      <w:pPr>
        <w:pStyle w:val="EndnoteText"/>
        <w:jc w:val="left"/>
      </w:pPr>
      <w:r>
        <w:rPr>
          <w:rStyle w:val="EndnoteReference"/>
        </w:rPr>
        <w:endnoteRef/>
      </w:r>
      <w:r>
        <w:t xml:space="preserve"> Filarski, </w:t>
      </w:r>
      <w:r>
        <w:rPr>
          <w:i/>
          <w:iCs/>
        </w:rPr>
        <w:t>Tegen de stroom</w:t>
      </w:r>
      <w:r>
        <w:t>, 329.</w:t>
      </w:r>
    </w:p>
  </w:endnote>
  <w:endnote w:id="117">
    <w:p w14:paraId="576ED36F" w14:textId="121B5051" w:rsidR="000D2FB8" w:rsidRPr="00D70C15" w:rsidRDefault="000D2FB8" w:rsidP="00BB7CBF">
      <w:pPr>
        <w:pStyle w:val="EndnoteText"/>
        <w:jc w:val="left"/>
      </w:pPr>
      <w:r>
        <w:rPr>
          <w:rStyle w:val="EndnoteReference"/>
        </w:rPr>
        <w:endnoteRef/>
      </w:r>
      <w:r>
        <w:t xml:space="preserve"> Filarski, </w:t>
      </w:r>
      <w:r>
        <w:rPr>
          <w:i/>
          <w:iCs/>
        </w:rPr>
        <w:t>Tegen de stroom</w:t>
      </w:r>
      <w:r>
        <w:t>, 327-329, 395.</w:t>
      </w:r>
    </w:p>
  </w:endnote>
  <w:endnote w:id="118">
    <w:p w14:paraId="51B22077" w14:textId="77777777" w:rsidR="000D2FB8" w:rsidRDefault="000D2FB8" w:rsidP="00BB7CBF">
      <w:pPr>
        <w:pStyle w:val="EndnoteText"/>
        <w:jc w:val="left"/>
      </w:pPr>
      <w:r>
        <w:rPr>
          <w:rStyle w:val="EndnoteReference"/>
        </w:rPr>
        <w:endnoteRef/>
      </w:r>
      <w:r>
        <w:t xml:space="preserve"> </w:t>
      </w:r>
      <w:r>
        <w:rPr>
          <w:bCs/>
        </w:rPr>
        <w:t xml:space="preserve">Filarski, </w:t>
      </w:r>
      <w:r>
        <w:rPr>
          <w:bCs/>
          <w:i/>
          <w:iCs/>
        </w:rPr>
        <w:t>Tegen de stroom</w:t>
      </w:r>
      <w:r>
        <w:rPr>
          <w:bCs/>
        </w:rPr>
        <w:t>, 332, 395.</w:t>
      </w:r>
    </w:p>
  </w:endnote>
  <w:endnote w:id="119">
    <w:p w14:paraId="5E10C02D" w14:textId="77777777" w:rsidR="000D2FB8" w:rsidRPr="00A942A3" w:rsidRDefault="000D2FB8" w:rsidP="00BB7CBF">
      <w:pPr>
        <w:pStyle w:val="EndnoteText"/>
        <w:jc w:val="left"/>
      </w:pPr>
      <w:r>
        <w:rPr>
          <w:rStyle w:val="EndnoteReference"/>
        </w:rPr>
        <w:endnoteRef/>
      </w:r>
      <w:r>
        <w:t xml:space="preserve"> Filarski, </w:t>
      </w:r>
      <w:r>
        <w:rPr>
          <w:i/>
          <w:iCs/>
        </w:rPr>
        <w:t>Tegen de stroom</w:t>
      </w:r>
      <w:r>
        <w:t>, 329-331.</w:t>
      </w:r>
    </w:p>
  </w:endnote>
  <w:endnote w:id="120">
    <w:p w14:paraId="16D91E35" w14:textId="77777777" w:rsidR="000D2FB8" w:rsidRPr="00263A46" w:rsidRDefault="000D2FB8" w:rsidP="00BB7CBF">
      <w:pPr>
        <w:pStyle w:val="EndnoteText"/>
        <w:spacing w:line="276" w:lineRule="auto"/>
        <w:jc w:val="left"/>
        <w:rPr>
          <w:bCs/>
        </w:rPr>
      </w:pPr>
      <w:r w:rsidRPr="00263A46">
        <w:rPr>
          <w:rStyle w:val="EndnoteReference"/>
          <w:bCs/>
        </w:rPr>
        <w:endnoteRef/>
      </w:r>
      <w:r w:rsidRPr="00263A46">
        <w:rPr>
          <w:bCs/>
        </w:rPr>
        <w:t xml:space="preserve"> </w:t>
      </w:r>
      <w:r>
        <w:rPr>
          <w:bCs/>
        </w:rPr>
        <w:t xml:space="preserve">Filarski, </w:t>
      </w:r>
      <w:r>
        <w:rPr>
          <w:bCs/>
          <w:i/>
          <w:iCs/>
        </w:rPr>
        <w:t>Tegen de stroom</w:t>
      </w:r>
      <w:r>
        <w:rPr>
          <w:bCs/>
        </w:rPr>
        <w:t>, 298, 331.</w:t>
      </w:r>
      <w:r w:rsidRPr="00263A46">
        <w:rPr>
          <w:bCs/>
        </w:rPr>
        <w:t xml:space="preserve">   </w:t>
      </w:r>
    </w:p>
  </w:endnote>
  <w:endnote w:id="121">
    <w:p w14:paraId="1BB615A9" w14:textId="3E754E51" w:rsidR="000D2FB8" w:rsidRPr="00AF1BC7" w:rsidRDefault="000D2FB8" w:rsidP="00BB7CBF">
      <w:pPr>
        <w:pStyle w:val="EndnoteText"/>
        <w:jc w:val="left"/>
      </w:pPr>
      <w:r>
        <w:rPr>
          <w:rStyle w:val="EndnoteReference"/>
        </w:rPr>
        <w:endnoteRef/>
      </w:r>
      <w:r>
        <w:t xml:space="preserve"> Buiter en Raat, </w:t>
      </w:r>
      <w:r>
        <w:rPr>
          <w:i/>
          <w:iCs/>
        </w:rPr>
        <w:t>Nederland kanalenland</w:t>
      </w:r>
      <w:r>
        <w:t xml:space="preserve">, 8; Filarski, </w:t>
      </w:r>
      <w:r>
        <w:rPr>
          <w:i/>
          <w:iCs/>
        </w:rPr>
        <w:t>Tegen de stroom</w:t>
      </w:r>
      <w:r>
        <w:t>, 331, 395, 396</w:t>
      </w:r>
      <w:r w:rsidR="007237A6">
        <w:t>; Wikipedia,</w:t>
      </w:r>
      <w:bookmarkStart w:id="65" w:name="_Hlk160091110"/>
      <w:r>
        <w:t xml:space="preserve"> </w:t>
      </w:r>
      <w:hyperlink r:id="rId5" w:history="1">
        <w:r w:rsidRPr="00E17876">
          <w:rPr>
            <w:rStyle w:val="Hyperlink"/>
          </w:rPr>
          <w:t>https://nl.wikipedia.org/wiki/</w:t>
        </w:r>
      </w:hyperlink>
      <w:r>
        <w:t>naam vaarweg</w:t>
      </w:r>
      <w:r w:rsidR="007237A6">
        <w:t xml:space="preserve"> (</w:t>
      </w:r>
      <w:r>
        <w:t>10</w:t>
      </w:r>
      <w:r w:rsidR="00E14D62">
        <w:t xml:space="preserve"> juli </w:t>
      </w:r>
      <w:r>
        <w:t>2020</w:t>
      </w:r>
      <w:r w:rsidR="007237A6">
        <w:t>).</w:t>
      </w:r>
    </w:p>
    <w:bookmarkEnd w:id="65"/>
  </w:endnote>
  <w:endnote w:id="122">
    <w:p w14:paraId="3591BC46" w14:textId="4BD85034" w:rsidR="000D2FB8" w:rsidRPr="00DF62C8" w:rsidRDefault="000D2FB8" w:rsidP="000D4C87">
      <w:pPr>
        <w:pStyle w:val="EndnoteText"/>
        <w:jc w:val="left"/>
      </w:pPr>
      <w:r>
        <w:rPr>
          <w:rStyle w:val="EndnoteReference"/>
        </w:rPr>
        <w:endnoteRef/>
      </w:r>
      <w:r>
        <w:t xml:space="preserve"> Deze subparagraaf is gebaseerd op: Filarski, </w:t>
      </w:r>
      <w:r>
        <w:rPr>
          <w:i/>
          <w:iCs/>
        </w:rPr>
        <w:t>Tegen de stroom</w:t>
      </w:r>
      <w:r>
        <w:t>, 313, 314.</w:t>
      </w:r>
    </w:p>
  </w:endnote>
  <w:endnote w:id="123">
    <w:p w14:paraId="0B164DE9" w14:textId="49489818" w:rsidR="000D2FB8" w:rsidRPr="00290C14" w:rsidRDefault="000D2FB8" w:rsidP="004474B8">
      <w:pPr>
        <w:pStyle w:val="EndnoteText"/>
        <w:jc w:val="left"/>
      </w:pPr>
      <w:r>
        <w:rPr>
          <w:rStyle w:val="EndnoteReference"/>
        </w:rPr>
        <w:endnoteRef/>
      </w:r>
      <w:r>
        <w:t xml:space="preserve"> Deze subparagraaf is gebaseerd op: Filarski, </w:t>
      </w:r>
      <w:r>
        <w:rPr>
          <w:i/>
          <w:iCs/>
        </w:rPr>
        <w:t>Tegen de stroom</w:t>
      </w:r>
      <w:r>
        <w:t>, 315-31</w:t>
      </w:r>
      <w:r w:rsidRPr="00290C14">
        <w:t xml:space="preserve">8, 331; </w:t>
      </w:r>
      <w:r w:rsidR="00D442A2" w:rsidRPr="00290C14">
        <w:rPr>
          <w:rFonts w:eastAsia="Calibri" w:cs="Times New Roman"/>
          <w:i/>
          <w:color w:val="000000"/>
        </w:rPr>
        <w:t>Vaarwegen</w:t>
      </w:r>
      <w:r w:rsidR="00D442A2" w:rsidRPr="00290C14">
        <w:rPr>
          <w:rFonts w:eastAsia="Calibri" w:cs="Times New Roman"/>
          <w:iCs/>
          <w:color w:val="000000"/>
        </w:rPr>
        <w:t xml:space="preserve">, </w:t>
      </w:r>
      <w:r w:rsidR="00426399" w:rsidRPr="00290C14">
        <w:rPr>
          <w:iCs/>
        </w:rPr>
        <w:t>Handelingen Staten-Generaal</w:t>
      </w:r>
      <w:r w:rsidR="00D442A2" w:rsidRPr="00290C14">
        <w:rPr>
          <w:rFonts w:eastAsia="Calibri" w:cs="Times New Roman"/>
          <w:iCs/>
          <w:color w:val="000000"/>
        </w:rPr>
        <w:t xml:space="preserve">, 1980-1981, Tweede Kamer, </w:t>
      </w:r>
      <w:r w:rsidR="00A81670" w:rsidRPr="00290C14">
        <w:rPr>
          <w:iCs/>
        </w:rPr>
        <w:t xml:space="preserve">Kamerstuknr. 16641, nrs.1-2, </w:t>
      </w:r>
      <w:r w:rsidR="00A81670" w:rsidRPr="00290C14">
        <w:t>p</w:t>
      </w:r>
      <w:r w:rsidRPr="00290C14">
        <w:t>assim.</w:t>
      </w:r>
      <w:r w:rsidR="00A346AF" w:rsidRPr="00290C14">
        <w:rPr>
          <w:bCs/>
          <w:i/>
          <w:iCs/>
        </w:rPr>
        <w:t>.</w:t>
      </w:r>
    </w:p>
  </w:endnote>
  <w:endnote w:id="124">
    <w:p w14:paraId="3029ABF3" w14:textId="032F2713" w:rsidR="000D2FB8" w:rsidRPr="00E14D62" w:rsidRDefault="000D2FB8" w:rsidP="00BB7CBF">
      <w:pPr>
        <w:pStyle w:val="EndnoteText"/>
        <w:spacing w:line="276" w:lineRule="auto"/>
        <w:jc w:val="left"/>
        <w:rPr>
          <w:bCs/>
          <w:iCs/>
        </w:rPr>
      </w:pPr>
      <w:r w:rsidRPr="00290C14">
        <w:rPr>
          <w:rStyle w:val="EndnoteReference"/>
          <w:bCs/>
        </w:rPr>
        <w:endnoteRef/>
      </w:r>
      <w:r w:rsidRPr="00290C14">
        <w:rPr>
          <w:bCs/>
        </w:rPr>
        <w:t xml:space="preserve"> Filarski, </w:t>
      </w:r>
      <w:r w:rsidRPr="00290C14">
        <w:rPr>
          <w:bCs/>
          <w:i/>
          <w:iCs/>
        </w:rPr>
        <w:t>Tegen de stroom</w:t>
      </w:r>
      <w:r w:rsidRPr="00290C14">
        <w:rPr>
          <w:bCs/>
        </w:rPr>
        <w:t xml:space="preserve">, 323; </w:t>
      </w:r>
      <w:r w:rsidR="00697C56" w:rsidRPr="00290C14">
        <w:rPr>
          <w:bCs/>
          <w:i/>
          <w:iCs/>
        </w:rPr>
        <w:t>Vaarwegen</w:t>
      </w:r>
      <w:r w:rsidR="00697C56" w:rsidRPr="00290C14">
        <w:rPr>
          <w:bCs/>
        </w:rPr>
        <w:t xml:space="preserve">, </w:t>
      </w:r>
      <w:r w:rsidR="00290C14" w:rsidRPr="00290C14">
        <w:rPr>
          <w:iCs/>
        </w:rPr>
        <w:t>Handelingen Staten-Generaal</w:t>
      </w:r>
      <w:r w:rsidR="00290C14" w:rsidRPr="00290C14">
        <w:rPr>
          <w:rFonts w:eastAsia="Calibri" w:cs="Times New Roman"/>
          <w:iCs/>
          <w:color w:val="000000"/>
        </w:rPr>
        <w:t>, 1980-1981, Tweede Kamer</w:t>
      </w:r>
      <w:r w:rsidR="00290C14" w:rsidRPr="00290C14">
        <w:rPr>
          <w:iCs/>
        </w:rPr>
        <w:t xml:space="preserve"> </w:t>
      </w:r>
      <w:r w:rsidR="00A81670" w:rsidRPr="00290C14">
        <w:rPr>
          <w:iCs/>
        </w:rPr>
        <w:t>Kamerstuknr. 16641, nrs.1-2</w:t>
      </w:r>
      <w:r w:rsidRPr="00290C14">
        <w:rPr>
          <w:bCs/>
        </w:rPr>
        <w:t>, 96, 97</w:t>
      </w:r>
      <w:r w:rsidRPr="00290C14">
        <w:rPr>
          <w:bCs/>
          <w:iCs/>
        </w:rPr>
        <w:t>.</w:t>
      </w:r>
    </w:p>
  </w:endnote>
  <w:endnote w:id="125">
    <w:p w14:paraId="49B66211" w14:textId="77777777" w:rsidR="000D2FB8" w:rsidRDefault="000D2FB8" w:rsidP="00BB7CBF">
      <w:pPr>
        <w:pStyle w:val="EndnoteText"/>
        <w:jc w:val="left"/>
      </w:pPr>
      <w:r>
        <w:rPr>
          <w:rStyle w:val="EndnoteReference"/>
        </w:rPr>
        <w:endnoteRef/>
      </w:r>
      <w:r>
        <w:t xml:space="preserve"> </w:t>
      </w:r>
      <w:r w:rsidRPr="00E6194F">
        <w:rPr>
          <w:bCs/>
        </w:rPr>
        <w:t xml:space="preserve">Filarski, </w:t>
      </w:r>
      <w:r w:rsidRPr="00E6194F">
        <w:rPr>
          <w:bCs/>
          <w:i/>
          <w:iCs/>
        </w:rPr>
        <w:t>Tegen de stroom</w:t>
      </w:r>
      <w:r>
        <w:rPr>
          <w:bCs/>
        </w:rPr>
        <w:t>, 325.</w:t>
      </w:r>
    </w:p>
  </w:endnote>
  <w:endnote w:id="126">
    <w:p w14:paraId="2A607354" w14:textId="453C5B5C" w:rsidR="000D2FB8" w:rsidRPr="00E14D62" w:rsidRDefault="000D2FB8" w:rsidP="00BB7CBF">
      <w:pPr>
        <w:pStyle w:val="EndnoteText"/>
        <w:jc w:val="left"/>
      </w:pPr>
      <w:r w:rsidRPr="00E14D62">
        <w:rPr>
          <w:rStyle w:val="EndnoteReference"/>
        </w:rPr>
        <w:endnoteRef/>
      </w:r>
      <w:r w:rsidRPr="00E14D62">
        <w:t xml:space="preserve"> Filarski, </w:t>
      </w:r>
      <w:r w:rsidRPr="00E14D62">
        <w:rPr>
          <w:i/>
          <w:iCs/>
        </w:rPr>
        <w:t>Tegen de stroom</w:t>
      </w:r>
      <w:r w:rsidRPr="00E14D62">
        <w:t>, 307; 319;</w:t>
      </w:r>
      <w:r w:rsidR="00697C56">
        <w:t xml:space="preserve"> </w:t>
      </w:r>
      <w:r w:rsidR="00D442A2" w:rsidRPr="001B2C5D">
        <w:rPr>
          <w:rFonts w:eastAsia="Calibri" w:cs="Times New Roman"/>
          <w:i/>
          <w:color w:val="000000"/>
        </w:rPr>
        <w:t>Vaarwegen</w:t>
      </w:r>
      <w:r w:rsidR="00D442A2" w:rsidRPr="001B2C5D">
        <w:rPr>
          <w:rFonts w:eastAsia="Calibri" w:cs="Times New Roman"/>
          <w:iCs/>
          <w:color w:val="000000"/>
        </w:rPr>
        <w:t xml:space="preserve">, </w:t>
      </w:r>
      <w:r w:rsidR="00426399">
        <w:rPr>
          <w:iCs/>
        </w:rPr>
        <w:t>Handelingen Staten-Generaal</w:t>
      </w:r>
      <w:r w:rsidR="00D442A2" w:rsidRPr="001B2C5D">
        <w:rPr>
          <w:rFonts w:eastAsia="Calibri" w:cs="Times New Roman"/>
          <w:iCs/>
          <w:color w:val="000000"/>
        </w:rPr>
        <w:t>, 1980-1981, Tweede Kamer</w:t>
      </w:r>
      <w:r w:rsidRPr="00E14D62">
        <w:t xml:space="preserve">, 33-36. </w:t>
      </w:r>
    </w:p>
  </w:endnote>
  <w:endnote w:id="127">
    <w:p w14:paraId="51351590" w14:textId="6ACC6711" w:rsidR="000D2FB8" w:rsidRPr="00E14D62" w:rsidRDefault="000D2FB8" w:rsidP="00BB7CBF">
      <w:pPr>
        <w:pStyle w:val="EndnoteText"/>
        <w:spacing w:line="276" w:lineRule="auto"/>
        <w:jc w:val="left"/>
        <w:rPr>
          <w:bCs/>
        </w:rPr>
      </w:pPr>
      <w:r w:rsidRPr="00E14D62">
        <w:rPr>
          <w:rStyle w:val="EndnoteReference"/>
          <w:bCs/>
        </w:rPr>
        <w:endnoteRef/>
      </w:r>
      <w:r w:rsidRPr="00E14D62">
        <w:rPr>
          <w:bCs/>
        </w:rPr>
        <w:t xml:space="preserve"> Filarski, </w:t>
      </w:r>
      <w:r w:rsidRPr="00E14D62">
        <w:rPr>
          <w:bCs/>
          <w:i/>
          <w:iCs/>
        </w:rPr>
        <w:t>Tegen de stroom</w:t>
      </w:r>
      <w:r w:rsidRPr="00E14D62">
        <w:rPr>
          <w:bCs/>
        </w:rPr>
        <w:t xml:space="preserve">, 307, 319; Filarski, </w:t>
      </w:r>
      <w:r w:rsidR="00DF00BA">
        <w:rPr>
          <w:bCs/>
        </w:rPr>
        <w:t>‘</w:t>
      </w:r>
      <w:r w:rsidRPr="00DF00BA">
        <w:rPr>
          <w:bCs/>
        </w:rPr>
        <w:t>Nederlandse binnenscheepvaart</w:t>
      </w:r>
      <w:r w:rsidR="00DF00BA">
        <w:rPr>
          <w:bCs/>
        </w:rPr>
        <w:t>’</w:t>
      </w:r>
      <w:r w:rsidRPr="00E14D62">
        <w:rPr>
          <w:bCs/>
        </w:rPr>
        <w:t>, 389, 390, 392, 396;</w:t>
      </w:r>
      <w:r w:rsidR="00426399" w:rsidRPr="00426399">
        <w:rPr>
          <w:rFonts w:eastAsia="Calibri" w:cs="Times New Roman"/>
          <w:i/>
          <w:color w:val="000000"/>
        </w:rPr>
        <w:t xml:space="preserve"> </w:t>
      </w:r>
      <w:r w:rsidR="00426399" w:rsidRPr="001B2C5D">
        <w:rPr>
          <w:rFonts w:eastAsia="Calibri" w:cs="Times New Roman"/>
          <w:i/>
          <w:color w:val="000000"/>
        </w:rPr>
        <w:t>Vaarwegen</w:t>
      </w:r>
      <w:r w:rsidR="00426399" w:rsidRPr="001B2C5D">
        <w:rPr>
          <w:rFonts w:eastAsia="Calibri" w:cs="Times New Roman"/>
          <w:iCs/>
          <w:color w:val="000000"/>
        </w:rPr>
        <w:t xml:space="preserve">, </w:t>
      </w:r>
      <w:r w:rsidR="00251DE4">
        <w:rPr>
          <w:iCs/>
        </w:rPr>
        <w:t>Handelingen Staten-Generaal</w:t>
      </w:r>
      <w:r w:rsidR="00251DE4" w:rsidRPr="00C80BAC">
        <w:rPr>
          <w:iCs/>
        </w:rPr>
        <w:t>, 1980-1981, Tweede Kamer, Kamerstuknr. 16641, nrs.1-2</w:t>
      </w:r>
      <w:r w:rsidRPr="00E14D62">
        <w:rPr>
          <w:bCs/>
        </w:rPr>
        <w:t xml:space="preserve">, 82, 83, figuur 9.3.5. </w:t>
      </w:r>
    </w:p>
  </w:endnote>
  <w:endnote w:id="128">
    <w:p w14:paraId="7C890A0E" w14:textId="6ADFE433" w:rsidR="000D2FB8" w:rsidRPr="00E14D62" w:rsidRDefault="000D2FB8" w:rsidP="00BB7CBF">
      <w:pPr>
        <w:pStyle w:val="EndnoteText"/>
        <w:jc w:val="left"/>
      </w:pPr>
      <w:r w:rsidRPr="00E14D62">
        <w:rPr>
          <w:rStyle w:val="EndnoteReference"/>
        </w:rPr>
        <w:endnoteRef/>
      </w:r>
      <w:r w:rsidRPr="00E14D62">
        <w:t xml:space="preserve"> Filarski, </w:t>
      </w:r>
      <w:r w:rsidRPr="00E14D62">
        <w:rPr>
          <w:i/>
          <w:iCs/>
        </w:rPr>
        <w:t>Tegen de stroom</w:t>
      </w:r>
      <w:r w:rsidRPr="00E14D62">
        <w:t xml:space="preserve">, 319, 320; </w:t>
      </w:r>
      <w:hyperlink r:id="rId6" w:history="1">
        <w:r w:rsidRPr="00E14D62">
          <w:rPr>
            <w:rStyle w:val="Hyperlink"/>
          </w:rPr>
          <w:t>www.varendoejesamen.nl</w:t>
        </w:r>
      </w:hyperlink>
      <w:r w:rsidRPr="00E14D62">
        <w:t xml:space="preserve"> (28 augustus 20</w:t>
      </w:r>
      <w:r w:rsidR="00A43BAB">
        <w:t>21</w:t>
      </w:r>
      <w:r w:rsidRPr="00E14D62">
        <w:t xml:space="preserve">). </w:t>
      </w:r>
    </w:p>
  </w:endnote>
  <w:endnote w:id="129">
    <w:p w14:paraId="222553A3" w14:textId="35B4A2E4" w:rsidR="000D2FB8" w:rsidRPr="00022CA1" w:rsidRDefault="000D2FB8" w:rsidP="00BB7CBF">
      <w:pPr>
        <w:pStyle w:val="EndnoteText"/>
        <w:jc w:val="left"/>
      </w:pPr>
      <w:r w:rsidRPr="00E14D62">
        <w:rPr>
          <w:rStyle w:val="EndnoteReference"/>
        </w:rPr>
        <w:endnoteRef/>
      </w:r>
      <w:r w:rsidRPr="00E14D62">
        <w:t xml:space="preserve"> Filarski, </w:t>
      </w:r>
      <w:r w:rsidRPr="00E14D62">
        <w:rPr>
          <w:i/>
          <w:iCs/>
        </w:rPr>
        <w:t>Tegen de stroom</w:t>
      </w:r>
      <w:r w:rsidRPr="00E14D62">
        <w:t>, 310.</w:t>
      </w:r>
      <w:r>
        <w:t xml:space="preserve"> </w:t>
      </w:r>
    </w:p>
  </w:endnote>
  <w:endnote w:id="130">
    <w:p w14:paraId="0D0646CB" w14:textId="228C3985" w:rsidR="000D2FB8" w:rsidRPr="00F74475" w:rsidRDefault="000D2FB8" w:rsidP="00BB7CBF">
      <w:pPr>
        <w:pStyle w:val="EndnoteText"/>
        <w:jc w:val="left"/>
        <w:rPr>
          <w:b/>
          <w:bCs/>
        </w:rPr>
      </w:pPr>
      <w:r>
        <w:rPr>
          <w:rStyle w:val="EndnoteReference"/>
        </w:rPr>
        <w:endnoteRef/>
      </w:r>
      <w:r>
        <w:t xml:space="preserve"> Filarski, </w:t>
      </w:r>
      <w:r>
        <w:rPr>
          <w:i/>
          <w:iCs/>
        </w:rPr>
        <w:t>Tegen de stroom</w:t>
      </w:r>
      <w:r>
        <w:t xml:space="preserve">, 221-223, 310; </w:t>
      </w:r>
      <w:r w:rsidRPr="001B5862">
        <w:rPr>
          <w:i/>
        </w:rPr>
        <w:t>Schuttevaêr</w:t>
      </w:r>
      <w:r w:rsidRPr="00E14D62">
        <w:t>, 30</w:t>
      </w:r>
      <w:r w:rsidR="0087076D">
        <w:t xml:space="preserve"> juli </w:t>
      </w:r>
      <w:r w:rsidRPr="00E14D62">
        <w:t>1927, 6</w:t>
      </w:r>
      <w:r w:rsidR="0087076D">
        <w:t xml:space="preserve"> augustus </w:t>
      </w:r>
      <w:r w:rsidRPr="00E14D62">
        <w:t>1927.</w:t>
      </w:r>
      <w:r>
        <w:t xml:space="preserve"> </w:t>
      </w:r>
    </w:p>
  </w:endnote>
  <w:endnote w:id="131">
    <w:p w14:paraId="44D6A486" w14:textId="77777777" w:rsidR="000D2FB8" w:rsidRPr="0085332C" w:rsidRDefault="000D2FB8" w:rsidP="00BB7CBF">
      <w:pPr>
        <w:pStyle w:val="EndnoteText"/>
        <w:jc w:val="left"/>
      </w:pPr>
      <w:r>
        <w:rPr>
          <w:rStyle w:val="EndnoteReference"/>
        </w:rPr>
        <w:endnoteRef/>
      </w:r>
      <w:r>
        <w:t xml:space="preserve"> Filarski, </w:t>
      </w:r>
      <w:r>
        <w:rPr>
          <w:i/>
          <w:iCs/>
        </w:rPr>
        <w:t>Tegen de stroom</w:t>
      </w:r>
      <w:r>
        <w:t>, 221-223.</w:t>
      </w:r>
    </w:p>
  </w:endnote>
  <w:endnote w:id="132">
    <w:p w14:paraId="11C618EE" w14:textId="5FA30DA4" w:rsidR="00635133" w:rsidRDefault="00635133">
      <w:pPr>
        <w:pStyle w:val="EndnoteText"/>
      </w:pPr>
      <w:r>
        <w:rPr>
          <w:rStyle w:val="EndnoteReference"/>
        </w:rPr>
        <w:endnoteRef/>
      </w:r>
      <w:r>
        <w:t xml:space="preserve"> </w:t>
      </w:r>
      <w:r w:rsidR="00991B25" w:rsidRPr="00991B25">
        <w:t xml:space="preserve">Zie voor een filmpje uit het Polygoon-filmjournaal over het binnenbrengen van het geborgen scheepswrak door de Oranjesluizen in Amsterdam: </w:t>
      </w:r>
      <w:hyperlink r:id="rId7" w:history="1">
        <w:r w:rsidR="00991B25" w:rsidRPr="00991B25">
          <w:rPr>
            <w:rStyle w:val="Hyperlink"/>
          </w:rPr>
          <w:t>https://eye.openbeelden.nl/media/1236221/Binnenslepen van de Stanfries IV</w:t>
        </w:r>
      </w:hyperlink>
      <w:r w:rsidR="00991B25">
        <w:t xml:space="preserve"> (28 juni 2024).</w:t>
      </w:r>
    </w:p>
  </w:endnote>
  <w:endnote w:id="133">
    <w:p w14:paraId="67B557C9" w14:textId="2084E5DC" w:rsidR="000D2FB8" w:rsidRDefault="000D2FB8" w:rsidP="009E3CC3">
      <w:pPr>
        <w:pStyle w:val="EndnoteText"/>
        <w:jc w:val="left"/>
      </w:pPr>
      <w:r>
        <w:rPr>
          <w:rStyle w:val="EndnoteReference"/>
        </w:rPr>
        <w:endnoteRef/>
      </w:r>
      <w:r>
        <w:t xml:space="preserve"> Een scheepsongeval is een voorval waarbij tenminste één vaartuig is betrokken, waarbij onbedoeld slachtoffers en/of schade ontstaat. Bij de analyse zijn ongevallen op alle typen vaartuigen meegeteld, inclusief sleepboten, binnenvaartpassagiersschepen, werkvaartuigen, veerponten, sloepjes en recreatievaartuigen, maar exclusief zeeschepen, vissersvaartuigen en woonschepen. Verder zijn bij de analyse alle soorten ongevallen meegeteld, inclusief die bij het laden, lossen of scheepsonderhoud op varende of drijvende vaartuigen, problemen met de lading, struikelen of beklemd raken door scheepsgerij, laadgerij of losgerij, uitglijden op een glad dek of van een loopplank vallen. Ongevallen bij huishoudelijke werkzaamheden, droog liggende schepen op de wal of vaartuigen in een scheepsdok zijn niet meegeteld. De krantenberichten over dodelijke scheepsongevallen waren steeds zo zorgvuldig dat het aantal en de aard van de dodelijke slachtoffers, het aantal verdrinkingsgevallen en de aard en het aantal van de betrokken vaartuigen en de gezonken schepen bij ieder ongeluk nauwkeurig kan worden vastgesteld. Vaak gaven de berichten ook nauwkeurige informatie over de toedracht van dergelijke ongevallen. De informatie over het aantal en de aard van de gewonden was minder nauwkeurig en vermoedelijk ook onvolledig.</w:t>
      </w:r>
      <w:r w:rsidR="00635133">
        <w:t xml:space="preserve"> </w:t>
      </w:r>
      <w:r>
        <w:t xml:space="preserve">              </w:t>
      </w:r>
    </w:p>
  </w:endnote>
  <w:endnote w:id="134">
    <w:p w14:paraId="18D27A21" w14:textId="3E54A63C" w:rsidR="000D2FB8" w:rsidRDefault="000D2FB8" w:rsidP="00CC1108">
      <w:pPr>
        <w:pStyle w:val="EndnoteText"/>
      </w:pPr>
      <w:r>
        <w:rPr>
          <w:rStyle w:val="EndnoteReference"/>
        </w:rPr>
        <w:endnoteRef/>
      </w:r>
      <w:r>
        <w:t xml:space="preserve"> </w:t>
      </w:r>
      <w:r>
        <w:rPr>
          <w:i/>
          <w:iCs/>
        </w:rPr>
        <w:t>Schuttevaer</w:t>
      </w:r>
      <w:r w:rsidR="00CB7C72">
        <w:t xml:space="preserve"> (</w:t>
      </w:r>
      <w:r>
        <w:t>1927</w:t>
      </w:r>
      <w:r w:rsidR="00CB7C72">
        <w:t>,</w:t>
      </w:r>
      <w:r>
        <w:t xml:space="preserve"> 1928</w:t>
      </w:r>
      <w:r w:rsidR="00CB7C72">
        <w:t>)</w:t>
      </w:r>
      <w:r>
        <w:t xml:space="preserve"> passim. Het schippersweekblad </w:t>
      </w:r>
      <w:r w:rsidR="00A601DE" w:rsidRPr="00E14D62">
        <w:rPr>
          <w:i/>
          <w:iCs/>
        </w:rPr>
        <w:t>Schuttevaêr</w:t>
      </w:r>
      <w:r w:rsidR="00A601DE" w:rsidRPr="00E14D62">
        <w:t xml:space="preserve"> </w:t>
      </w:r>
      <w:r>
        <w:t xml:space="preserve">is online te vinden onder </w:t>
      </w:r>
    </w:p>
    <w:p w14:paraId="5DA3F451" w14:textId="56AFB71E" w:rsidR="000D2FB8" w:rsidRPr="007D0FA7" w:rsidRDefault="00873323" w:rsidP="00CC1108">
      <w:pPr>
        <w:pStyle w:val="EndnoteText"/>
      </w:pPr>
      <w:hyperlink r:id="rId8" w:history="1">
        <w:r w:rsidR="000D2FB8" w:rsidRPr="004F4822">
          <w:rPr>
            <w:rStyle w:val="Hyperlink"/>
          </w:rPr>
          <w:t>https://www.delpher.nl</w:t>
        </w:r>
      </w:hyperlink>
      <w:r w:rsidR="0097484B">
        <w:t xml:space="preserve"> (2021).</w:t>
      </w:r>
    </w:p>
  </w:endnote>
  <w:endnote w:id="135">
    <w:p w14:paraId="1BF65622" w14:textId="4E047C22" w:rsidR="000D2FB8" w:rsidRPr="00E14D62" w:rsidRDefault="000D2FB8" w:rsidP="00BB7CBF">
      <w:pPr>
        <w:pStyle w:val="EndnoteText"/>
        <w:jc w:val="left"/>
      </w:pPr>
      <w:r>
        <w:rPr>
          <w:rStyle w:val="EndnoteReference"/>
        </w:rPr>
        <w:endnoteRef/>
      </w:r>
      <w:r>
        <w:t xml:space="preserve"> </w:t>
      </w:r>
      <w:r w:rsidRPr="00E14D62">
        <w:t xml:space="preserve">Delpher, </w:t>
      </w:r>
      <w:r w:rsidRPr="00E14D62">
        <w:rPr>
          <w:i/>
          <w:iCs/>
        </w:rPr>
        <w:t>Schuttevaêr</w:t>
      </w:r>
      <w:r w:rsidRPr="00E14D62">
        <w:t xml:space="preserve"> (1927, 1928)</w:t>
      </w:r>
      <w:r w:rsidR="00E14D62">
        <w:t xml:space="preserve"> </w:t>
      </w:r>
      <w:r w:rsidRPr="00E14D62">
        <w:t xml:space="preserve">passim. Het tijdschrift </w:t>
      </w:r>
      <w:r w:rsidRPr="00E14D62">
        <w:rPr>
          <w:i/>
          <w:iCs/>
        </w:rPr>
        <w:t xml:space="preserve">Schuttevaêr </w:t>
      </w:r>
      <w:r w:rsidRPr="00E14D62">
        <w:rPr>
          <w:iCs/>
        </w:rPr>
        <w:t xml:space="preserve">is online beschikbaar in </w:t>
      </w:r>
      <w:hyperlink r:id="rId9" w:history="1">
        <w:r w:rsidRPr="00E14D62">
          <w:rPr>
            <w:rStyle w:val="Hyperlink"/>
            <w:iCs/>
          </w:rPr>
          <w:t>https://www.delpher.nl/nl/kranten</w:t>
        </w:r>
      </w:hyperlink>
      <w:r w:rsidRPr="00E14D62">
        <w:rPr>
          <w:iCs/>
        </w:rPr>
        <w:t xml:space="preserve"> </w:t>
      </w:r>
      <w:r w:rsidR="00E14D62">
        <w:rPr>
          <w:iCs/>
        </w:rPr>
        <w:t>(</w:t>
      </w:r>
      <w:r w:rsidRPr="00E14D62">
        <w:rPr>
          <w:iCs/>
        </w:rPr>
        <w:t>2021</w:t>
      </w:r>
      <w:r w:rsidR="00E14D62">
        <w:rPr>
          <w:iCs/>
        </w:rPr>
        <w:t>)</w:t>
      </w:r>
      <w:r w:rsidRPr="00E14D62">
        <w:rPr>
          <w:iCs/>
        </w:rPr>
        <w:t xml:space="preserve">.  </w:t>
      </w:r>
    </w:p>
  </w:endnote>
  <w:endnote w:id="136">
    <w:p w14:paraId="43652BAF" w14:textId="73FA0415" w:rsidR="000D2FB8" w:rsidRPr="00E14D62" w:rsidRDefault="000D2FB8" w:rsidP="00BB7CBF">
      <w:pPr>
        <w:pStyle w:val="EndnoteText"/>
        <w:jc w:val="left"/>
      </w:pPr>
      <w:r w:rsidRPr="00E14D62">
        <w:rPr>
          <w:rStyle w:val="EndnoteReference"/>
        </w:rPr>
        <w:endnoteRef/>
      </w:r>
      <w:r w:rsidRPr="00E14D62">
        <w:t xml:space="preserve"> Delpher, </w:t>
      </w:r>
      <w:r w:rsidRPr="00E14D62">
        <w:rPr>
          <w:i/>
          <w:iCs/>
        </w:rPr>
        <w:t>Schuttevaêr</w:t>
      </w:r>
      <w:r w:rsidRPr="00E14D62">
        <w:t xml:space="preserve"> (1927, 1928) passim</w:t>
      </w:r>
      <w:r w:rsidR="00E14D62">
        <w:t>.</w:t>
      </w:r>
      <w:r w:rsidRPr="00E14D62">
        <w:t xml:space="preserve"> Het tijdschrift </w:t>
      </w:r>
      <w:r w:rsidRPr="00E14D62">
        <w:rPr>
          <w:i/>
          <w:iCs/>
        </w:rPr>
        <w:t xml:space="preserve">Schuttevaêr </w:t>
      </w:r>
      <w:r w:rsidRPr="00E14D62">
        <w:rPr>
          <w:iCs/>
        </w:rPr>
        <w:t xml:space="preserve">is online beschikbaar in </w:t>
      </w:r>
      <w:hyperlink r:id="rId10" w:history="1">
        <w:r w:rsidRPr="00E14D62">
          <w:rPr>
            <w:rStyle w:val="Hyperlink"/>
            <w:iCs/>
          </w:rPr>
          <w:t>https://www.delpher.nl/nl/kranten</w:t>
        </w:r>
      </w:hyperlink>
      <w:r w:rsidRPr="00E14D62">
        <w:rPr>
          <w:iCs/>
        </w:rPr>
        <w:t xml:space="preserve"> </w:t>
      </w:r>
      <w:r w:rsidR="00E14D62">
        <w:rPr>
          <w:iCs/>
        </w:rPr>
        <w:t>(</w:t>
      </w:r>
      <w:r w:rsidRPr="00E14D62">
        <w:rPr>
          <w:iCs/>
        </w:rPr>
        <w:t>2021</w:t>
      </w:r>
      <w:r w:rsidR="00E14D62">
        <w:rPr>
          <w:iCs/>
        </w:rPr>
        <w:t>)</w:t>
      </w:r>
      <w:r w:rsidRPr="00E14D62">
        <w:rPr>
          <w:iCs/>
        </w:rPr>
        <w:t>.</w:t>
      </w:r>
    </w:p>
  </w:endnote>
  <w:endnote w:id="137">
    <w:p w14:paraId="13B48503" w14:textId="486BE78C" w:rsidR="00B461CD" w:rsidRPr="00E14D62" w:rsidRDefault="00B461CD" w:rsidP="00B461CD">
      <w:pPr>
        <w:pStyle w:val="EndnoteText"/>
      </w:pPr>
      <w:r w:rsidRPr="00E14D62">
        <w:rPr>
          <w:rStyle w:val="EndnoteReference"/>
        </w:rPr>
        <w:endnoteRef/>
      </w:r>
      <w:r w:rsidRPr="00E14D62">
        <w:rPr>
          <w:i/>
          <w:iCs/>
        </w:rPr>
        <w:t xml:space="preserve"> Schuttevaêr</w:t>
      </w:r>
      <w:r w:rsidRPr="00E14D62">
        <w:t>, 28</w:t>
      </w:r>
      <w:r w:rsidR="00E14D62">
        <w:t xml:space="preserve"> juli </w:t>
      </w:r>
      <w:r w:rsidRPr="00E14D62">
        <w:t>1928.</w:t>
      </w:r>
    </w:p>
  </w:endnote>
  <w:endnote w:id="138">
    <w:p w14:paraId="6062F4C6" w14:textId="77777777" w:rsidR="000D2FB8" w:rsidRPr="00A112E2" w:rsidRDefault="000D2FB8" w:rsidP="006C5F85">
      <w:pPr>
        <w:pStyle w:val="EndnoteText"/>
        <w:jc w:val="left"/>
      </w:pPr>
      <w:r w:rsidRPr="00E14D62">
        <w:rPr>
          <w:rStyle w:val="EndnoteReference"/>
        </w:rPr>
        <w:endnoteRef/>
      </w:r>
      <w:r w:rsidRPr="00E14D62">
        <w:t xml:space="preserve"> Filarski, </w:t>
      </w:r>
      <w:r w:rsidRPr="00E14D62">
        <w:rPr>
          <w:i/>
          <w:iCs/>
        </w:rPr>
        <w:t>Tegen de stroom</w:t>
      </w:r>
      <w:r w:rsidRPr="00E14D62">
        <w:t>, 310</w:t>
      </w:r>
      <w:r>
        <w:t>.</w:t>
      </w:r>
    </w:p>
  </w:endnote>
  <w:endnote w:id="139">
    <w:p w14:paraId="4F552CFD" w14:textId="5DB9FC87" w:rsidR="000D2FB8" w:rsidRPr="00830C44" w:rsidRDefault="000D2FB8" w:rsidP="006C5F85">
      <w:pPr>
        <w:pStyle w:val="EndnoteText"/>
        <w:jc w:val="left"/>
      </w:pPr>
      <w:r>
        <w:rPr>
          <w:rStyle w:val="EndnoteReference"/>
        </w:rPr>
        <w:endnoteRef/>
      </w:r>
      <w:r>
        <w:t xml:space="preserve"> Filarski, </w:t>
      </w:r>
      <w:r>
        <w:rPr>
          <w:i/>
          <w:iCs/>
        </w:rPr>
        <w:t>Tegen de stroom</w:t>
      </w:r>
      <w:r>
        <w:t xml:space="preserve">, 311, 412. </w:t>
      </w:r>
    </w:p>
  </w:endnote>
  <w:endnote w:id="140">
    <w:p w14:paraId="11ABD6AE" w14:textId="2EC298CC" w:rsidR="000D2FB8" w:rsidRPr="00AC5894" w:rsidRDefault="000D2FB8" w:rsidP="006C5F85">
      <w:pPr>
        <w:pStyle w:val="EndnoteText"/>
        <w:jc w:val="left"/>
      </w:pPr>
      <w:r>
        <w:rPr>
          <w:rStyle w:val="EndnoteReference"/>
        </w:rPr>
        <w:endnoteRef/>
      </w:r>
      <w:r w:rsidRPr="00AC5894">
        <w:t xml:space="preserve"> ADNR = Accord Européen relative au Transport International des Marchandises dangereuses par voie de Navigation du Rhin.</w:t>
      </w:r>
    </w:p>
  </w:endnote>
  <w:endnote w:id="141">
    <w:p w14:paraId="085792DA" w14:textId="7BADB8F6" w:rsidR="000D2FB8" w:rsidRDefault="000D2FB8" w:rsidP="006C5F85">
      <w:pPr>
        <w:pStyle w:val="EndnoteText"/>
        <w:jc w:val="left"/>
      </w:pPr>
      <w:r>
        <w:rPr>
          <w:rStyle w:val="EndnoteReference"/>
        </w:rPr>
        <w:endnoteRef/>
      </w:r>
      <w:r>
        <w:t xml:space="preserve"> Filarski, </w:t>
      </w:r>
      <w:r>
        <w:rPr>
          <w:i/>
          <w:iCs/>
        </w:rPr>
        <w:t>Tegen de stroom</w:t>
      </w:r>
      <w:r>
        <w:t>, 310-313;</w:t>
      </w:r>
      <w:r w:rsidR="009329F8" w:rsidRPr="009329F8">
        <w:t xml:space="preserve"> </w:t>
      </w:r>
      <w:hyperlink r:id="rId11" w:history="1">
        <w:r w:rsidR="009329F8" w:rsidRPr="00F92836">
          <w:rPr>
            <w:rStyle w:val="Hyperlink"/>
          </w:rPr>
          <w:t>https://nl.wikipedia.org/wiki/ADNR</w:t>
        </w:r>
      </w:hyperlink>
      <w:r w:rsidR="009329F8">
        <w:t>.</w:t>
      </w:r>
    </w:p>
  </w:endnote>
  <w:endnote w:id="142">
    <w:p w14:paraId="3702E3D3" w14:textId="7E3E400C" w:rsidR="000D2FB8" w:rsidRPr="00EB6011" w:rsidRDefault="000D2FB8" w:rsidP="006C5F85">
      <w:pPr>
        <w:pStyle w:val="EndnoteText"/>
        <w:jc w:val="left"/>
      </w:pPr>
      <w:r>
        <w:rPr>
          <w:rStyle w:val="EndnoteReference"/>
        </w:rPr>
        <w:endnoteRef/>
      </w:r>
      <w:r>
        <w:t xml:space="preserve"> Filarski, </w:t>
      </w:r>
      <w:r>
        <w:rPr>
          <w:i/>
          <w:iCs/>
        </w:rPr>
        <w:t>Tegen de stroom</w:t>
      </w:r>
      <w:r>
        <w:t>, 313.</w:t>
      </w:r>
    </w:p>
  </w:endnote>
  <w:endnote w:id="143">
    <w:p w14:paraId="22A96D2B" w14:textId="5C8AB0B8" w:rsidR="000D2FB8" w:rsidRDefault="000D2FB8" w:rsidP="006C5F85">
      <w:pPr>
        <w:pStyle w:val="EndnoteText"/>
        <w:jc w:val="left"/>
      </w:pPr>
      <w:r>
        <w:rPr>
          <w:rStyle w:val="EndnoteReference"/>
        </w:rPr>
        <w:endnoteRef/>
      </w:r>
      <w:r>
        <w:t xml:space="preserve"> </w:t>
      </w:r>
      <w:hyperlink r:id="rId12" w:history="1">
        <w:r w:rsidRPr="00377706">
          <w:rPr>
            <w:rStyle w:val="Hyperlink"/>
            <w:bCs/>
          </w:rPr>
          <w:t>http://www.rijkswaterstaat.nl/over-ons/onze-organisatie/organisatiestructuur/verkeer-en-watermanagement</w:t>
        </w:r>
      </w:hyperlink>
      <w:r w:rsidR="00B376C2">
        <w:rPr>
          <w:bCs/>
        </w:rPr>
        <w:t xml:space="preserve"> (</w:t>
      </w:r>
      <w:r>
        <w:rPr>
          <w:bCs/>
        </w:rPr>
        <w:t>12</w:t>
      </w:r>
      <w:r w:rsidR="0063686E">
        <w:rPr>
          <w:bCs/>
        </w:rPr>
        <w:t xml:space="preserve"> juni </w:t>
      </w:r>
      <w:r>
        <w:rPr>
          <w:bCs/>
        </w:rPr>
        <w:t>2021</w:t>
      </w:r>
      <w:r w:rsidR="00B376C2">
        <w:rPr>
          <w:bCs/>
        </w:rPr>
        <w:t>)</w:t>
      </w:r>
      <w:r>
        <w:rPr>
          <w:bCs/>
        </w:rPr>
        <w:t xml:space="preserve">; Filarski, </w:t>
      </w:r>
      <w:r>
        <w:rPr>
          <w:bCs/>
          <w:i/>
          <w:iCs/>
        </w:rPr>
        <w:t>Tegen de stroom</w:t>
      </w:r>
      <w:r>
        <w:rPr>
          <w:bCs/>
        </w:rPr>
        <w:t xml:space="preserve">, 312, 313. </w:t>
      </w:r>
    </w:p>
  </w:endnote>
  <w:endnote w:id="144">
    <w:p w14:paraId="58CDD865" w14:textId="77777777" w:rsidR="000D2FB8" w:rsidRDefault="000D2FB8" w:rsidP="006C5F85">
      <w:pPr>
        <w:pStyle w:val="EndnoteText"/>
        <w:jc w:val="left"/>
      </w:pPr>
      <w:r>
        <w:rPr>
          <w:rStyle w:val="EndnoteReference"/>
        </w:rPr>
        <w:endnoteRef/>
      </w:r>
      <w:r>
        <w:t xml:space="preserve"> Filarski, </w:t>
      </w:r>
      <w:r>
        <w:rPr>
          <w:i/>
          <w:iCs/>
        </w:rPr>
        <w:t>Tegen de stroom</w:t>
      </w:r>
      <w:r>
        <w:t>, 394.</w:t>
      </w:r>
    </w:p>
  </w:endnote>
  <w:endnote w:id="145">
    <w:p w14:paraId="6BF3895C" w14:textId="77777777" w:rsidR="000D2FB8" w:rsidRPr="001765D0" w:rsidRDefault="000D2FB8" w:rsidP="006C5F85">
      <w:pPr>
        <w:pStyle w:val="EndnoteText"/>
        <w:jc w:val="left"/>
      </w:pPr>
      <w:r>
        <w:rPr>
          <w:rStyle w:val="EndnoteReference"/>
        </w:rPr>
        <w:endnoteRef/>
      </w:r>
      <w:r>
        <w:t xml:space="preserve"> Filarski, </w:t>
      </w:r>
      <w:r>
        <w:rPr>
          <w:i/>
          <w:iCs/>
        </w:rPr>
        <w:t>Tegen de stroom</w:t>
      </w:r>
      <w:r>
        <w:t>, 311, 312.</w:t>
      </w:r>
    </w:p>
  </w:endnote>
  <w:endnote w:id="146">
    <w:p w14:paraId="78E9731F" w14:textId="77777777" w:rsidR="000D2FB8" w:rsidRPr="001765D0" w:rsidRDefault="000D2FB8" w:rsidP="006C5F85">
      <w:pPr>
        <w:pStyle w:val="EndnoteText"/>
        <w:jc w:val="left"/>
      </w:pPr>
      <w:r>
        <w:rPr>
          <w:rStyle w:val="EndnoteReference"/>
        </w:rPr>
        <w:endnoteRef/>
      </w:r>
      <w:r>
        <w:t xml:space="preserve"> Filarski, </w:t>
      </w:r>
      <w:r>
        <w:rPr>
          <w:i/>
          <w:iCs/>
        </w:rPr>
        <w:t>Tegen de stroom</w:t>
      </w:r>
      <w:r>
        <w:t>, 313.</w:t>
      </w:r>
    </w:p>
  </w:endnote>
  <w:endnote w:id="147">
    <w:p w14:paraId="0EB83BCC" w14:textId="5F01811F" w:rsidR="000D2FB8" w:rsidRDefault="000D2FB8" w:rsidP="006C5F85">
      <w:pPr>
        <w:pStyle w:val="EndnoteText"/>
        <w:spacing w:line="276" w:lineRule="auto"/>
        <w:jc w:val="left"/>
      </w:pPr>
      <w:r>
        <w:rPr>
          <w:rStyle w:val="EndnoteReference"/>
        </w:rPr>
        <w:endnoteRef/>
      </w:r>
      <w:r>
        <w:t xml:space="preserve"> Filarski, </w:t>
      </w:r>
      <w:r>
        <w:rPr>
          <w:i/>
          <w:iCs/>
        </w:rPr>
        <w:t>Tegen de stroom</w:t>
      </w:r>
      <w:r>
        <w:t xml:space="preserve">, 395, 396; </w:t>
      </w:r>
      <w:hyperlink r:id="rId13" w:history="1">
        <w:r w:rsidRPr="00F0383F">
          <w:rPr>
            <w:rStyle w:val="Hyperlink"/>
          </w:rPr>
          <w:t>https://nl.wikipedia.org/wiki/</w:t>
        </w:r>
      </w:hyperlink>
      <w:r>
        <w:t xml:space="preserve">  naam vaarweg; </w:t>
      </w:r>
      <w:r w:rsidR="00E14D62">
        <w:t>Privéarchief R. Filarski</w:t>
      </w:r>
      <w:r>
        <w:t>.</w:t>
      </w:r>
    </w:p>
  </w:endnote>
  <w:endnote w:id="148">
    <w:p w14:paraId="526F9D37" w14:textId="7A939E0B" w:rsidR="000D2FB8" w:rsidRPr="00EE59BC" w:rsidRDefault="000D2FB8" w:rsidP="0059685F">
      <w:pPr>
        <w:pStyle w:val="EndnoteText"/>
      </w:pPr>
      <w:r>
        <w:rPr>
          <w:rStyle w:val="EndnoteReference"/>
        </w:rPr>
        <w:endnoteRef/>
      </w:r>
      <w:r>
        <w:t xml:space="preserve"> Filarski, </w:t>
      </w:r>
      <w:r>
        <w:rPr>
          <w:i/>
          <w:iCs/>
        </w:rPr>
        <w:t>Tegen de stroom</w:t>
      </w:r>
      <w:r>
        <w:t>, 397.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621700"/>
      <w:docPartObj>
        <w:docPartGallery w:val="Page Numbers (Bottom of Page)"/>
        <w:docPartUnique/>
      </w:docPartObj>
    </w:sdtPr>
    <w:sdtEndPr/>
    <w:sdtContent>
      <w:p w14:paraId="6FD82351" w14:textId="039DFAC8" w:rsidR="000D2FB8" w:rsidRDefault="000D2FB8">
        <w:pPr>
          <w:pStyle w:val="Footer"/>
          <w:jc w:val="center"/>
        </w:pPr>
        <w:r>
          <w:fldChar w:fldCharType="begin"/>
        </w:r>
        <w:r>
          <w:instrText>PAGE   \* MERGEFORMAT</w:instrText>
        </w:r>
        <w:r>
          <w:fldChar w:fldCharType="separate"/>
        </w:r>
        <w:r w:rsidR="004751F2">
          <w:rPr>
            <w:noProof/>
          </w:rPr>
          <w:t>21</w:t>
        </w:r>
        <w:r>
          <w:fldChar w:fldCharType="end"/>
        </w:r>
      </w:p>
    </w:sdtContent>
  </w:sdt>
  <w:p w14:paraId="7845DD68" w14:textId="77777777" w:rsidR="000D2FB8" w:rsidRDefault="000D2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32154" w14:textId="77777777" w:rsidR="00E235A0" w:rsidRDefault="00E235A0" w:rsidP="00C96830">
      <w:pPr>
        <w:spacing w:line="240" w:lineRule="auto"/>
      </w:pPr>
      <w:r>
        <w:separator/>
      </w:r>
    </w:p>
  </w:footnote>
  <w:footnote w:type="continuationSeparator" w:id="0">
    <w:p w14:paraId="70E83118" w14:textId="77777777" w:rsidR="00E235A0" w:rsidRDefault="00E235A0" w:rsidP="00C968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392"/>
    <w:multiLevelType w:val="hybridMultilevel"/>
    <w:tmpl w:val="B5DA1514"/>
    <w:lvl w:ilvl="0" w:tplc="4E7EC3D8">
      <w:start w:val="8"/>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6F47DF4"/>
    <w:multiLevelType w:val="hybridMultilevel"/>
    <w:tmpl w:val="C91EFCF6"/>
    <w:lvl w:ilvl="0" w:tplc="D0CCBAC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320C6"/>
    <w:multiLevelType w:val="hybridMultilevel"/>
    <w:tmpl w:val="277AECBA"/>
    <w:lvl w:ilvl="0" w:tplc="6B7A88A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A499F"/>
    <w:multiLevelType w:val="hybridMultilevel"/>
    <w:tmpl w:val="7BE21316"/>
    <w:lvl w:ilvl="0" w:tplc="270EC796">
      <w:start w:val="14"/>
      <w:numFmt w:val="bullet"/>
      <w:lvlText w:val=""/>
      <w:lvlJc w:val="left"/>
      <w:pPr>
        <w:ind w:left="720" w:hanging="360"/>
      </w:pPr>
      <w:rPr>
        <w:rFonts w:ascii="Symbol" w:eastAsiaTheme="minorHAnsi" w:hAnsi="Symbol" w:cstheme="maj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98040A"/>
    <w:multiLevelType w:val="hybridMultilevel"/>
    <w:tmpl w:val="37728750"/>
    <w:lvl w:ilvl="0" w:tplc="4E7EC3D8">
      <w:start w:val="8"/>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6281FE9"/>
    <w:multiLevelType w:val="hybridMultilevel"/>
    <w:tmpl w:val="C06A5D5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1CC27347"/>
    <w:multiLevelType w:val="hybridMultilevel"/>
    <w:tmpl w:val="21169E8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227476FF"/>
    <w:multiLevelType w:val="hybridMultilevel"/>
    <w:tmpl w:val="5A6EC4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2E016EF"/>
    <w:multiLevelType w:val="hybridMultilevel"/>
    <w:tmpl w:val="FFE208D0"/>
    <w:lvl w:ilvl="0" w:tplc="4E7EC3D8">
      <w:start w:val="8"/>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25515845"/>
    <w:multiLevelType w:val="hybridMultilevel"/>
    <w:tmpl w:val="922AE328"/>
    <w:lvl w:ilvl="0" w:tplc="4E7EC3D8">
      <w:start w:val="8"/>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274406AC"/>
    <w:multiLevelType w:val="hybridMultilevel"/>
    <w:tmpl w:val="34D4338E"/>
    <w:lvl w:ilvl="0" w:tplc="C9DA2AE0">
      <w:start w:val="3"/>
      <w:numFmt w:val="bullet"/>
      <w:lvlText w:val=""/>
      <w:lvlJc w:val="left"/>
      <w:pPr>
        <w:ind w:left="720" w:hanging="360"/>
      </w:pPr>
      <w:rPr>
        <w:rFonts w:ascii="Symbol" w:eastAsia="Calibr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1E84B9F"/>
    <w:multiLevelType w:val="multilevel"/>
    <w:tmpl w:val="D56C0B6A"/>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B722C6"/>
    <w:multiLevelType w:val="hybridMultilevel"/>
    <w:tmpl w:val="07628A72"/>
    <w:lvl w:ilvl="0" w:tplc="0413000F">
      <w:start w:val="8"/>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46AF5C96"/>
    <w:multiLevelType w:val="multilevel"/>
    <w:tmpl w:val="6828580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lowerLetter"/>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4A3C2FD9"/>
    <w:multiLevelType w:val="hybridMultilevel"/>
    <w:tmpl w:val="AE1E3BFE"/>
    <w:lvl w:ilvl="0" w:tplc="4E7EC3D8">
      <w:start w:val="8"/>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523D3EA2"/>
    <w:multiLevelType w:val="hybridMultilevel"/>
    <w:tmpl w:val="6438260E"/>
    <w:lvl w:ilvl="0" w:tplc="EC6460A0">
      <w:start w:val="14"/>
      <w:numFmt w:val="bullet"/>
      <w:lvlText w:val=""/>
      <w:lvlJc w:val="left"/>
      <w:pPr>
        <w:ind w:left="720" w:hanging="360"/>
      </w:pPr>
      <w:rPr>
        <w:rFonts w:ascii="Symbol" w:eastAsiaTheme="minorHAnsi" w:hAnsi="Symbol" w:cstheme="maj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6971672"/>
    <w:multiLevelType w:val="hybridMultilevel"/>
    <w:tmpl w:val="6CDEE640"/>
    <w:lvl w:ilvl="0" w:tplc="6924FE1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26077B"/>
    <w:multiLevelType w:val="hybridMultilevel"/>
    <w:tmpl w:val="20EEA2B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8" w15:restartNumberingAfterBreak="0">
    <w:nsid w:val="57C5790D"/>
    <w:multiLevelType w:val="hybridMultilevel"/>
    <w:tmpl w:val="832C8FF2"/>
    <w:lvl w:ilvl="0" w:tplc="93D8308A">
      <w:start w:val="64"/>
      <w:numFmt w:val="bullet"/>
      <w:lvlText w:val=""/>
      <w:lvlJc w:val="left"/>
      <w:pPr>
        <w:ind w:left="644" w:hanging="360"/>
      </w:pPr>
      <w:rPr>
        <w:rFonts w:ascii="Wingdings" w:eastAsia="Times New Roman" w:hAnsi="Wingdings"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15:restartNumberingAfterBreak="0">
    <w:nsid w:val="58CE25B4"/>
    <w:multiLevelType w:val="hybridMultilevel"/>
    <w:tmpl w:val="D7961BA6"/>
    <w:lvl w:ilvl="0" w:tplc="15223BEA">
      <w:start w:val="14"/>
      <w:numFmt w:val="bullet"/>
      <w:lvlText w:val=""/>
      <w:lvlJc w:val="left"/>
      <w:pPr>
        <w:ind w:left="720" w:hanging="360"/>
      </w:pPr>
      <w:rPr>
        <w:rFonts w:ascii="Symbol" w:eastAsiaTheme="minorHAnsi" w:hAnsi="Symbol" w:cstheme="maj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9B24C10"/>
    <w:multiLevelType w:val="hybridMultilevel"/>
    <w:tmpl w:val="5D7E3370"/>
    <w:lvl w:ilvl="0" w:tplc="1FBE0E20">
      <w:start w:val="3"/>
      <w:numFmt w:val="bullet"/>
      <w:lvlText w:val=""/>
      <w:lvlJc w:val="left"/>
      <w:pPr>
        <w:ind w:left="720" w:hanging="360"/>
      </w:pPr>
      <w:rPr>
        <w:rFonts w:ascii="Symbol" w:eastAsia="Calibri" w:hAnsi="Symbol" w:cs="Times New Roman" w:hint="default"/>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B872279"/>
    <w:multiLevelType w:val="hybridMultilevel"/>
    <w:tmpl w:val="6F3CDB72"/>
    <w:lvl w:ilvl="0" w:tplc="4E7EC3D8">
      <w:start w:val="8"/>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5EDE2B3B"/>
    <w:multiLevelType w:val="hybridMultilevel"/>
    <w:tmpl w:val="01965936"/>
    <w:lvl w:ilvl="0" w:tplc="4E7EC3D8">
      <w:start w:val="8"/>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636A1FD5"/>
    <w:multiLevelType w:val="hybridMultilevel"/>
    <w:tmpl w:val="CE007BD2"/>
    <w:lvl w:ilvl="0" w:tplc="4E7EC3D8">
      <w:start w:val="8"/>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65F835F7"/>
    <w:multiLevelType w:val="hybridMultilevel"/>
    <w:tmpl w:val="EBB4E528"/>
    <w:lvl w:ilvl="0" w:tplc="65F83328">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7601DFE"/>
    <w:multiLevelType w:val="hybridMultilevel"/>
    <w:tmpl w:val="89BEB518"/>
    <w:lvl w:ilvl="0" w:tplc="4E7EC3D8">
      <w:start w:val="8"/>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6D8D0DA3"/>
    <w:multiLevelType w:val="hybridMultilevel"/>
    <w:tmpl w:val="55E2573A"/>
    <w:lvl w:ilvl="0" w:tplc="8DC065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071F61"/>
    <w:multiLevelType w:val="hybridMultilevel"/>
    <w:tmpl w:val="559A68EE"/>
    <w:lvl w:ilvl="0" w:tplc="4E7EC3D8">
      <w:start w:val="8"/>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7E683343"/>
    <w:multiLevelType w:val="hybridMultilevel"/>
    <w:tmpl w:val="82DA64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135824026">
    <w:abstractNumId w:val="13"/>
  </w:num>
  <w:num w:numId="2" w16cid:durableId="386878020">
    <w:abstractNumId w:val="25"/>
  </w:num>
  <w:num w:numId="3" w16cid:durableId="344326786">
    <w:abstractNumId w:val="4"/>
  </w:num>
  <w:num w:numId="4" w16cid:durableId="654457977">
    <w:abstractNumId w:val="7"/>
  </w:num>
  <w:num w:numId="5" w16cid:durableId="2122264785">
    <w:abstractNumId w:val="28"/>
  </w:num>
  <w:num w:numId="6" w16cid:durableId="1413622246">
    <w:abstractNumId w:val="5"/>
  </w:num>
  <w:num w:numId="7" w16cid:durableId="829760781">
    <w:abstractNumId w:val="17"/>
  </w:num>
  <w:num w:numId="8" w16cid:durableId="2029017239">
    <w:abstractNumId w:val="6"/>
  </w:num>
  <w:num w:numId="9" w16cid:durableId="250622536">
    <w:abstractNumId w:val="0"/>
  </w:num>
  <w:num w:numId="10" w16cid:durableId="1752769686">
    <w:abstractNumId w:val="27"/>
  </w:num>
  <w:num w:numId="11" w16cid:durableId="72359724">
    <w:abstractNumId w:val="14"/>
  </w:num>
  <w:num w:numId="12" w16cid:durableId="1816531609">
    <w:abstractNumId w:val="12"/>
  </w:num>
  <w:num w:numId="13" w16cid:durableId="1241404247">
    <w:abstractNumId w:val="19"/>
  </w:num>
  <w:num w:numId="14" w16cid:durableId="1269922451">
    <w:abstractNumId w:val="8"/>
  </w:num>
  <w:num w:numId="15" w16cid:durableId="1485849526">
    <w:abstractNumId w:val="26"/>
  </w:num>
  <w:num w:numId="16" w16cid:durableId="1423379821">
    <w:abstractNumId w:val="1"/>
  </w:num>
  <w:num w:numId="17" w16cid:durableId="494534976">
    <w:abstractNumId w:val="16"/>
  </w:num>
  <w:num w:numId="18" w16cid:durableId="79373986">
    <w:abstractNumId w:val="2"/>
  </w:num>
  <w:num w:numId="19" w16cid:durableId="546915384">
    <w:abstractNumId w:val="15"/>
  </w:num>
  <w:num w:numId="20" w16cid:durableId="2006593445">
    <w:abstractNumId w:val="3"/>
  </w:num>
  <w:num w:numId="21" w16cid:durableId="1216045957">
    <w:abstractNumId w:val="20"/>
  </w:num>
  <w:num w:numId="22" w16cid:durableId="404571471">
    <w:abstractNumId w:val="10"/>
  </w:num>
  <w:num w:numId="23" w16cid:durableId="611401127">
    <w:abstractNumId w:val="18"/>
  </w:num>
  <w:num w:numId="24" w16cid:durableId="1642491191">
    <w:abstractNumId w:val="23"/>
  </w:num>
  <w:num w:numId="25" w16cid:durableId="76638437">
    <w:abstractNumId w:val="22"/>
  </w:num>
  <w:num w:numId="26" w16cid:durableId="231162281">
    <w:abstractNumId w:val="9"/>
  </w:num>
  <w:num w:numId="27" w16cid:durableId="161088247">
    <w:abstractNumId w:val="21"/>
  </w:num>
  <w:num w:numId="28" w16cid:durableId="142814071">
    <w:abstractNumId w:val="24"/>
  </w:num>
  <w:num w:numId="29" w16cid:durableId="6272066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23F"/>
    <w:rsid w:val="000003D3"/>
    <w:rsid w:val="000004DC"/>
    <w:rsid w:val="00000945"/>
    <w:rsid w:val="00000A00"/>
    <w:rsid w:val="00000CFB"/>
    <w:rsid w:val="000010A4"/>
    <w:rsid w:val="00001612"/>
    <w:rsid w:val="00001CCC"/>
    <w:rsid w:val="00002127"/>
    <w:rsid w:val="00002228"/>
    <w:rsid w:val="000026B9"/>
    <w:rsid w:val="0000277F"/>
    <w:rsid w:val="00002AFC"/>
    <w:rsid w:val="00002D9F"/>
    <w:rsid w:val="00003587"/>
    <w:rsid w:val="000036B5"/>
    <w:rsid w:val="000037CF"/>
    <w:rsid w:val="00004EC6"/>
    <w:rsid w:val="00005014"/>
    <w:rsid w:val="0000510B"/>
    <w:rsid w:val="00005930"/>
    <w:rsid w:val="00005D65"/>
    <w:rsid w:val="000076A2"/>
    <w:rsid w:val="00007B40"/>
    <w:rsid w:val="00007CE9"/>
    <w:rsid w:val="00010B8B"/>
    <w:rsid w:val="00010FEA"/>
    <w:rsid w:val="00012998"/>
    <w:rsid w:val="00012A1B"/>
    <w:rsid w:val="00012F9A"/>
    <w:rsid w:val="00014B6D"/>
    <w:rsid w:val="00016416"/>
    <w:rsid w:val="000166C2"/>
    <w:rsid w:val="000171D7"/>
    <w:rsid w:val="00017A28"/>
    <w:rsid w:val="00017CC8"/>
    <w:rsid w:val="00020989"/>
    <w:rsid w:val="00022075"/>
    <w:rsid w:val="00022259"/>
    <w:rsid w:val="00022714"/>
    <w:rsid w:val="00022B73"/>
    <w:rsid w:val="00022F53"/>
    <w:rsid w:val="00023733"/>
    <w:rsid w:val="00023D2F"/>
    <w:rsid w:val="00023D69"/>
    <w:rsid w:val="00024697"/>
    <w:rsid w:val="0002552C"/>
    <w:rsid w:val="00025A56"/>
    <w:rsid w:val="00025DC0"/>
    <w:rsid w:val="00025DFB"/>
    <w:rsid w:val="0002618A"/>
    <w:rsid w:val="00026418"/>
    <w:rsid w:val="000264FA"/>
    <w:rsid w:val="000265BE"/>
    <w:rsid w:val="00026692"/>
    <w:rsid w:val="0002679B"/>
    <w:rsid w:val="0002692C"/>
    <w:rsid w:val="00026A18"/>
    <w:rsid w:val="00030023"/>
    <w:rsid w:val="00030082"/>
    <w:rsid w:val="00030E5C"/>
    <w:rsid w:val="00031238"/>
    <w:rsid w:val="0003149A"/>
    <w:rsid w:val="00032097"/>
    <w:rsid w:val="00032C68"/>
    <w:rsid w:val="0003338D"/>
    <w:rsid w:val="00033654"/>
    <w:rsid w:val="0003383F"/>
    <w:rsid w:val="000340B4"/>
    <w:rsid w:val="00034558"/>
    <w:rsid w:val="00034DDF"/>
    <w:rsid w:val="00035FD0"/>
    <w:rsid w:val="000371F3"/>
    <w:rsid w:val="00037798"/>
    <w:rsid w:val="00037A88"/>
    <w:rsid w:val="00040925"/>
    <w:rsid w:val="00041996"/>
    <w:rsid w:val="00041DE8"/>
    <w:rsid w:val="00042178"/>
    <w:rsid w:val="0004299F"/>
    <w:rsid w:val="00043CD7"/>
    <w:rsid w:val="00044BB2"/>
    <w:rsid w:val="00044C13"/>
    <w:rsid w:val="000458B2"/>
    <w:rsid w:val="00046208"/>
    <w:rsid w:val="00046F28"/>
    <w:rsid w:val="00046FC0"/>
    <w:rsid w:val="00047039"/>
    <w:rsid w:val="000475FA"/>
    <w:rsid w:val="00050A94"/>
    <w:rsid w:val="00050AFE"/>
    <w:rsid w:val="00050FEE"/>
    <w:rsid w:val="00052270"/>
    <w:rsid w:val="0005284C"/>
    <w:rsid w:val="00052875"/>
    <w:rsid w:val="00053B04"/>
    <w:rsid w:val="00054436"/>
    <w:rsid w:val="00054541"/>
    <w:rsid w:val="00054BD9"/>
    <w:rsid w:val="00055526"/>
    <w:rsid w:val="000557DC"/>
    <w:rsid w:val="00056545"/>
    <w:rsid w:val="000569FD"/>
    <w:rsid w:val="00056D95"/>
    <w:rsid w:val="00056E29"/>
    <w:rsid w:val="00057021"/>
    <w:rsid w:val="0005704F"/>
    <w:rsid w:val="000570D9"/>
    <w:rsid w:val="0005763D"/>
    <w:rsid w:val="00057DEE"/>
    <w:rsid w:val="00060AF8"/>
    <w:rsid w:val="000613C9"/>
    <w:rsid w:val="00061A04"/>
    <w:rsid w:val="000625FE"/>
    <w:rsid w:val="00063756"/>
    <w:rsid w:val="0006445B"/>
    <w:rsid w:val="00064907"/>
    <w:rsid w:val="00064DB9"/>
    <w:rsid w:val="00065092"/>
    <w:rsid w:val="00065837"/>
    <w:rsid w:val="00065BF8"/>
    <w:rsid w:val="00065C0A"/>
    <w:rsid w:val="0006701D"/>
    <w:rsid w:val="000676CA"/>
    <w:rsid w:val="0007076F"/>
    <w:rsid w:val="00070E4B"/>
    <w:rsid w:val="00071021"/>
    <w:rsid w:val="00071274"/>
    <w:rsid w:val="0007130C"/>
    <w:rsid w:val="0007172D"/>
    <w:rsid w:val="000724FC"/>
    <w:rsid w:val="00072DD3"/>
    <w:rsid w:val="00073107"/>
    <w:rsid w:val="000733FF"/>
    <w:rsid w:val="000739DE"/>
    <w:rsid w:val="00073A1C"/>
    <w:rsid w:val="00073B4E"/>
    <w:rsid w:val="000742CC"/>
    <w:rsid w:val="00075236"/>
    <w:rsid w:val="00076135"/>
    <w:rsid w:val="0007629B"/>
    <w:rsid w:val="00076601"/>
    <w:rsid w:val="0007715A"/>
    <w:rsid w:val="0007777C"/>
    <w:rsid w:val="00080064"/>
    <w:rsid w:val="00080D08"/>
    <w:rsid w:val="00080F9D"/>
    <w:rsid w:val="000834AD"/>
    <w:rsid w:val="000837C8"/>
    <w:rsid w:val="0008404F"/>
    <w:rsid w:val="0008457F"/>
    <w:rsid w:val="00084587"/>
    <w:rsid w:val="000845BF"/>
    <w:rsid w:val="0008497D"/>
    <w:rsid w:val="00084D7E"/>
    <w:rsid w:val="00084EA1"/>
    <w:rsid w:val="0008585A"/>
    <w:rsid w:val="00085CD4"/>
    <w:rsid w:val="00085EF8"/>
    <w:rsid w:val="000871A4"/>
    <w:rsid w:val="00087273"/>
    <w:rsid w:val="000873F2"/>
    <w:rsid w:val="00087F49"/>
    <w:rsid w:val="00087FFD"/>
    <w:rsid w:val="000908A7"/>
    <w:rsid w:val="00090B28"/>
    <w:rsid w:val="00090C8F"/>
    <w:rsid w:val="00091315"/>
    <w:rsid w:val="000920BB"/>
    <w:rsid w:val="00092404"/>
    <w:rsid w:val="00092851"/>
    <w:rsid w:val="000929A4"/>
    <w:rsid w:val="000932AF"/>
    <w:rsid w:val="00093647"/>
    <w:rsid w:val="00094776"/>
    <w:rsid w:val="0009482D"/>
    <w:rsid w:val="00094991"/>
    <w:rsid w:val="00094FEE"/>
    <w:rsid w:val="000953B9"/>
    <w:rsid w:val="00095BF1"/>
    <w:rsid w:val="00096104"/>
    <w:rsid w:val="0009611C"/>
    <w:rsid w:val="0009633E"/>
    <w:rsid w:val="00096BC7"/>
    <w:rsid w:val="00097169"/>
    <w:rsid w:val="00097A96"/>
    <w:rsid w:val="000A02C4"/>
    <w:rsid w:val="000A0672"/>
    <w:rsid w:val="000A0F38"/>
    <w:rsid w:val="000A1EE4"/>
    <w:rsid w:val="000A2311"/>
    <w:rsid w:val="000A25EE"/>
    <w:rsid w:val="000A2792"/>
    <w:rsid w:val="000A29B3"/>
    <w:rsid w:val="000A2DC6"/>
    <w:rsid w:val="000A3053"/>
    <w:rsid w:val="000A3462"/>
    <w:rsid w:val="000A3479"/>
    <w:rsid w:val="000A379C"/>
    <w:rsid w:val="000A5995"/>
    <w:rsid w:val="000B0538"/>
    <w:rsid w:val="000B060C"/>
    <w:rsid w:val="000B0885"/>
    <w:rsid w:val="000B09E8"/>
    <w:rsid w:val="000B188B"/>
    <w:rsid w:val="000B1A81"/>
    <w:rsid w:val="000B1E9E"/>
    <w:rsid w:val="000B27F1"/>
    <w:rsid w:val="000B2B4C"/>
    <w:rsid w:val="000B398F"/>
    <w:rsid w:val="000B4488"/>
    <w:rsid w:val="000B536A"/>
    <w:rsid w:val="000B551A"/>
    <w:rsid w:val="000B559E"/>
    <w:rsid w:val="000B56EA"/>
    <w:rsid w:val="000B5743"/>
    <w:rsid w:val="000B58C5"/>
    <w:rsid w:val="000B60DD"/>
    <w:rsid w:val="000B75B7"/>
    <w:rsid w:val="000C0B3F"/>
    <w:rsid w:val="000C161D"/>
    <w:rsid w:val="000C1933"/>
    <w:rsid w:val="000C1BC7"/>
    <w:rsid w:val="000C2756"/>
    <w:rsid w:val="000C2998"/>
    <w:rsid w:val="000C29C4"/>
    <w:rsid w:val="000C35B7"/>
    <w:rsid w:val="000C3F8F"/>
    <w:rsid w:val="000C424D"/>
    <w:rsid w:val="000C48B5"/>
    <w:rsid w:val="000C5426"/>
    <w:rsid w:val="000C5675"/>
    <w:rsid w:val="000C56CC"/>
    <w:rsid w:val="000C5773"/>
    <w:rsid w:val="000C5890"/>
    <w:rsid w:val="000C5DF0"/>
    <w:rsid w:val="000C6810"/>
    <w:rsid w:val="000C69EB"/>
    <w:rsid w:val="000C7745"/>
    <w:rsid w:val="000C777D"/>
    <w:rsid w:val="000D0A91"/>
    <w:rsid w:val="000D0C3B"/>
    <w:rsid w:val="000D0E28"/>
    <w:rsid w:val="000D18BB"/>
    <w:rsid w:val="000D1911"/>
    <w:rsid w:val="000D1C0D"/>
    <w:rsid w:val="000D2315"/>
    <w:rsid w:val="000D25FC"/>
    <w:rsid w:val="000D2608"/>
    <w:rsid w:val="000D2FB8"/>
    <w:rsid w:val="000D3C06"/>
    <w:rsid w:val="000D4A08"/>
    <w:rsid w:val="000D4C87"/>
    <w:rsid w:val="000D5214"/>
    <w:rsid w:val="000D524F"/>
    <w:rsid w:val="000D691E"/>
    <w:rsid w:val="000D7696"/>
    <w:rsid w:val="000D784F"/>
    <w:rsid w:val="000D7AC1"/>
    <w:rsid w:val="000D7DAA"/>
    <w:rsid w:val="000E010C"/>
    <w:rsid w:val="000E053F"/>
    <w:rsid w:val="000E1060"/>
    <w:rsid w:val="000E174D"/>
    <w:rsid w:val="000E1A19"/>
    <w:rsid w:val="000E2293"/>
    <w:rsid w:val="000E2A80"/>
    <w:rsid w:val="000E44E7"/>
    <w:rsid w:val="000E4852"/>
    <w:rsid w:val="000E4DBE"/>
    <w:rsid w:val="000E4F90"/>
    <w:rsid w:val="000E59EF"/>
    <w:rsid w:val="000E66AD"/>
    <w:rsid w:val="000E675B"/>
    <w:rsid w:val="000E762B"/>
    <w:rsid w:val="000E77D7"/>
    <w:rsid w:val="000F0FA0"/>
    <w:rsid w:val="000F0FFF"/>
    <w:rsid w:val="000F18F7"/>
    <w:rsid w:val="000F1A2D"/>
    <w:rsid w:val="000F300B"/>
    <w:rsid w:val="000F312E"/>
    <w:rsid w:val="000F3D97"/>
    <w:rsid w:val="000F466C"/>
    <w:rsid w:val="000F4E02"/>
    <w:rsid w:val="000F52E3"/>
    <w:rsid w:val="000F573A"/>
    <w:rsid w:val="000F5801"/>
    <w:rsid w:val="000F58D7"/>
    <w:rsid w:val="000F6314"/>
    <w:rsid w:val="000F653E"/>
    <w:rsid w:val="000F6DBD"/>
    <w:rsid w:val="000F741D"/>
    <w:rsid w:val="001001D9"/>
    <w:rsid w:val="00100223"/>
    <w:rsid w:val="0010139B"/>
    <w:rsid w:val="00102A52"/>
    <w:rsid w:val="00102A6B"/>
    <w:rsid w:val="00103A3E"/>
    <w:rsid w:val="00103A82"/>
    <w:rsid w:val="00103C80"/>
    <w:rsid w:val="0010435A"/>
    <w:rsid w:val="001051E4"/>
    <w:rsid w:val="00105A45"/>
    <w:rsid w:val="001063F1"/>
    <w:rsid w:val="0010644F"/>
    <w:rsid w:val="00106809"/>
    <w:rsid w:val="00106B97"/>
    <w:rsid w:val="00106C7B"/>
    <w:rsid w:val="00106D73"/>
    <w:rsid w:val="0010723A"/>
    <w:rsid w:val="00107543"/>
    <w:rsid w:val="00107A59"/>
    <w:rsid w:val="001103E9"/>
    <w:rsid w:val="00111331"/>
    <w:rsid w:val="00111832"/>
    <w:rsid w:val="001128E2"/>
    <w:rsid w:val="00112D42"/>
    <w:rsid w:val="00113F93"/>
    <w:rsid w:val="00114282"/>
    <w:rsid w:val="00114FE8"/>
    <w:rsid w:val="00115A75"/>
    <w:rsid w:val="001160C5"/>
    <w:rsid w:val="00116294"/>
    <w:rsid w:val="00116677"/>
    <w:rsid w:val="00116BCB"/>
    <w:rsid w:val="00116D95"/>
    <w:rsid w:val="00117CD7"/>
    <w:rsid w:val="00121738"/>
    <w:rsid w:val="00121DA7"/>
    <w:rsid w:val="00122015"/>
    <w:rsid w:val="00122016"/>
    <w:rsid w:val="00122CC7"/>
    <w:rsid w:val="00123471"/>
    <w:rsid w:val="001253F3"/>
    <w:rsid w:val="001263AA"/>
    <w:rsid w:val="00126BAB"/>
    <w:rsid w:val="00126EB6"/>
    <w:rsid w:val="00126F75"/>
    <w:rsid w:val="001279BA"/>
    <w:rsid w:val="00127A48"/>
    <w:rsid w:val="001310AB"/>
    <w:rsid w:val="00131176"/>
    <w:rsid w:val="00131457"/>
    <w:rsid w:val="001329D0"/>
    <w:rsid w:val="00132FA6"/>
    <w:rsid w:val="0013327F"/>
    <w:rsid w:val="00133918"/>
    <w:rsid w:val="00133D45"/>
    <w:rsid w:val="00134C89"/>
    <w:rsid w:val="00134E84"/>
    <w:rsid w:val="001361B0"/>
    <w:rsid w:val="0013663E"/>
    <w:rsid w:val="00136A90"/>
    <w:rsid w:val="00137772"/>
    <w:rsid w:val="00137786"/>
    <w:rsid w:val="00137A4E"/>
    <w:rsid w:val="00137CC4"/>
    <w:rsid w:val="00137E9D"/>
    <w:rsid w:val="00137F4E"/>
    <w:rsid w:val="00140609"/>
    <w:rsid w:val="00141273"/>
    <w:rsid w:val="00141322"/>
    <w:rsid w:val="0014195F"/>
    <w:rsid w:val="001421C9"/>
    <w:rsid w:val="00142242"/>
    <w:rsid w:val="001427AC"/>
    <w:rsid w:val="00142A52"/>
    <w:rsid w:val="00142EFA"/>
    <w:rsid w:val="001437EC"/>
    <w:rsid w:val="00144507"/>
    <w:rsid w:val="00145171"/>
    <w:rsid w:val="00145311"/>
    <w:rsid w:val="0014676B"/>
    <w:rsid w:val="00146925"/>
    <w:rsid w:val="00146DFB"/>
    <w:rsid w:val="00146E14"/>
    <w:rsid w:val="001473D0"/>
    <w:rsid w:val="00151825"/>
    <w:rsid w:val="00151A94"/>
    <w:rsid w:val="00153415"/>
    <w:rsid w:val="001539C9"/>
    <w:rsid w:val="00153BBC"/>
    <w:rsid w:val="00153F56"/>
    <w:rsid w:val="00154216"/>
    <w:rsid w:val="00154258"/>
    <w:rsid w:val="00154650"/>
    <w:rsid w:val="00154855"/>
    <w:rsid w:val="0015517A"/>
    <w:rsid w:val="00155AC4"/>
    <w:rsid w:val="00155B01"/>
    <w:rsid w:val="0015711A"/>
    <w:rsid w:val="0015711E"/>
    <w:rsid w:val="00157DD7"/>
    <w:rsid w:val="00160A52"/>
    <w:rsid w:val="0016120C"/>
    <w:rsid w:val="001620D6"/>
    <w:rsid w:val="00162402"/>
    <w:rsid w:val="00162B86"/>
    <w:rsid w:val="00162EC0"/>
    <w:rsid w:val="00164149"/>
    <w:rsid w:val="00164D49"/>
    <w:rsid w:val="0016528E"/>
    <w:rsid w:val="00165CF9"/>
    <w:rsid w:val="00165D43"/>
    <w:rsid w:val="00165D7E"/>
    <w:rsid w:val="0016632C"/>
    <w:rsid w:val="001704FF"/>
    <w:rsid w:val="001709D7"/>
    <w:rsid w:val="00170E3C"/>
    <w:rsid w:val="00171BA6"/>
    <w:rsid w:val="00172112"/>
    <w:rsid w:val="00172F8B"/>
    <w:rsid w:val="00173D88"/>
    <w:rsid w:val="00174046"/>
    <w:rsid w:val="00174141"/>
    <w:rsid w:val="001742B8"/>
    <w:rsid w:val="00174991"/>
    <w:rsid w:val="00175948"/>
    <w:rsid w:val="001760D2"/>
    <w:rsid w:val="0017677D"/>
    <w:rsid w:val="00176F62"/>
    <w:rsid w:val="00177369"/>
    <w:rsid w:val="00177F0A"/>
    <w:rsid w:val="00180420"/>
    <w:rsid w:val="00180816"/>
    <w:rsid w:val="00180922"/>
    <w:rsid w:val="00180931"/>
    <w:rsid w:val="00180DBB"/>
    <w:rsid w:val="00180FDB"/>
    <w:rsid w:val="00181450"/>
    <w:rsid w:val="0018216A"/>
    <w:rsid w:val="00183139"/>
    <w:rsid w:val="00183507"/>
    <w:rsid w:val="00184D62"/>
    <w:rsid w:val="001858F5"/>
    <w:rsid w:val="00186015"/>
    <w:rsid w:val="001865FE"/>
    <w:rsid w:val="00186871"/>
    <w:rsid w:val="0018687F"/>
    <w:rsid w:val="0018764D"/>
    <w:rsid w:val="00187679"/>
    <w:rsid w:val="001879CA"/>
    <w:rsid w:val="001879EE"/>
    <w:rsid w:val="001902F1"/>
    <w:rsid w:val="00190897"/>
    <w:rsid w:val="00190C5C"/>
    <w:rsid w:val="00190F07"/>
    <w:rsid w:val="0019171C"/>
    <w:rsid w:val="0019174D"/>
    <w:rsid w:val="00191B48"/>
    <w:rsid w:val="00191E41"/>
    <w:rsid w:val="00191EEA"/>
    <w:rsid w:val="00192126"/>
    <w:rsid w:val="001925DB"/>
    <w:rsid w:val="00192915"/>
    <w:rsid w:val="001938BF"/>
    <w:rsid w:val="001946FB"/>
    <w:rsid w:val="00194C59"/>
    <w:rsid w:val="0019504D"/>
    <w:rsid w:val="0019518B"/>
    <w:rsid w:val="0019518E"/>
    <w:rsid w:val="0019525B"/>
    <w:rsid w:val="0019577C"/>
    <w:rsid w:val="00195BA5"/>
    <w:rsid w:val="001968C6"/>
    <w:rsid w:val="00196C86"/>
    <w:rsid w:val="0019754B"/>
    <w:rsid w:val="0019792B"/>
    <w:rsid w:val="00197A7E"/>
    <w:rsid w:val="00197DB3"/>
    <w:rsid w:val="001A04EF"/>
    <w:rsid w:val="001A08BE"/>
    <w:rsid w:val="001A0CAD"/>
    <w:rsid w:val="001A137E"/>
    <w:rsid w:val="001A1667"/>
    <w:rsid w:val="001A1F4D"/>
    <w:rsid w:val="001A20F9"/>
    <w:rsid w:val="001A38FC"/>
    <w:rsid w:val="001A3EAF"/>
    <w:rsid w:val="001A4088"/>
    <w:rsid w:val="001A46CD"/>
    <w:rsid w:val="001A4CCD"/>
    <w:rsid w:val="001A50AA"/>
    <w:rsid w:val="001A521C"/>
    <w:rsid w:val="001A5962"/>
    <w:rsid w:val="001A5A44"/>
    <w:rsid w:val="001A5A73"/>
    <w:rsid w:val="001A6891"/>
    <w:rsid w:val="001A6EB0"/>
    <w:rsid w:val="001A78EF"/>
    <w:rsid w:val="001A7F75"/>
    <w:rsid w:val="001B000D"/>
    <w:rsid w:val="001B1564"/>
    <w:rsid w:val="001B1A36"/>
    <w:rsid w:val="001B1B74"/>
    <w:rsid w:val="001B246F"/>
    <w:rsid w:val="001B2C5D"/>
    <w:rsid w:val="001B2F54"/>
    <w:rsid w:val="001B38E3"/>
    <w:rsid w:val="001B4BAC"/>
    <w:rsid w:val="001B4D90"/>
    <w:rsid w:val="001B5259"/>
    <w:rsid w:val="001B5862"/>
    <w:rsid w:val="001B58EE"/>
    <w:rsid w:val="001B5CD7"/>
    <w:rsid w:val="001B60EF"/>
    <w:rsid w:val="001B6A2B"/>
    <w:rsid w:val="001B79A9"/>
    <w:rsid w:val="001B7B00"/>
    <w:rsid w:val="001B7DEA"/>
    <w:rsid w:val="001C01EE"/>
    <w:rsid w:val="001C0B92"/>
    <w:rsid w:val="001C0C1B"/>
    <w:rsid w:val="001C0FBC"/>
    <w:rsid w:val="001C1207"/>
    <w:rsid w:val="001C1CF3"/>
    <w:rsid w:val="001C3BAF"/>
    <w:rsid w:val="001C434C"/>
    <w:rsid w:val="001C525F"/>
    <w:rsid w:val="001C62A8"/>
    <w:rsid w:val="001C7FB2"/>
    <w:rsid w:val="001D098C"/>
    <w:rsid w:val="001D0AB2"/>
    <w:rsid w:val="001D12DD"/>
    <w:rsid w:val="001D249D"/>
    <w:rsid w:val="001D2707"/>
    <w:rsid w:val="001D2E01"/>
    <w:rsid w:val="001D2FFF"/>
    <w:rsid w:val="001D3612"/>
    <w:rsid w:val="001D397B"/>
    <w:rsid w:val="001D3ED6"/>
    <w:rsid w:val="001D4C08"/>
    <w:rsid w:val="001D5A8C"/>
    <w:rsid w:val="001D5F8B"/>
    <w:rsid w:val="001D5FC3"/>
    <w:rsid w:val="001D69B9"/>
    <w:rsid w:val="001D72B7"/>
    <w:rsid w:val="001D7636"/>
    <w:rsid w:val="001E1032"/>
    <w:rsid w:val="001E165E"/>
    <w:rsid w:val="001E20CF"/>
    <w:rsid w:val="001E2B2E"/>
    <w:rsid w:val="001E2C1A"/>
    <w:rsid w:val="001E32AA"/>
    <w:rsid w:val="001E39E8"/>
    <w:rsid w:val="001E403C"/>
    <w:rsid w:val="001E4537"/>
    <w:rsid w:val="001E4B3B"/>
    <w:rsid w:val="001E510E"/>
    <w:rsid w:val="001E64EB"/>
    <w:rsid w:val="001E66EA"/>
    <w:rsid w:val="001E6D83"/>
    <w:rsid w:val="001E722F"/>
    <w:rsid w:val="001E747C"/>
    <w:rsid w:val="001E7BF0"/>
    <w:rsid w:val="001E7D44"/>
    <w:rsid w:val="001F0514"/>
    <w:rsid w:val="001F0F3B"/>
    <w:rsid w:val="001F17CA"/>
    <w:rsid w:val="001F1AD5"/>
    <w:rsid w:val="001F1C2E"/>
    <w:rsid w:val="001F221C"/>
    <w:rsid w:val="001F29A8"/>
    <w:rsid w:val="001F2BD2"/>
    <w:rsid w:val="001F3122"/>
    <w:rsid w:val="001F46DB"/>
    <w:rsid w:val="001F46FB"/>
    <w:rsid w:val="001F508E"/>
    <w:rsid w:val="001F5CBD"/>
    <w:rsid w:val="0020162E"/>
    <w:rsid w:val="002016C8"/>
    <w:rsid w:val="00201A78"/>
    <w:rsid w:val="0020303A"/>
    <w:rsid w:val="002036AF"/>
    <w:rsid w:val="002036D1"/>
    <w:rsid w:val="002041AA"/>
    <w:rsid w:val="00204C86"/>
    <w:rsid w:val="0020511F"/>
    <w:rsid w:val="002057B3"/>
    <w:rsid w:val="00205BBD"/>
    <w:rsid w:val="00206FA9"/>
    <w:rsid w:val="0020777A"/>
    <w:rsid w:val="00207D49"/>
    <w:rsid w:val="002118BC"/>
    <w:rsid w:val="002118FC"/>
    <w:rsid w:val="00211EC6"/>
    <w:rsid w:val="00213033"/>
    <w:rsid w:val="0021356F"/>
    <w:rsid w:val="00213AF9"/>
    <w:rsid w:val="00213C95"/>
    <w:rsid w:val="00213E3A"/>
    <w:rsid w:val="00215494"/>
    <w:rsid w:val="0021582B"/>
    <w:rsid w:val="00216C7E"/>
    <w:rsid w:val="002174CA"/>
    <w:rsid w:val="00217D92"/>
    <w:rsid w:val="00220C44"/>
    <w:rsid w:val="002216CD"/>
    <w:rsid w:val="002221A7"/>
    <w:rsid w:val="0022265F"/>
    <w:rsid w:val="00222B27"/>
    <w:rsid w:val="00223409"/>
    <w:rsid w:val="002234ED"/>
    <w:rsid w:val="00223AE9"/>
    <w:rsid w:val="002246C0"/>
    <w:rsid w:val="0022591F"/>
    <w:rsid w:val="00226038"/>
    <w:rsid w:val="00226E74"/>
    <w:rsid w:val="00226F0C"/>
    <w:rsid w:val="00227268"/>
    <w:rsid w:val="0022766A"/>
    <w:rsid w:val="002305B1"/>
    <w:rsid w:val="002309DA"/>
    <w:rsid w:val="002318E9"/>
    <w:rsid w:val="0023218A"/>
    <w:rsid w:val="00232BE0"/>
    <w:rsid w:val="00232F7C"/>
    <w:rsid w:val="0023376A"/>
    <w:rsid w:val="002338F2"/>
    <w:rsid w:val="00234014"/>
    <w:rsid w:val="0023406F"/>
    <w:rsid w:val="00234234"/>
    <w:rsid w:val="002345CB"/>
    <w:rsid w:val="00234AD8"/>
    <w:rsid w:val="00234CAF"/>
    <w:rsid w:val="0023521E"/>
    <w:rsid w:val="00235294"/>
    <w:rsid w:val="00235490"/>
    <w:rsid w:val="00235AFB"/>
    <w:rsid w:val="00235DF4"/>
    <w:rsid w:val="002361EE"/>
    <w:rsid w:val="00237430"/>
    <w:rsid w:val="00237556"/>
    <w:rsid w:val="00237EA3"/>
    <w:rsid w:val="00237F22"/>
    <w:rsid w:val="002406F1"/>
    <w:rsid w:val="00240760"/>
    <w:rsid w:val="00241090"/>
    <w:rsid w:val="00241BE2"/>
    <w:rsid w:val="0024303B"/>
    <w:rsid w:val="00243CDA"/>
    <w:rsid w:val="00244495"/>
    <w:rsid w:val="00244C0F"/>
    <w:rsid w:val="00244D00"/>
    <w:rsid w:val="00244DF6"/>
    <w:rsid w:val="00245560"/>
    <w:rsid w:val="00245A5F"/>
    <w:rsid w:val="002460DA"/>
    <w:rsid w:val="00247F44"/>
    <w:rsid w:val="00251D4E"/>
    <w:rsid w:val="00251DE4"/>
    <w:rsid w:val="00252AF5"/>
    <w:rsid w:val="00253292"/>
    <w:rsid w:val="002538CE"/>
    <w:rsid w:val="00253CAB"/>
    <w:rsid w:val="002540F1"/>
    <w:rsid w:val="00254421"/>
    <w:rsid w:val="00254623"/>
    <w:rsid w:val="00254658"/>
    <w:rsid w:val="00254785"/>
    <w:rsid w:val="00255309"/>
    <w:rsid w:val="002553D8"/>
    <w:rsid w:val="002559CC"/>
    <w:rsid w:val="00255DF5"/>
    <w:rsid w:val="002560A8"/>
    <w:rsid w:val="00257B39"/>
    <w:rsid w:val="00257C5A"/>
    <w:rsid w:val="00260377"/>
    <w:rsid w:val="0026088F"/>
    <w:rsid w:val="002608F0"/>
    <w:rsid w:val="0026167F"/>
    <w:rsid w:val="00261D7B"/>
    <w:rsid w:val="00262139"/>
    <w:rsid w:val="0026245B"/>
    <w:rsid w:val="002624DB"/>
    <w:rsid w:val="002639F9"/>
    <w:rsid w:val="00263A1B"/>
    <w:rsid w:val="00263B9F"/>
    <w:rsid w:val="00264077"/>
    <w:rsid w:val="002644FF"/>
    <w:rsid w:val="00265483"/>
    <w:rsid w:val="00265C49"/>
    <w:rsid w:val="00265E17"/>
    <w:rsid w:val="00266C53"/>
    <w:rsid w:val="00267648"/>
    <w:rsid w:val="00270863"/>
    <w:rsid w:val="00270BB0"/>
    <w:rsid w:val="00270D94"/>
    <w:rsid w:val="002718B0"/>
    <w:rsid w:val="00271923"/>
    <w:rsid w:val="002729ED"/>
    <w:rsid w:val="0027383E"/>
    <w:rsid w:val="00273B03"/>
    <w:rsid w:val="00273E8D"/>
    <w:rsid w:val="00273F1F"/>
    <w:rsid w:val="00274016"/>
    <w:rsid w:val="00274520"/>
    <w:rsid w:val="00274943"/>
    <w:rsid w:val="00275231"/>
    <w:rsid w:val="00276C16"/>
    <w:rsid w:val="00277403"/>
    <w:rsid w:val="002777C5"/>
    <w:rsid w:val="00277887"/>
    <w:rsid w:val="00277F79"/>
    <w:rsid w:val="0028000E"/>
    <w:rsid w:val="0028092F"/>
    <w:rsid w:val="002814FF"/>
    <w:rsid w:val="00281AFE"/>
    <w:rsid w:val="00281F94"/>
    <w:rsid w:val="002830A3"/>
    <w:rsid w:val="002831DE"/>
    <w:rsid w:val="00285B77"/>
    <w:rsid w:val="002864E0"/>
    <w:rsid w:val="0028697B"/>
    <w:rsid w:val="00286CB0"/>
    <w:rsid w:val="00286D61"/>
    <w:rsid w:val="00287536"/>
    <w:rsid w:val="00290C14"/>
    <w:rsid w:val="00290D70"/>
    <w:rsid w:val="00290EA5"/>
    <w:rsid w:val="00291CEE"/>
    <w:rsid w:val="00291F78"/>
    <w:rsid w:val="00292561"/>
    <w:rsid w:val="00292871"/>
    <w:rsid w:val="002932C1"/>
    <w:rsid w:val="00294737"/>
    <w:rsid w:val="00295DEE"/>
    <w:rsid w:val="002A0182"/>
    <w:rsid w:val="002A190A"/>
    <w:rsid w:val="002A1D17"/>
    <w:rsid w:val="002A2E4E"/>
    <w:rsid w:val="002A2F61"/>
    <w:rsid w:val="002A30CF"/>
    <w:rsid w:val="002A3140"/>
    <w:rsid w:val="002A3B81"/>
    <w:rsid w:val="002A3BAD"/>
    <w:rsid w:val="002A3D6F"/>
    <w:rsid w:val="002A4B2C"/>
    <w:rsid w:val="002A4C50"/>
    <w:rsid w:val="002A5125"/>
    <w:rsid w:val="002A571E"/>
    <w:rsid w:val="002A59FC"/>
    <w:rsid w:val="002A5E34"/>
    <w:rsid w:val="002A60C0"/>
    <w:rsid w:val="002A62EF"/>
    <w:rsid w:val="002A663F"/>
    <w:rsid w:val="002A6796"/>
    <w:rsid w:val="002A6F62"/>
    <w:rsid w:val="002A7C9C"/>
    <w:rsid w:val="002A7D1A"/>
    <w:rsid w:val="002B005D"/>
    <w:rsid w:val="002B0269"/>
    <w:rsid w:val="002B0CBE"/>
    <w:rsid w:val="002B1CAC"/>
    <w:rsid w:val="002B336B"/>
    <w:rsid w:val="002B3370"/>
    <w:rsid w:val="002B35C9"/>
    <w:rsid w:val="002B3D68"/>
    <w:rsid w:val="002B40C8"/>
    <w:rsid w:val="002B41C8"/>
    <w:rsid w:val="002B4B3A"/>
    <w:rsid w:val="002B527E"/>
    <w:rsid w:val="002B62CC"/>
    <w:rsid w:val="002B6B66"/>
    <w:rsid w:val="002B6C7E"/>
    <w:rsid w:val="002B7328"/>
    <w:rsid w:val="002B7A80"/>
    <w:rsid w:val="002C02AB"/>
    <w:rsid w:val="002C07E9"/>
    <w:rsid w:val="002C0E7D"/>
    <w:rsid w:val="002C10F3"/>
    <w:rsid w:val="002C1395"/>
    <w:rsid w:val="002C1992"/>
    <w:rsid w:val="002C1AA8"/>
    <w:rsid w:val="002C1E53"/>
    <w:rsid w:val="002C20BD"/>
    <w:rsid w:val="002C2598"/>
    <w:rsid w:val="002C2939"/>
    <w:rsid w:val="002C2A39"/>
    <w:rsid w:val="002C3711"/>
    <w:rsid w:val="002C3FE7"/>
    <w:rsid w:val="002C4486"/>
    <w:rsid w:val="002C4994"/>
    <w:rsid w:val="002C4A07"/>
    <w:rsid w:val="002C4B05"/>
    <w:rsid w:val="002C4BBA"/>
    <w:rsid w:val="002C6B05"/>
    <w:rsid w:val="002C6BDA"/>
    <w:rsid w:val="002C6E80"/>
    <w:rsid w:val="002D00B1"/>
    <w:rsid w:val="002D0265"/>
    <w:rsid w:val="002D0C87"/>
    <w:rsid w:val="002D1755"/>
    <w:rsid w:val="002D188E"/>
    <w:rsid w:val="002D1EB5"/>
    <w:rsid w:val="002D252A"/>
    <w:rsid w:val="002D2D43"/>
    <w:rsid w:val="002D303E"/>
    <w:rsid w:val="002D3D56"/>
    <w:rsid w:val="002D5405"/>
    <w:rsid w:val="002D60EF"/>
    <w:rsid w:val="002D6585"/>
    <w:rsid w:val="002D65FA"/>
    <w:rsid w:val="002D71E6"/>
    <w:rsid w:val="002D7308"/>
    <w:rsid w:val="002E0696"/>
    <w:rsid w:val="002E141D"/>
    <w:rsid w:val="002E190D"/>
    <w:rsid w:val="002E3037"/>
    <w:rsid w:val="002E3095"/>
    <w:rsid w:val="002E3F7A"/>
    <w:rsid w:val="002E3FE9"/>
    <w:rsid w:val="002E4706"/>
    <w:rsid w:val="002E5464"/>
    <w:rsid w:val="002E68B3"/>
    <w:rsid w:val="002E6B29"/>
    <w:rsid w:val="002E6B49"/>
    <w:rsid w:val="002E77D8"/>
    <w:rsid w:val="002E796D"/>
    <w:rsid w:val="002E7D77"/>
    <w:rsid w:val="002F07C8"/>
    <w:rsid w:val="002F10FA"/>
    <w:rsid w:val="002F1166"/>
    <w:rsid w:val="002F210D"/>
    <w:rsid w:val="002F21E9"/>
    <w:rsid w:val="002F2705"/>
    <w:rsid w:val="002F2921"/>
    <w:rsid w:val="002F2C20"/>
    <w:rsid w:val="002F312B"/>
    <w:rsid w:val="002F37F9"/>
    <w:rsid w:val="002F3B0B"/>
    <w:rsid w:val="002F3E7E"/>
    <w:rsid w:val="002F3FD7"/>
    <w:rsid w:val="002F3FF5"/>
    <w:rsid w:val="002F6488"/>
    <w:rsid w:val="002F791B"/>
    <w:rsid w:val="00300193"/>
    <w:rsid w:val="003001AB"/>
    <w:rsid w:val="00300DAD"/>
    <w:rsid w:val="00301222"/>
    <w:rsid w:val="003022F6"/>
    <w:rsid w:val="00303100"/>
    <w:rsid w:val="0030586E"/>
    <w:rsid w:val="0030630F"/>
    <w:rsid w:val="00306741"/>
    <w:rsid w:val="00306D6C"/>
    <w:rsid w:val="0030721E"/>
    <w:rsid w:val="003075B1"/>
    <w:rsid w:val="003075D2"/>
    <w:rsid w:val="00307924"/>
    <w:rsid w:val="00307FCF"/>
    <w:rsid w:val="003100E8"/>
    <w:rsid w:val="00310372"/>
    <w:rsid w:val="003112BF"/>
    <w:rsid w:val="00311E1C"/>
    <w:rsid w:val="003125C3"/>
    <w:rsid w:val="00312D60"/>
    <w:rsid w:val="00313EC3"/>
    <w:rsid w:val="00314511"/>
    <w:rsid w:val="003145D6"/>
    <w:rsid w:val="003149C1"/>
    <w:rsid w:val="003157D6"/>
    <w:rsid w:val="00315A89"/>
    <w:rsid w:val="00316550"/>
    <w:rsid w:val="00316E4D"/>
    <w:rsid w:val="00316F20"/>
    <w:rsid w:val="00320531"/>
    <w:rsid w:val="00320E35"/>
    <w:rsid w:val="00320EFB"/>
    <w:rsid w:val="00321F36"/>
    <w:rsid w:val="003225FA"/>
    <w:rsid w:val="003227CC"/>
    <w:rsid w:val="00323542"/>
    <w:rsid w:val="00323E38"/>
    <w:rsid w:val="003242CE"/>
    <w:rsid w:val="00325507"/>
    <w:rsid w:val="00326244"/>
    <w:rsid w:val="003268D6"/>
    <w:rsid w:val="00327711"/>
    <w:rsid w:val="00327ED5"/>
    <w:rsid w:val="0033025F"/>
    <w:rsid w:val="0033257E"/>
    <w:rsid w:val="00332E48"/>
    <w:rsid w:val="00332FD3"/>
    <w:rsid w:val="003340DF"/>
    <w:rsid w:val="0033470E"/>
    <w:rsid w:val="00334B6B"/>
    <w:rsid w:val="00335E86"/>
    <w:rsid w:val="003366A0"/>
    <w:rsid w:val="003368E6"/>
    <w:rsid w:val="0034157D"/>
    <w:rsid w:val="003420D2"/>
    <w:rsid w:val="00342375"/>
    <w:rsid w:val="00342CAA"/>
    <w:rsid w:val="00342E84"/>
    <w:rsid w:val="0034330E"/>
    <w:rsid w:val="00343D47"/>
    <w:rsid w:val="00343D90"/>
    <w:rsid w:val="0034646C"/>
    <w:rsid w:val="003473C6"/>
    <w:rsid w:val="0035025E"/>
    <w:rsid w:val="0035069B"/>
    <w:rsid w:val="0035198B"/>
    <w:rsid w:val="00351E52"/>
    <w:rsid w:val="00352534"/>
    <w:rsid w:val="0035263B"/>
    <w:rsid w:val="00352944"/>
    <w:rsid w:val="003536A9"/>
    <w:rsid w:val="00354D6B"/>
    <w:rsid w:val="00355749"/>
    <w:rsid w:val="00356343"/>
    <w:rsid w:val="00356B9E"/>
    <w:rsid w:val="00356DE7"/>
    <w:rsid w:val="00356EBF"/>
    <w:rsid w:val="00357DE7"/>
    <w:rsid w:val="003616E0"/>
    <w:rsid w:val="00362151"/>
    <w:rsid w:val="0036274A"/>
    <w:rsid w:val="00363B48"/>
    <w:rsid w:val="00364152"/>
    <w:rsid w:val="00364379"/>
    <w:rsid w:val="0036468B"/>
    <w:rsid w:val="00364A05"/>
    <w:rsid w:val="00364F90"/>
    <w:rsid w:val="00365424"/>
    <w:rsid w:val="00365823"/>
    <w:rsid w:val="00365B2A"/>
    <w:rsid w:val="00366223"/>
    <w:rsid w:val="0036651F"/>
    <w:rsid w:val="00366A9F"/>
    <w:rsid w:val="00367134"/>
    <w:rsid w:val="0036788C"/>
    <w:rsid w:val="00367F2A"/>
    <w:rsid w:val="00370509"/>
    <w:rsid w:val="0037120B"/>
    <w:rsid w:val="00371E2D"/>
    <w:rsid w:val="003725C6"/>
    <w:rsid w:val="00372F7C"/>
    <w:rsid w:val="00374409"/>
    <w:rsid w:val="00374FE4"/>
    <w:rsid w:val="00375984"/>
    <w:rsid w:val="0037622C"/>
    <w:rsid w:val="00376298"/>
    <w:rsid w:val="00380091"/>
    <w:rsid w:val="00380B0A"/>
    <w:rsid w:val="00380F31"/>
    <w:rsid w:val="0038149D"/>
    <w:rsid w:val="00381C9B"/>
    <w:rsid w:val="00381F94"/>
    <w:rsid w:val="0038286F"/>
    <w:rsid w:val="00385867"/>
    <w:rsid w:val="003863B3"/>
    <w:rsid w:val="003870B9"/>
    <w:rsid w:val="00387766"/>
    <w:rsid w:val="00390AAE"/>
    <w:rsid w:val="00390BEA"/>
    <w:rsid w:val="00390D04"/>
    <w:rsid w:val="003913D7"/>
    <w:rsid w:val="0039172C"/>
    <w:rsid w:val="003918F8"/>
    <w:rsid w:val="00391C9E"/>
    <w:rsid w:val="00391E65"/>
    <w:rsid w:val="00392237"/>
    <w:rsid w:val="00392C15"/>
    <w:rsid w:val="003936F1"/>
    <w:rsid w:val="00393790"/>
    <w:rsid w:val="00393892"/>
    <w:rsid w:val="003939CA"/>
    <w:rsid w:val="00393C29"/>
    <w:rsid w:val="00393FE6"/>
    <w:rsid w:val="003941D2"/>
    <w:rsid w:val="003944BA"/>
    <w:rsid w:val="0039467C"/>
    <w:rsid w:val="00396053"/>
    <w:rsid w:val="00396219"/>
    <w:rsid w:val="00396FCC"/>
    <w:rsid w:val="00397408"/>
    <w:rsid w:val="003A048A"/>
    <w:rsid w:val="003A06BC"/>
    <w:rsid w:val="003A230F"/>
    <w:rsid w:val="003A3B4C"/>
    <w:rsid w:val="003A3B50"/>
    <w:rsid w:val="003A4246"/>
    <w:rsid w:val="003A5623"/>
    <w:rsid w:val="003A6953"/>
    <w:rsid w:val="003A6D26"/>
    <w:rsid w:val="003B06A7"/>
    <w:rsid w:val="003B0C81"/>
    <w:rsid w:val="003B14D0"/>
    <w:rsid w:val="003B1985"/>
    <w:rsid w:val="003B1A8D"/>
    <w:rsid w:val="003B29AB"/>
    <w:rsid w:val="003B30AC"/>
    <w:rsid w:val="003B36D1"/>
    <w:rsid w:val="003B4015"/>
    <w:rsid w:val="003B40DA"/>
    <w:rsid w:val="003B4996"/>
    <w:rsid w:val="003B592B"/>
    <w:rsid w:val="003B6170"/>
    <w:rsid w:val="003B6382"/>
    <w:rsid w:val="003B66F1"/>
    <w:rsid w:val="003B6E47"/>
    <w:rsid w:val="003B7A33"/>
    <w:rsid w:val="003C084A"/>
    <w:rsid w:val="003C0CB2"/>
    <w:rsid w:val="003C0D5E"/>
    <w:rsid w:val="003C1085"/>
    <w:rsid w:val="003C17E6"/>
    <w:rsid w:val="003C18FC"/>
    <w:rsid w:val="003C1953"/>
    <w:rsid w:val="003C1BCC"/>
    <w:rsid w:val="003C1CD0"/>
    <w:rsid w:val="003C1CEE"/>
    <w:rsid w:val="003C21C6"/>
    <w:rsid w:val="003C3611"/>
    <w:rsid w:val="003C387D"/>
    <w:rsid w:val="003C465D"/>
    <w:rsid w:val="003C51F4"/>
    <w:rsid w:val="003C59AD"/>
    <w:rsid w:val="003C5B25"/>
    <w:rsid w:val="003C640D"/>
    <w:rsid w:val="003C70A6"/>
    <w:rsid w:val="003D29D2"/>
    <w:rsid w:val="003D3268"/>
    <w:rsid w:val="003D3311"/>
    <w:rsid w:val="003D60A0"/>
    <w:rsid w:val="003D73A5"/>
    <w:rsid w:val="003D757B"/>
    <w:rsid w:val="003D76BD"/>
    <w:rsid w:val="003D781C"/>
    <w:rsid w:val="003D7A8D"/>
    <w:rsid w:val="003D7D59"/>
    <w:rsid w:val="003E002D"/>
    <w:rsid w:val="003E0BE2"/>
    <w:rsid w:val="003E0E09"/>
    <w:rsid w:val="003E0E6E"/>
    <w:rsid w:val="003E112A"/>
    <w:rsid w:val="003E11A4"/>
    <w:rsid w:val="003E1A1B"/>
    <w:rsid w:val="003E43C8"/>
    <w:rsid w:val="003E4D72"/>
    <w:rsid w:val="003E4F74"/>
    <w:rsid w:val="003E59E1"/>
    <w:rsid w:val="003E6C6A"/>
    <w:rsid w:val="003E738B"/>
    <w:rsid w:val="003E7575"/>
    <w:rsid w:val="003E767D"/>
    <w:rsid w:val="003E76DC"/>
    <w:rsid w:val="003E76FE"/>
    <w:rsid w:val="003E7F7C"/>
    <w:rsid w:val="003F03F8"/>
    <w:rsid w:val="003F0A55"/>
    <w:rsid w:val="003F1CA8"/>
    <w:rsid w:val="003F2B60"/>
    <w:rsid w:val="003F2F93"/>
    <w:rsid w:val="003F4235"/>
    <w:rsid w:val="003F5219"/>
    <w:rsid w:val="003F54F8"/>
    <w:rsid w:val="003F5502"/>
    <w:rsid w:val="003F5AA5"/>
    <w:rsid w:val="003F6187"/>
    <w:rsid w:val="003F6234"/>
    <w:rsid w:val="003F65C5"/>
    <w:rsid w:val="003F6EEF"/>
    <w:rsid w:val="003F7003"/>
    <w:rsid w:val="00400073"/>
    <w:rsid w:val="00402CA5"/>
    <w:rsid w:val="00403602"/>
    <w:rsid w:val="0040430A"/>
    <w:rsid w:val="00404BC2"/>
    <w:rsid w:val="00404CD6"/>
    <w:rsid w:val="0040506E"/>
    <w:rsid w:val="00405622"/>
    <w:rsid w:val="00407AF5"/>
    <w:rsid w:val="0041006F"/>
    <w:rsid w:val="00410523"/>
    <w:rsid w:val="0041114F"/>
    <w:rsid w:val="004111DB"/>
    <w:rsid w:val="004113C2"/>
    <w:rsid w:val="004119C2"/>
    <w:rsid w:val="00412146"/>
    <w:rsid w:val="0041220A"/>
    <w:rsid w:val="004125E8"/>
    <w:rsid w:val="00412DE5"/>
    <w:rsid w:val="004137DE"/>
    <w:rsid w:val="00414C58"/>
    <w:rsid w:val="0041500B"/>
    <w:rsid w:val="00415124"/>
    <w:rsid w:val="0041678E"/>
    <w:rsid w:val="004170F8"/>
    <w:rsid w:val="00417121"/>
    <w:rsid w:val="0042065D"/>
    <w:rsid w:val="00421C99"/>
    <w:rsid w:val="004221AE"/>
    <w:rsid w:val="0042230A"/>
    <w:rsid w:val="00422E66"/>
    <w:rsid w:val="00423D6E"/>
    <w:rsid w:val="004252C3"/>
    <w:rsid w:val="00425C1E"/>
    <w:rsid w:val="00426078"/>
    <w:rsid w:val="004260AE"/>
    <w:rsid w:val="00426399"/>
    <w:rsid w:val="00426CDC"/>
    <w:rsid w:val="00426E62"/>
    <w:rsid w:val="004272FC"/>
    <w:rsid w:val="00427530"/>
    <w:rsid w:val="00427976"/>
    <w:rsid w:val="00427F57"/>
    <w:rsid w:val="00430346"/>
    <w:rsid w:val="00430A6C"/>
    <w:rsid w:val="00430BCC"/>
    <w:rsid w:val="004312D1"/>
    <w:rsid w:val="00432384"/>
    <w:rsid w:val="00432570"/>
    <w:rsid w:val="00432A4A"/>
    <w:rsid w:val="00434577"/>
    <w:rsid w:val="00434899"/>
    <w:rsid w:val="0043591F"/>
    <w:rsid w:val="00436187"/>
    <w:rsid w:val="004368A7"/>
    <w:rsid w:val="00436B40"/>
    <w:rsid w:val="00437609"/>
    <w:rsid w:val="004378BD"/>
    <w:rsid w:val="0043794E"/>
    <w:rsid w:val="004402EE"/>
    <w:rsid w:val="004409C4"/>
    <w:rsid w:val="00440EB9"/>
    <w:rsid w:val="00441120"/>
    <w:rsid w:val="00442AE9"/>
    <w:rsid w:val="00442C6D"/>
    <w:rsid w:val="00443537"/>
    <w:rsid w:val="00444B4F"/>
    <w:rsid w:val="00444BD9"/>
    <w:rsid w:val="00444C6B"/>
    <w:rsid w:val="00444CCB"/>
    <w:rsid w:val="00444EDE"/>
    <w:rsid w:val="004453B3"/>
    <w:rsid w:val="00445511"/>
    <w:rsid w:val="0044582D"/>
    <w:rsid w:val="004462EF"/>
    <w:rsid w:val="004471CF"/>
    <w:rsid w:val="004474B8"/>
    <w:rsid w:val="004478BF"/>
    <w:rsid w:val="00447FC1"/>
    <w:rsid w:val="0045099D"/>
    <w:rsid w:val="004514B1"/>
    <w:rsid w:val="00452C44"/>
    <w:rsid w:val="00452D06"/>
    <w:rsid w:val="00453313"/>
    <w:rsid w:val="004536C4"/>
    <w:rsid w:val="00453CB0"/>
    <w:rsid w:val="00454082"/>
    <w:rsid w:val="004552BA"/>
    <w:rsid w:val="00455540"/>
    <w:rsid w:val="00455924"/>
    <w:rsid w:val="00455EBD"/>
    <w:rsid w:val="00456513"/>
    <w:rsid w:val="004572DA"/>
    <w:rsid w:val="00457999"/>
    <w:rsid w:val="0045799A"/>
    <w:rsid w:val="00460EDD"/>
    <w:rsid w:val="00461FEE"/>
    <w:rsid w:val="004623DD"/>
    <w:rsid w:val="0046487A"/>
    <w:rsid w:val="00464B22"/>
    <w:rsid w:val="00464CE9"/>
    <w:rsid w:val="004655A8"/>
    <w:rsid w:val="00465F43"/>
    <w:rsid w:val="00466599"/>
    <w:rsid w:val="0046668C"/>
    <w:rsid w:val="00467127"/>
    <w:rsid w:val="00467CD5"/>
    <w:rsid w:val="00467FF3"/>
    <w:rsid w:val="00471381"/>
    <w:rsid w:val="00471E16"/>
    <w:rsid w:val="00471F73"/>
    <w:rsid w:val="00472AB7"/>
    <w:rsid w:val="0047360B"/>
    <w:rsid w:val="00473E20"/>
    <w:rsid w:val="00474134"/>
    <w:rsid w:val="00474273"/>
    <w:rsid w:val="00474B74"/>
    <w:rsid w:val="004751F2"/>
    <w:rsid w:val="00476551"/>
    <w:rsid w:val="00476D69"/>
    <w:rsid w:val="00476EC8"/>
    <w:rsid w:val="004770F1"/>
    <w:rsid w:val="00477D05"/>
    <w:rsid w:val="00480C70"/>
    <w:rsid w:val="004815A1"/>
    <w:rsid w:val="00481E19"/>
    <w:rsid w:val="0048212E"/>
    <w:rsid w:val="004826EB"/>
    <w:rsid w:val="0048344A"/>
    <w:rsid w:val="00483B10"/>
    <w:rsid w:val="00483BAC"/>
    <w:rsid w:val="00483EA2"/>
    <w:rsid w:val="00484224"/>
    <w:rsid w:val="004843CE"/>
    <w:rsid w:val="00484F7A"/>
    <w:rsid w:val="00485AE4"/>
    <w:rsid w:val="0048639C"/>
    <w:rsid w:val="004867B0"/>
    <w:rsid w:val="00486806"/>
    <w:rsid w:val="00486D36"/>
    <w:rsid w:val="0048719E"/>
    <w:rsid w:val="00490586"/>
    <w:rsid w:val="0049070C"/>
    <w:rsid w:val="00490759"/>
    <w:rsid w:val="00490E96"/>
    <w:rsid w:val="00491F1C"/>
    <w:rsid w:val="004923FF"/>
    <w:rsid w:val="00493CCA"/>
    <w:rsid w:val="00493E4A"/>
    <w:rsid w:val="004942AB"/>
    <w:rsid w:val="004945F2"/>
    <w:rsid w:val="00494F73"/>
    <w:rsid w:val="00497292"/>
    <w:rsid w:val="00497BF9"/>
    <w:rsid w:val="00497E0D"/>
    <w:rsid w:val="004A0289"/>
    <w:rsid w:val="004A0371"/>
    <w:rsid w:val="004A05AC"/>
    <w:rsid w:val="004A07D1"/>
    <w:rsid w:val="004A0858"/>
    <w:rsid w:val="004A0C1A"/>
    <w:rsid w:val="004A11F9"/>
    <w:rsid w:val="004A1352"/>
    <w:rsid w:val="004A1652"/>
    <w:rsid w:val="004A28F3"/>
    <w:rsid w:val="004A2A99"/>
    <w:rsid w:val="004A2C55"/>
    <w:rsid w:val="004A3316"/>
    <w:rsid w:val="004A3742"/>
    <w:rsid w:val="004A4DEC"/>
    <w:rsid w:val="004A51DA"/>
    <w:rsid w:val="004A5400"/>
    <w:rsid w:val="004A6050"/>
    <w:rsid w:val="004A6647"/>
    <w:rsid w:val="004A6976"/>
    <w:rsid w:val="004A788F"/>
    <w:rsid w:val="004B0AA7"/>
    <w:rsid w:val="004B0F05"/>
    <w:rsid w:val="004B17CB"/>
    <w:rsid w:val="004B2304"/>
    <w:rsid w:val="004B25A2"/>
    <w:rsid w:val="004B25FF"/>
    <w:rsid w:val="004B31A9"/>
    <w:rsid w:val="004B3852"/>
    <w:rsid w:val="004B4202"/>
    <w:rsid w:val="004B4790"/>
    <w:rsid w:val="004B5984"/>
    <w:rsid w:val="004B6875"/>
    <w:rsid w:val="004B6976"/>
    <w:rsid w:val="004B7692"/>
    <w:rsid w:val="004B7A14"/>
    <w:rsid w:val="004C023D"/>
    <w:rsid w:val="004C0ABF"/>
    <w:rsid w:val="004C0AC1"/>
    <w:rsid w:val="004C1037"/>
    <w:rsid w:val="004C145A"/>
    <w:rsid w:val="004C1660"/>
    <w:rsid w:val="004C1B68"/>
    <w:rsid w:val="004C1D20"/>
    <w:rsid w:val="004C2061"/>
    <w:rsid w:val="004C23FE"/>
    <w:rsid w:val="004C2B5E"/>
    <w:rsid w:val="004C311E"/>
    <w:rsid w:val="004C3BA9"/>
    <w:rsid w:val="004C493F"/>
    <w:rsid w:val="004C5E55"/>
    <w:rsid w:val="004C6106"/>
    <w:rsid w:val="004C683B"/>
    <w:rsid w:val="004C6D02"/>
    <w:rsid w:val="004C6F29"/>
    <w:rsid w:val="004C7B89"/>
    <w:rsid w:val="004C7EA2"/>
    <w:rsid w:val="004C7F00"/>
    <w:rsid w:val="004C7F1D"/>
    <w:rsid w:val="004D0516"/>
    <w:rsid w:val="004D0553"/>
    <w:rsid w:val="004D08F2"/>
    <w:rsid w:val="004D10C7"/>
    <w:rsid w:val="004D1DE2"/>
    <w:rsid w:val="004D241F"/>
    <w:rsid w:val="004D29D7"/>
    <w:rsid w:val="004D3263"/>
    <w:rsid w:val="004D538E"/>
    <w:rsid w:val="004D726D"/>
    <w:rsid w:val="004D72AC"/>
    <w:rsid w:val="004D7B57"/>
    <w:rsid w:val="004E1138"/>
    <w:rsid w:val="004E1E8B"/>
    <w:rsid w:val="004E25C5"/>
    <w:rsid w:val="004E2CF0"/>
    <w:rsid w:val="004E340A"/>
    <w:rsid w:val="004E403A"/>
    <w:rsid w:val="004E42F2"/>
    <w:rsid w:val="004E45D5"/>
    <w:rsid w:val="004E4C47"/>
    <w:rsid w:val="004E512C"/>
    <w:rsid w:val="004E6F20"/>
    <w:rsid w:val="004E7049"/>
    <w:rsid w:val="004E7098"/>
    <w:rsid w:val="004E7B4C"/>
    <w:rsid w:val="004E7BBE"/>
    <w:rsid w:val="004F0CA5"/>
    <w:rsid w:val="004F10CB"/>
    <w:rsid w:val="004F25CE"/>
    <w:rsid w:val="004F2EB8"/>
    <w:rsid w:val="004F4C82"/>
    <w:rsid w:val="004F4EF9"/>
    <w:rsid w:val="004F51C3"/>
    <w:rsid w:val="004F5319"/>
    <w:rsid w:val="004F5466"/>
    <w:rsid w:val="004F57BE"/>
    <w:rsid w:val="004F620C"/>
    <w:rsid w:val="004F76CC"/>
    <w:rsid w:val="004F7A17"/>
    <w:rsid w:val="004F7E11"/>
    <w:rsid w:val="00500DE5"/>
    <w:rsid w:val="00500ECA"/>
    <w:rsid w:val="00501C6A"/>
    <w:rsid w:val="00502FCF"/>
    <w:rsid w:val="0050342D"/>
    <w:rsid w:val="00503694"/>
    <w:rsid w:val="0050438D"/>
    <w:rsid w:val="00505299"/>
    <w:rsid w:val="00506A21"/>
    <w:rsid w:val="00511BFC"/>
    <w:rsid w:val="00511F59"/>
    <w:rsid w:val="00513325"/>
    <w:rsid w:val="00514162"/>
    <w:rsid w:val="0051426A"/>
    <w:rsid w:val="00514602"/>
    <w:rsid w:val="005150BD"/>
    <w:rsid w:val="0051542B"/>
    <w:rsid w:val="005154D2"/>
    <w:rsid w:val="00516744"/>
    <w:rsid w:val="00517105"/>
    <w:rsid w:val="00517389"/>
    <w:rsid w:val="0052053D"/>
    <w:rsid w:val="005209D5"/>
    <w:rsid w:val="00520FB4"/>
    <w:rsid w:val="00521659"/>
    <w:rsid w:val="00523008"/>
    <w:rsid w:val="005232EA"/>
    <w:rsid w:val="00523770"/>
    <w:rsid w:val="00524A08"/>
    <w:rsid w:val="005253CB"/>
    <w:rsid w:val="00525CF3"/>
    <w:rsid w:val="00525D5E"/>
    <w:rsid w:val="005272EA"/>
    <w:rsid w:val="0053198A"/>
    <w:rsid w:val="00531BA1"/>
    <w:rsid w:val="00532546"/>
    <w:rsid w:val="00532939"/>
    <w:rsid w:val="005330DA"/>
    <w:rsid w:val="00533189"/>
    <w:rsid w:val="005334F4"/>
    <w:rsid w:val="005339D1"/>
    <w:rsid w:val="00533CA4"/>
    <w:rsid w:val="00535CBB"/>
    <w:rsid w:val="00535E08"/>
    <w:rsid w:val="0053658C"/>
    <w:rsid w:val="005367F9"/>
    <w:rsid w:val="00536AEA"/>
    <w:rsid w:val="00536BD9"/>
    <w:rsid w:val="005377A7"/>
    <w:rsid w:val="00537B5F"/>
    <w:rsid w:val="00540413"/>
    <w:rsid w:val="005405AE"/>
    <w:rsid w:val="00540684"/>
    <w:rsid w:val="0054074E"/>
    <w:rsid w:val="005409FF"/>
    <w:rsid w:val="00540CB4"/>
    <w:rsid w:val="00540F30"/>
    <w:rsid w:val="0054133B"/>
    <w:rsid w:val="005417D2"/>
    <w:rsid w:val="00541872"/>
    <w:rsid w:val="00541F3B"/>
    <w:rsid w:val="00542418"/>
    <w:rsid w:val="00542BA5"/>
    <w:rsid w:val="005433F0"/>
    <w:rsid w:val="0054341C"/>
    <w:rsid w:val="005434D6"/>
    <w:rsid w:val="00543933"/>
    <w:rsid w:val="00544539"/>
    <w:rsid w:val="0054456E"/>
    <w:rsid w:val="005468C9"/>
    <w:rsid w:val="00547BEE"/>
    <w:rsid w:val="00547DB3"/>
    <w:rsid w:val="00547E86"/>
    <w:rsid w:val="0055028D"/>
    <w:rsid w:val="00550DC4"/>
    <w:rsid w:val="00551224"/>
    <w:rsid w:val="005526F9"/>
    <w:rsid w:val="00552B1C"/>
    <w:rsid w:val="00552D2E"/>
    <w:rsid w:val="00553046"/>
    <w:rsid w:val="00553B70"/>
    <w:rsid w:val="005545DC"/>
    <w:rsid w:val="005562C1"/>
    <w:rsid w:val="005562E1"/>
    <w:rsid w:val="0055635D"/>
    <w:rsid w:val="00556B97"/>
    <w:rsid w:val="00557451"/>
    <w:rsid w:val="00557C56"/>
    <w:rsid w:val="00560051"/>
    <w:rsid w:val="00560213"/>
    <w:rsid w:val="005626CD"/>
    <w:rsid w:val="00563392"/>
    <w:rsid w:val="00563415"/>
    <w:rsid w:val="0056365A"/>
    <w:rsid w:val="00563A57"/>
    <w:rsid w:val="00563FE7"/>
    <w:rsid w:val="005642FA"/>
    <w:rsid w:val="00564AE9"/>
    <w:rsid w:val="0056544C"/>
    <w:rsid w:val="00565570"/>
    <w:rsid w:val="00565D4A"/>
    <w:rsid w:val="00565FAE"/>
    <w:rsid w:val="00566F95"/>
    <w:rsid w:val="00567972"/>
    <w:rsid w:val="00567A53"/>
    <w:rsid w:val="00567B6F"/>
    <w:rsid w:val="00567E2F"/>
    <w:rsid w:val="0057018D"/>
    <w:rsid w:val="00570271"/>
    <w:rsid w:val="005711A4"/>
    <w:rsid w:val="00571439"/>
    <w:rsid w:val="00572093"/>
    <w:rsid w:val="005724C5"/>
    <w:rsid w:val="00572D0C"/>
    <w:rsid w:val="005734BB"/>
    <w:rsid w:val="00573651"/>
    <w:rsid w:val="00573E21"/>
    <w:rsid w:val="00574A7A"/>
    <w:rsid w:val="00574FE9"/>
    <w:rsid w:val="00574FFE"/>
    <w:rsid w:val="00575819"/>
    <w:rsid w:val="00575BA7"/>
    <w:rsid w:val="00575EB5"/>
    <w:rsid w:val="00576705"/>
    <w:rsid w:val="00576F11"/>
    <w:rsid w:val="0057709B"/>
    <w:rsid w:val="00577B15"/>
    <w:rsid w:val="00577B54"/>
    <w:rsid w:val="005800BF"/>
    <w:rsid w:val="00580273"/>
    <w:rsid w:val="00580797"/>
    <w:rsid w:val="00580913"/>
    <w:rsid w:val="00580993"/>
    <w:rsid w:val="0058102E"/>
    <w:rsid w:val="00581E52"/>
    <w:rsid w:val="00581EC3"/>
    <w:rsid w:val="00583581"/>
    <w:rsid w:val="00584C02"/>
    <w:rsid w:val="00584F69"/>
    <w:rsid w:val="005856FF"/>
    <w:rsid w:val="00585CE5"/>
    <w:rsid w:val="005860DF"/>
    <w:rsid w:val="00586A01"/>
    <w:rsid w:val="005873FD"/>
    <w:rsid w:val="0058794E"/>
    <w:rsid w:val="00587D2F"/>
    <w:rsid w:val="005904E1"/>
    <w:rsid w:val="005906EB"/>
    <w:rsid w:val="00590D5D"/>
    <w:rsid w:val="00590F5F"/>
    <w:rsid w:val="0059100D"/>
    <w:rsid w:val="0059146A"/>
    <w:rsid w:val="005917F4"/>
    <w:rsid w:val="00591DF6"/>
    <w:rsid w:val="005925A9"/>
    <w:rsid w:val="00592E1A"/>
    <w:rsid w:val="00593078"/>
    <w:rsid w:val="00594019"/>
    <w:rsid w:val="005943B7"/>
    <w:rsid w:val="00594A49"/>
    <w:rsid w:val="00595F15"/>
    <w:rsid w:val="0059685F"/>
    <w:rsid w:val="00597265"/>
    <w:rsid w:val="005976D5"/>
    <w:rsid w:val="0059782B"/>
    <w:rsid w:val="005A0876"/>
    <w:rsid w:val="005A0C37"/>
    <w:rsid w:val="005A0FDE"/>
    <w:rsid w:val="005A1461"/>
    <w:rsid w:val="005A14A2"/>
    <w:rsid w:val="005A18AA"/>
    <w:rsid w:val="005A18B3"/>
    <w:rsid w:val="005A22DD"/>
    <w:rsid w:val="005A2767"/>
    <w:rsid w:val="005A3BDE"/>
    <w:rsid w:val="005A4BA2"/>
    <w:rsid w:val="005A4F33"/>
    <w:rsid w:val="005A59B6"/>
    <w:rsid w:val="005A5DE8"/>
    <w:rsid w:val="005A6818"/>
    <w:rsid w:val="005A69B3"/>
    <w:rsid w:val="005A7CEC"/>
    <w:rsid w:val="005B039C"/>
    <w:rsid w:val="005B03CE"/>
    <w:rsid w:val="005B0484"/>
    <w:rsid w:val="005B0928"/>
    <w:rsid w:val="005B1952"/>
    <w:rsid w:val="005B1C6B"/>
    <w:rsid w:val="005B2B72"/>
    <w:rsid w:val="005B30F5"/>
    <w:rsid w:val="005B3488"/>
    <w:rsid w:val="005B387E"/>
    <w:rsid w:val="005B38BB"/>
    <w:rsid w:val="005B405C"/>
    <w:rsid w:val="005B4436"/>
    <w:rsid w:val="005B4C32"/>
    <w:rsid w:val="005B4D2E"/>
    <w:rsid w:val="005B5EBC"/>
    <w:rsid w:val="005B6E58"/>
    <w:rsid w:val="005B7369"/>
    <w:rsid w:val="005B7501"/>
    <w:rsid w:val="005B77B8"/>
    <w:rsid w:val="005B7FAC"/>
    <w:rsid w:val="005C0AAD"/>
    <w:rsid w:val="005C0FD4"/>
    <w:rsid w:val="005C1D52"/>
    <w:rsid w:val="005C1F74"/>
    <w:rsid w:val="005C274B"/>
    <w:rsid w:val="005C2B39"/>
    <w:rsid w:val="005C3EC6"/>
    <w:rsid w:val="005C403D"/>
    <w:rsid w:val="005C4AA1"/>
    <w:rsid w:val="005C4F32"/>
    <w:rsid w:val="005C58AC"/>
    <w:rsid w:val="005C607D"/>
    <w:rsid w:val="005C69B1"/>
    <w:rsid w:val="005C6B72"/>
    <w:rsid w:val="005C74C3"/>
    <w:rsid w:val="005C74FE"/>
    <w:rsid w:val="005D0264"/>
    <w:rsid w:val="005D0D9A"/>
    <w:rsid w:val="005D16FA"/>
    <w:rsid w:val="005D2757"/>
    <w:rsid w:val="005D52B5"/>
    <w:rsid w:val="005D6146"/>
    <w:rsid w:val="005D6B1E"/>
    <w:rsid w:val="005D75A6"/>
    <w:rsid w:val="005D7E84"/>
    <w:rsid w:val="005E036A"/>
    <w:rsid w:val="005E1613"/>
    <w:rsid w:val="005E16FE"/>
    <w:rsid w:val="005E1E18"/>
    <w:rsid w:val="005E2313"/>
    <w:rsid w:val="005E3845"/>
    <w:rsid w:val="005E3BB9"/>
    <w:rsid w:val="005E3D5C"/>
    <w:rsid w:val="005E41B9"/>
    <w:rsid w:val="005E4764"/>
    <w:rsid w:val="005E48C6"/>
    <w:rsid w:val="005E4B9F"/>
    <w:rsid w:val="005E530F"/>
    <w:rsid w:val="005E581E"/>
    <w:rsid w:val="005E5CAA"/>
    <w:rsid w:val="005E724B"/>
    <w:rsid w:val="005E7325"/>
    <w:rsid w:val="005E7FD2"/>
    <w:rsid w:val="005F07D6"/>
    <w:rsid w:val="005F0C12"/>
    <w:rsid w:val="005F110D"/>
    <w:rsid w:val="005F135E"/>
    <w:rsid w:val="005F1588"/>
    <w:rsid w:val="005F25DD"/>
    <w:rsid w:val="005F2E58"/>
    <w:rsid w:val="005F3FF2"/>
    <w:rsid w:val="005F4746"/>
    <w:rsid w:val="005F4D74"/>
    <w:rsid w:val="005F4EF3"/>
    <w:rsid w:val="005F5BCC"/>
    <w:rsid w:val="005F6BCF"/>
    <w:rsid w:val="005F6D38"/>
    <w:rsid w:val="005F71E5"/>
    <w:rsid w:val="005F7947"/>
    <w:rsid w:val="00601AE2"/>
    <w:rsid w:val="00601C00"/>
    <w:rsid w:val="0060220E"/>
    <w:rsid w:val="00602818"/>
    <w:rsid w:val="00602EA6"/>
    <w:rsid w:val="00603769"/>
    <w:rsid w:val="00604704"/>
    <w:rsid w:val="006065CD"/>
    <w:rsid w:val="00606748"/>
    <w:rsid w:val="00606A52"/>
    <w:rsid w:val="00606DF0"/>
    <w:rsid w:val="00610197"/>
    <w:rsid w:val="00610407"/>
    <w:rsid w:val="006116B0"/>
    <w:rsid w:val="00612239"/>
    <w:rsid w:val="00612842"/>
    <w:rsid w:val="00612F9A"/>
    <w:rsid w:val="006136EC"/>
    <w:rsid w:val="00613C15"/>
    <w:rsid w:val="00613E81"/>
    <w:rsid w:val="00613FA9"/>
    <w:rsid w:val="00614AA3"/>
    <w:rsid w:val="00615E30"/>
    <w:rsid w:val="00615E38"/>
    <w:rsid w:val="006162D8"/>
    <w:rsid w:val="006166B4"/>
    <w:rsid w:val="00617421"/>
    <w:rsid w:val="00617643"/>
    <w:rsid w:val="00617CA1"/>
    <w:rsid w:val="00620779"/>
    <w:rsid w:val="00620A1D"/>
    <w:rsid w:val="00620CAD"/>
    <w:rsid w:val="00621372"/>
    <w:rsid w:val="0062264F"/>
    <w:rsid w:val="00623BA7"/>
    <w:rsid w:val="00624822"/>
    <w:rsid w:val="006256CE"/>
    <w:rsid w:val="0062576C"/>
    <w:rsid w:val="00625774"/>
    <w:rsid w:val="006257CD"/>
    <w:rsid w:val="0062598D"/>
    <w:rsid w:val="006259F5"/>
    <w:rsid w:val="00625D75"/>
    <w:rsid w:val="00626732"/>
    <w:rsid w:val="00626F24"/>
    <w:rsid w:val="00630309"/>
    <w:rsid w:val="00630585"/>
    <w:rsid w:val="00630B8F"/>
    <w:rsid w:val="00631317"/>
    <w:rsid w:val="00631612"/>
    <w:rsid w:val="00631736"/>
    <w:rsid w:val="006320D9"/>
    <w:rsid w:val="00632A45"/>
    <w:rsid w:val="00632F6C"/>
    <w:rsid w:val="006331E3"/>
    <w:rsid w:val="00633764"/>
    <w:rsid w:val="00634A4C"/>
    <w:rsid w:val="00635133"/>
    <w:rsid w:val="006352F5"/>
    <w:rsid w:val="0063686E"/>
    <w:rsid w:val="00636D34"/>
    <w:rsid w:val="0063778F"/>
    <w:rsid w:val="00637C2D"/>
    <w:rsid w:val="00637CD8"/>
    <w:rsid w:val="00637E58"/>
    <w:rsid w:val="0064033E"/>
    <w:rsid w:val="006410C0"/>
    <w:rsid w:val="006415C1"/>
    <w:rsid w:val="006415DB"/>
    <w:rsid w:val="006424D8"/>
    <w:rsid w:val="006432A1"/>
    <w:rsid w:val="00643485"/>
    <w:rsid w:val="00644D05"/>
    <w:rsid w:val="00644D4B"/>
    <w:rsid w:val="0064548B"/>
    <w:rsid w:val="006458D0"/>
    <w:rsid w:val="006466BD"/>
    <w:rsid w:val="006468B0"/>
    <w:rsid w:val="00646CB4"/>
    <w:rsid w:val="00651159"/>
    <w:rsid w:val="00651C7B"/>
    <w:rsid w:val="00652612"/>
    <w:rsid w:val="00653C0E"/>
    <w:rsid w:val="006540CA"/>
    <w:rsid w:val="00654187"/>
    <w:rsid w:val="00654690"/>
    <w:rsid w:val="00654916"/>
    <w:rsid w:val="0065503D"/>
    <w:rsid w:val="00656311"/>
    <w:rsid w:val="00656B90"/>
    <w:rsid w:val="006576D4"/>
    <w:rsid w:val="00660B0A"/>
    <w:rsid w:val="00660DC6"/>
    <w:rsid w:val="00661A88"/>
    <w:rsid w:val="00661BDE"/>
    <w:rsid w:val="006629DB"/>
    <w:rsid w:val="00662C51"/>
    <w:rsid w:val="00662E9D"/>
    <w:rsid w:val="0066305E"/>
    <w:rsid w:val="006631D1"/>
    <w:rsid w:val="00663406"/>
    <w:rsid w:val="00663670"/>
    <w:rsid w:val="006638CE"/>
    <w:rsid w:val="00663BD0"/>
    <w:rsid w:val="00664371"/>
    <w:rsid w:val="00664934"/>
    <w:rsid w:val="00664F87"/>
    <w:rsid w:val="00664FF8"/>
    <w:rsid w:val="00665DE6"/>
    <w:rsid w:val="006663F9"/>
    <w:rsid w:val="006669D1"/>
    <w:rsid w:val="0066712F"/>
    <w:rsid w:val="00667A4F"/>
    <w:rsid w:val="00667D4F"/>
    <w:rsid w:val="00670133"/>
    <w:rsid w:val="0067077B"/>
    <w:rsid w:val="0067117C"/>
    <w:rsid w:val="00671192"/>
    <w:rsid w:val="0067190D"/>
    <w:rsid w:val="006730EC"/>
    <w:rsid w:val="00674354"/>
    <w:rsid w:val="00674FD2"/>
    <w:rsid w:val="0067769D"/>
    <w:rsid w:val="00677C3F"/>
    <w:rsid w:val="00677CAC"/>
    <w:rsid w:val="00677CC5"/>
    <w:rsid w:val="00677FE9"/>
    <w:rsid w:val="006808B7"/>
    <w:rsid w:val="006813E4"/>
    <w:rsid w:val="00681E6C"/>
    <w:rsid w:val="0068247D"/>
    <w:rsid w:val="006826F7"/>
    <w:rsid w:val="00682E69"/>
    <w:rsid w:val="00682F1C"/>
    <w:rsid w:val="00683151"/>
    <w:rsid w:val="006860DB"/>
    <w:rsid w:val="00686AF7"/>
    <w:rsid w:val="00687044"/>
    <w:rsid w:val="00687BE7"/>
    <w:rsid w:val="00690397"/>
    <w:rsid w:val="00691660"/>
    <w:rsid w:val="00691CC9"/>
    <w:rsid w:val="00691D67"/>
    <w:rsid w:val="006921C2"/>
    <w:rsid w:val="00692457"/>
    <w:rsid w:val="00692657"/>
    <w:rsid w:val="0069271E"/>
    <w:rsid w:val="006932D7"/>
    <w:rsid w:val="00694DB7"/>
    <w:rsid w:val="0069522D"/>
    <w:rsid w:val="00695380"/>
    <w:rsid w:val="00695A3A"/>
    <w:rsid w:val="0069621C"/>
    <w:rsid w:val="006963DC"/>
    <w:rsid w:val="00696856"/>
    <w:rsid w:val="00697456"/>
    <w:rsid w:val="006974E1"/>
    <w:rsid w:val="0069781E"/>
    <w:rsid w:val="00697C56"/>
    <w:rsid w:val="006A2805"/>
    <w:rsid w:val="006A2B44"/>
    <w:rsid w:val="006A2D29"/>
    <w:rsid w:val="006A2DA9"/>
    <w:rsid w:val="006A3432"/>
    <w:rsid w:val="006A3719"/>
    <w:rsid w:val="006A47DE"/>
    <w:rsid w:val="006A4AE1"/>
    <w:rsid w:val="006A4CAD"/>
    <w:rsid w:val="006A4EAA"/>
    <w:rsid w:val="006A53FF"/>
    <w:rsid w:val="006A5C8E"/>
    <w:rsid w:val="006A5D11"/>
    <w:rsid w:val="006A5F57"/>
    <w:rsid w:val="006A6D18"/>
    <w:rsid w:val="006A73E6"/>
    <w:rsid w:val="006A7816"/>
    <w:rsid w:val="006A7EDF"/>
    <w:rsid w:val="006B02BF"/>
    <w:rsid w:val="006B180C"/>
    <w:rsid w:val="006B1C31"/>
    <w:rsid w:val="006B1FE2"/>
    <w:rsid w:val="006B2000"/>
    <w:rsid w:val="006B2282"/>
    <w:rsid w:val="006B387A"/>
    <w:rsid w:val="006B3B1E"/>
    <w:rsid w:val="006B41AF"/>
    <w:rsid w:val="006B4299"/>
    <w:rsid w:val="006B49DE"/>
    <w:rsid w:val="006B4C73"/>
    <w:rsid w:val="006B4EDA"/>
    <w:rsid w:val="006B504A"/>
    <w:rsid w:val="006B50DF"/>
    <w:rsid w:val="006B600E"/>
    <w:rsid w:val="006B6248"/>
    <w:rsid w:val="006B6666"/>
    <w:rsid w:val="006B6FB1"/>
    <w:rsid w:val="006B7558"/>
    <w:rsid w:val="006B7855"/>
    <w:rsid w:val="006B7F18"/>
    <w:rsid w:val="006C0CA6"/>
    <w:rsid w:val="006C0E7F"/>
    <w:rsid w:val="006C1176"/>
    <w:rsid w:val="006C16CD"/>
    <w:rsid w:val="006C1A37"/>
    <w:rsid w:val="006C2B89"/>
    <w:rsid w:val="006C3EF8"/>
    <w:rsid w:val="006C3F1E"/>
    <w:rsid w:val="006C4075"/>
    <w:rsid w:val="006C52DB"/>
    <w:rsid w:val="006C5B20"/>
    <w:rsid w:val="006C5F85"/>
    <w:rsid w:val="006C6010"/>
    <w:rsid w:val="006C6B49"/>
    <w:rsid w:val="006C7145"/>
    <w:rsid w:val="006C768A"/>
    <w:rsid w:val="006C7BF4"/>
    <w:rsid w:val="006C7E78"/>
    <w:rsid w:val="006D0466"/>
    <w:rsid w:val="006D0E0C"/>
    <w:rsid w:val="006D0E37"/>
    <w:rsid w:val="006D11D5"/>
    <w:rsid w:val="006D13F0"/>
    <w:rsid w:val="006D1E4F"/>
    <w:rsid w:val="006D37E1"/>
    <w:rsid w:val="006D393C"/>
    <w:rsid w:val="006D3C04"/>
    <w:rsid w:val="006D4F74"/>
    <w:rsid w:val="006D629F"/>
    <w:rsid w:val="006D6A15"/>
    <w:rsid w:val="006D6C67"/>
    <w:rsid w:val="006D6D06"/>
    <w:rsid w:val="006D7D93"/>
    <w:rsid w:val="006E01C6"/>
    <w:rsid w:val="006E02C7"/>
    <w:rsid w:val="006E158A"/>
    <w:rsid w:val="006E1E10"/>
    <w:rsid w:val="006E2B73"/>
    <w:rsid w:val="006E32F1"/>
    <w:rsid w:val="006E3717"/>
    <w:rsid w:val="006E39D6"/>
    <w:rsid w:val="006E3EE3"/>
    <w:rsid w:val="006E454D"/>
    <w:rsid w:val="006E4AB1"/>
    <w:rsid w:val="006E5611"/>
    <w:rsid w:val="006E5900"/>
    <w:rsid w:val="006E6466"/>
    <w:rsid w:val="006E6994"/>
    <w:rsid w:val="006E6CF1"/>
    <w:rsid w:val="006E6D06"/>
    <w:rsid w:val="006E6D62"/>
    <w:rsid w:val="006E73B5"/>
    <w:rsid w:val="006E75F4"/>
    <w:rsid w:val="006F0AA4"/>
    <w:rsid w:val="006F134E"/>
    <w:rsid w:val="006F21C0"/>
    <w:rsid w:val="006F2292"/>
    <w:rsid w:val="006F287B"/>
    <w:rsid w:val="006F3832"/>
    <w:rsid w:val="006F384E"/>
    <w:rsid w:val="006F5048"/>
    <w:rsid w:val="006F5B8D"/>
    <w:rsid w:val="006F5BC9"/>
    <w:rsid w:val="006F5D18"/>
    <w:rsid w:val="006F5DD4"/>
    <w:rsid w:val="006F622E"/>
    <w:rsid w:val="006F723B"/>
    <w:rsid w:val="006F7422"/>
    <w:rsid w:val="0070095E"/>
    <w:rsid w:val="00701060"/>
    <w:rsid w:val="007017F4"/>
    <w:rsid w:val="00701DF1"/>
    <w:rsid w:val="007028F1"/>
    <w:rsid w:val="007028F8"/>
    <w:rsid w:val="0070299E"/>
    <w:rsid w:val="00702E18"/>
    <w:rsid w:val="00702F1F"/>
    <w:rsid w:val="00703B0F"/>
    <w:rsid w:val="00703E7C"/>
    <w:rsid w:val="00704BDC"/>
    <w:rsid w:val="00705512"/>
    <w:rsid w:val="007061D1"/>
    <w:rsid w:val="007063AC"/>
    <w:rsid w:val="0070744C"/>
    <w:rsid w:val="007078E0"/>
    <w:rsid w:val="00707C06"/>
    <w:rsid w:val="0071059A"/>
    <w:rsid w:val="00710BC3"/>
    <w:rsid w:val="00711B87"/>
    <w:rsid w:val="00713103"/>
    <w:rsid w:val="007140EB"/>
    <w:rsid w:val="0071432D"/>
    <w:rsid w:val="0071487B"/>
    <w:rsid w:val="00714980"/>
    <w:rsid w:val="0071524D"/>
    <w:rsid w:val="00715F93"/>
    <w:rsid w:val="00717932"/>
    <w:rsid w:val="00717D3C"/>
    <w:rsid w:val="007200C8"/>
    <w:rsid w:val="00720B48"/>
    <w:rsid w:val="007217BA"/>
    <w:rsid w:val="0072229D"/>
    <w:rsid w:val="007226BF"/>
    <w:rsid w:val="0072289C"/>
    <w:rsid w:val="00722910"/>
    <w:rsid w:val="00723372"/>
    <w:rsid w:val="0072364F"/>
    <w:rsid w:val="007237A6"/>
    <w:rsid w:val="00723B86"/>
    <w:rsid w:val="0072468A"/>
    <w:rsid w:val="007247C9"/>
    <w:rsid w:val="007247D5"/>
    <w:rsid w:val="00724881"/>
    <w:rsid w:val="00724E81"/>
    <w:rsid w:val="007250EC"/>
    <w:rsid w:val="007255C9"/>
    <w:rsid w:val="00725786"/>
    <w:rsid w:val="00726614"/>
    <w:rsid w:val="007269E8"/>
    <w:rsid w:val="00727151"/>
    <w:rsid w:val="00727533"/>
    <w:rsid w:val="00727E68"/>
    <w:rsid w:val="00727F4F"/>
    <w:rsid w:val="00730E00"/>
    <w:rsid w:val="0073203B"/>
    <w:rsid w:val="007326CD"/>
    <w:rsid w:val="007328A7"/>
    <w:rsid w:val="00732A72"/>
    <w:rsid w:val="00733301"/>
    <w:rsid w:val="007349D1"/>
    <w:rsid w:val="00734A76"/>
    <w:rsid w:val="00735610"/>
    <w:rsid w:val="00735BD5"/>
    <w:rsid w:val="00736113"/>
    <w:rsid w:val="0073636C"/>
    <w:rsid w:val="00737BDD"/>
    <w:rsid w:val="0074017D"/>
    <w:rsid w:val="00740956"/>
    <w:rsid w:val="00741530"/>
    <w:rsid w:val="0074155E"/>
    <w:rsid w:val="00742B5F"/>
    <w:rsid w:val="00742C23"/>
    <w:rsid w:val="007432C9"/>
    <w:rsid w:val="00743C68"/>
    <w:rsid w:val="00744212"/>
    <w:rsid w:val="007448E5"/>
    <w:rsid w:val="00744E53"/>
    <w:rsid w:val="0074565D"/>
    <w:rsid w:val="00745951"/>
    <w:rsid w:val="00745A46"/>
    <w:rsid w:val="00745B68"/>
    <w:rsid w:val="0074601C"/>
    <w:rsid w:val="00746A00"/>
    <w:rsid w:val="00746D18"/>
    <w:rsid w:val="00746D37"/>
    <w:rsid w:val="00746FAE"/>
    <w:rsid w:val="007478CF"/>
    <w:rsid w:val="0075132C"/>
    <w:rsid w:val="007517EE"/>
    <w:rsid w:val="00751BFF"/>
    <w:rsid w:val="007521ED"/>
    <w:rsid w:val="0075254D"/>
    <w:rsid w:val="00752E56"/>
    <w:rsid w:val="00753359"/>
    <w:rsid w:val="00753E02"/>
    <w:rsid w:val="00754094"/>
    <w:rsid w:val="007546F4"/>
    <w:rsid w:val="00754A81"/>
    <w:rsid w:val="007550A5"/>
    <w:rsid w:val="007559A3"/>
    <w:rsid w:val="00755A7F"/>
    <w:rsid w:val="0075752C"/>
    <w:rsid w:val="0075787D"/>
    <w:rsid w:val="00760065"/>
    <w:rsid w:val="00762433"/>
    <w:rsid w:val="0076359E"/>
    <w:rsid w:val="007636AA"/>
    <w:rsid w:val="00763851"/>
    <w:rsid w:val="00764780"/>
    <w:rsid w:val="0076514F"/>
    <w:rsid w:val="0076558C"/>
    <w:rsid w:val="00766818"/>
    <w:rsid w:val="007669C5"/>
    <w:rsid w:val="00767BA0"/>
    <w:rsid w:val="0077016D"/>
    <w:rsid w:val="007708C3"/>
    <w:rsid w:val="0077183F"/>
    <w:rsid w:val="007726FA"/>
    <w:rsid w:val="0077367E"/>
    <w:rsid w:val="00774433"/>
    <w:rsid w:val="00774DE9"/>
    <w:rsid w:val="00774F37"/>
    <w:rsid w:val="0077557E"/>
    <w:rsid w:val="007760D6"/>
    <w:rsid w:val="00776B8F"/>
    <w:rsid w:val="0077707F"/>
    <w:rsid w:val="00777DBA"/>
    <w:rsid w:val="00782A88"/>
    <w:rsid w:val="00782E3F"/>
    <w:rsid w:val="00782E92"/>
    <w:rsid w:val="00783F95"/>
    <w:rsid w:val="007842C9"/>
    <w:rsid w:val="007844A8"/>
    <w:rsid w:val="0078451A"/>
    <w:rsid w:val="00784D8E"/>
    <w:rsid w:val="00785493"/>
    <w:rsid w:val="0078615B"/>
    <w:rsid w:val="007866B4"/>
    <w:rsid w:val="00786F50"/>
    <w:rsid w:val="007873F4"/>
    <w:rsid w:val="007875A2"/>
    <w:rsid w:val="00790432"/>
    <w:rsid w:val="007913C4"/>
    <w:rsid w:val="00791428"/>
    <w:rsid w:val="0079160B"/>
    <w:rsid w:val="00791D5D"/>
    <w:rsid w:val="00792888"/>
    <w:rsid w:val="00793ECE"/>
    <w:rsid w:val="00794587"/>
    <w:rsid w:val="0079464C"/>
    <w:rsid w:val="00796CAD"/>
    <w:rsid w:val="007A0830"/>
    <w:rsid w:val="007A19C5"/>
    <w:rsid w:val="007A1D4A"/>
    <w:rsid w:val="007A358B"/>
    <w:rsid w:val="007A36C4"/>
    <w:rsid w:val="007A39BA"/>
    <w:rsid w:val="007A3C7E"/>
    <w:rsid w:val="007A4C54"/>
    <w:rsid w:val="007A5001"/>
    <w:rsid w:val="007A508C"/>
    <w:rsid w:val="007A61EF"/>
    <w:rsid w:val="007A6449"/>
    <w:rsid w:val="007A7A22"/>
    <w:rsid w:val="007A7A32"/>
    <w:rsid w:val="007B06C2"/>
    <w:rsid w:val="007B0EA2"/>
    <w:rsid w:val="007B164B"/>
    <w:rsid w:val="007B170C"/>
    <w:rsid w:val="007B218A"/>
    <w:rsid w:val="007B21A6"/>
    <w:rsid w:val="007B23E0"/>
    <w:rsid w:val="007B2ABE"/>
    <w:rsid w:val="007B2D68"/>
    <w:rsid w:val="007B3122"/>
    <w:rsid w:val="007B4148"/>
    <w:rsid w:val="007B45EF"/>
    <w:rsid w:val="007B5687"/>
    <w:rsid w:val="007B5A7E"/>
    <w:rsid w:val="007B5B32"/>
    <w:rsid w:val="007B61FC"/>
    <w:rsid w:val="007B6E8E"/>
    <w:rsid w:val="007B76FF"/>
    <w:rsid w:val="007B7E4B"/>
    <w:rsid w:val="007C04FF"/>
    <w:rsid w:val="007C115E"/>
    <w:rsid w:val="007C1502"/>
    <w:rsid w:val="007C1EFB"/>
    <w:rsid w:val="007C2BCD"/>
    <w:rsid w:val="007C34F9"/>
    <w:rsid w:val="007C3F77"/>
    <w:rsid w:val="007C42A5"/>
    <w:rsid w:val="007C48CE"/>
    <w:rsid w:val="007C5651"/>
    <w:rsid w:val="007C6BBD"/>
    <w:rsid w:val="007C6F94"/>
    <w:rsid w:val="007C7658"/>
    <w:rsid w:val="007C7A4D"/>
    <w:rsid w:val="007D123F"/>
    <w:rsid w:val="007D16B7"/>
    <w:rsid w:val="007D1B91"/>
    <w:rsid w:val="007D21B9"/>
    <w:rsid w:val="007D301A"/>
    <w:rsid w:val="007D35B4"/>
    <w:rsid w:val="007D39DD"/>
    <w:rsid w:val="007D430F"/>
    <w:rsid w:val="007D46B0"/>
    <w:rsid w:val="007D4CB5"/>
    <w:rsid w:val="007D51E7"/>
    <w:rsid w:val="007D5528"/>
    <w:rsid w:val="007D69DD"/>
    <w:rsid w:val="007D72D9"/>
    <w:rsid w:val="007E031F"/>
    <w:rsid w:val="007E054E"/>
    <w:rsid w:val="007E199F"/>
    <w:rsid w:val="007E20F4"/>
    <w:rsid w:val="007E255C"/>
    <w:rsid w:val="007E2890"/>
    <w:rsid w:val="007E2EAA"/>
    <w:rsid w:val="007E3CB4"/>
    <w:rsid w:val="007E3EF1"/>
    <w:rsid w:val="007E4360"/>
    <w:rsid w:val="007E43FE"/>
    <w:rsid w:val="007E4485"/>
    <w:rsid w:val="007E67F3"/>
    <w:rsid w:val="007E695D"/>
    <w:rsid w:val="007E7829"/>
    <w:rsid w:val="007F02F0"/>
    <w:rsid w:val="007F2E5B"/>
    <w:rsid w:val="007F3093"/>
    <w:rsid w:val="007F44A2"/>
    <w:rsid w:val="007F4A77"/>
    <w:rsid w:val="007F5555"/>
    <w:rsid w:val="007F5E42"/>
    <w:rsid w:val="007F670F"/>
    <w:rsid w:val="007F69D6"/>
    <w:rsid w:val="007F6C3D"/>
    <w:rsid w:val="007F6EB6"/>
    <w:rsid w:val="007F74BC"/>
    <w:rsid w:val="007F7715"/>
    <w:rsid w:val="007F7A42"/>
    <w:rsid w:val="007F7F56"/>
    <w:rsid w:val="00802A28"/>
    <w:rsid w:val="00802A59"/>
    <w:rsid w:val="00802CDF"/>
    <w:rsid w:val="00804898"/>
    <w:rsid w:val="00804B55"/>
    <w:rsid w:val="00804B5D"/>
    <w:rsid w:val="0080560A"/>
    <w:rsid w:val="008058D0"/>
    <w:rsid w:val="00805B45"/>
    <w:rsid w:val="00806604"/>
    <w:rsid w:val="0081014A"/>
    <w:rsid w:val="008105FB"/>
    <w:rsid w:val="008106C7"/>
    <w:rsid w:val="0081073E"/>
    <w:rsid w:val="008112B4"/>
    <w:rsid w:val="00811CFA"/>
    <w:rsid w:val="00812F71"/>
    <w:rsid w:val="00813746"/>
    <w:rsid w:val="008139C5"/>
    <w:rsid w:val="00813B14"/>
    <w:rsid w:val="0081411E"/>
    <w:rsid w:val="00814A5A"/>
    <w:rsid w:val="008152D5"/>
    <w:rsid w:val="0081578A"/>
    <w:rsid w:val="0081638B"/>
    <w:rsid w:val="008167F8"/>
    <w:rsid w:val="00816B7F"/>
    <w:rsid w:val="00821670"/>
    <w:rsid w:val="0082183F"/>
    <w:rsid w:val="00821F80"/>
    <w:rsid w:val="00822CEC"/>
    <w:rsid w:val="00822F82"/>
    <w:rsid w:val="00823520"/>
    <w:rsid w:val="008235CC"/>
    <w:rsid w:val="008251EB"/>
    <w:rsid w:val="00825B4E"/>
    <w:rsid w:val="00826236"/>
    <w:rsid w:val="008263BB"/>
    <w:rsid w:val="00826A23"/>
    <w:rsid w:val="00826CC3"/>
    <w:rsid w:val="00830023"/>
    <w:rsid w:val="00830383"/>
    <w:rsid w:val="008309D3"/>
    <w:rsid w:val="00830AA2"/>
    <w:rsid w:val="00830BED"/>
    <w:rsid w:val="00830CB3"/>
    <w:rsid w:val="00832090"/>
    <w:rsid w:val="00833476"/>
    <w:rsid w:val="008338EA"/>
    <w:rsid w:val="0083401F"/>
    <w:rsid w:val="0083471B"/>
    <w:rsid w:val="00835546"/>
    <w:rsid w:val="0083588E"/>
    <w:rsid w:val="00835949"/>
    <w:rsid w:val="00835CDC"/>
    <w:rsid w:val="00835E85"/>
    <w:rsid w:val="0083643D"/>
    <w:rsid w:val="008373A8"/>
    <w:rsid w:val="0084016C"/>
    <w:rsid w:val="00840BFA"/>
    <w:rsid w:val="00840F25"/>
    <w:rsid w:val="008414A1"/>
    <w:rsid w:val="008415DD"/>
    <w:rsid w:val="00841F7F"/>
    <w:rsid w:val="0084278D"/>
    <w:rsid w:val="00842EC4"/>
    <w:rsid w:val="008432D3"/>
    <w:rsid w:val="00843659"/>
    <w:rsid w:val="00843802"/>
    <w:rsid w:val="00844726"/>
    <w:rsid w:val="008449CE"/>
    <w:rsid w:val="00844A7D"/>
    <w:rsid w:val="00844B1F"/>
    <w:rsid w:val="00844DE4"/>
    <w:rsid w:val="00845FB6"/>
    <w:rsid w:val="00846A27"/>
    <w:rsid w:val="00846C84"/>
    <w:rsid w:val="008470B0"/>
    <w:rsid w:val="008500EA"/>
    <w:rsid w:val="008502A4"/>
    <w:rsid w:val="00850C0F"/>
    <w:rsid w:val="00850CCF"/>
    <w:rsid w:val="008512E9"/>
    <w:rsid w:val="00851A1D"/>
    <w:rsid w:val="00851EE4"/>
    <w:rsid w:val="008522D4"/>
    <w:rsid w:val="008529A5"/>
    <w:rsid w:val="00852B24"/>
    <w:rsid w:val="00853E2A"/>
    <w:rsid w:val="00854749"/>
    <w:rsid w:val="00855790"/>
    <w:rsid w:val="00855846"/>
    <w:rsid w:val="008569A3"/>
    <w:rsid w:val="00856E0F"/>
    <w:rsid w:val="0085780D"/>
    <w:rsid w:val="00857885"/>
    <w:rsid w:val="00857CB0"/>
    <w:rsid w:val="00857CEB"/>
    <w:rsid w:val="00860C4C"/>
    <w:rsid w:val="0086204D"/>
    <w:rsid w:val="00862BE5"/>
    <w:rsid w:val="00862D0D"/>
    <w:rsid w:val="00863B45"/>
    <w:rsid w:val="00864DBC"/>
    <w:rsid w:val="00865BA2"/>
    <w:rsid w:val="00866BE4"/>
    <w:rsid w:val="008676AE"/>
    <w:rsid w:val="00870266"/>
    <w:rsid w:val="008705BE"/>
    <w:rsid w:val="0087076D"/>
    <w:rsid w:val="00870818"/>
    <w:rsid w:val="00871BF0"/>
    <w:rsid w:val="00872796"/>
    <w:rsid w:val="00873323"/>
    <w:rsid w:val="0087351F"/>
    <w:rsid w:val="00873B5F"/>
    <w:rsid w:val="00873E8F"/>
    <w:rsid w:val="00874213"/>
    <w:rsid w:val="00874995"/>
    <w:rsid w:val="00875262"/>
    <w:rsid w:val="00876386"/>
    <w:rsid w:val="008772FE"/>
    <w:rsid w:val="00877521"/>
    <w:rsid w:val="00877732"/>
    <w:rsid w:val="00877C22"/>
    <w:rsid w:val="00880A08"/>
    <w:rsid w:val="00881C47"/>
    <w:rsid w:val="00882C9E"/>
    <w:rsid w:val="00884260"/>
    <w:rsid w:val="008847F5"/>
    <w:rsid w:val="00884892"/>
    <w:rsid w:val="00887068"/>
    <w:rsid w:val="00887A75"/>
    <w:rsid w:val="00887C8D"/>
    <w:rsid w:val="0089047C"/>
    <w:rsid w:val="008904D7"/>
    <w:rsid w:val="00890E83"/>
    <w:rsid w:val="0089144C"/>
    <w:rsid w:val="00891A4C"/>
    <w:rsid w:val="008932E3"/>
    <w:rsid w:val="008950E5"/>
    <w:rsid w:val="0089526E"/>
    <w:rsid w:val="008953D6"/>
    <w:rsid w:val="0089623F"/>
    <w:rsid w:val="00896A00"/>
    <w:rsid w:val="008971AD"/>
    <w:rsid w:val="008975A3"/>
    <w:rsid w:val="00897CCD"/>
    <w:rsid w:val="00897E8C"/>
    <w:rsid w:val="008A1812"/>
    <w:rsid w:val="008A1A88"/>
    <w:rsid w:val="008A29AA"/>
    <w:rsid w:val="008A3672"/>
    <w:rsid w:val="008A387D"/>
    <w:rsid w:val="008A3C9B"/>
    <w:rsid w:val="008A4177"/>
    <w:rsid w:val="008A539C"/>
    <w:rsid w:val="008A58FD"/>
    <w:rsid w:val="008A5BB3"/>
    <w:rsid w:val="008A5BD8"/>
    <w:rsid w:val="008A5CEC"/>
    <w:rsid w:val="008A5DBF"/>
    <w:rsid w:val="008A5F03"/>
    <w:rsid w:val="008A6239"/>
    <w:rsid w:val="008A6361"/>
    <w:rsid w:val="008A710C"/>
    <w:rsid w:val="008B0BBF"/>
    <w:rsid w:val="008B12E0"/>
    <w:rsid w:val="008B1656"/>
    <w:rsid w:val="008B203F"/>
    <w:rsid w:val="008B207C"/>
    <w:rsid w:val="008B29E3"/>
    <w:rsid w:val="008B2B9D"/>
    <w:rsid w:val="008B3650"/>
    <w:rsid w:val="008B3D63"/>
    <w:rsid w:val="008B434E"/>
    <w:rsid w:val="008B5626"/>
    <w:rsid w:val="008B5D35"/>
    <w:rsid w:val="008B5EEF"/>
    <w:rsid w:val="008B794C"/>
    <w:rsid w:val="008C03B0"/>
    <w:rsid w:val="008C0B47"/>
    <w:rsid w:val="008C1267"/>
    <w:rsid w:val="008C2195"/>
    <w:rsid w:val="008C2C88"/>
    <w:rsid w:val="008C35C5"/>
    <w:rsid w:val="008C413B"/>
    <w:rsid w:val="008C41E8"/>
    <w:rsid w:val="008C423A"/>
    <w:rsid w:val="008C4991"/>
    <w:rsid w:val="008C51D4"/>
    <w:rsid w:val="008C63E8"/>
    <w:rsid w:val="008C7756"/>
    <w:rsid w:val="008D0043"/>
    <w:rsid w:val="008D0A8E"/>
    <w:rsid w:val="008D2802"/>
    <w:rsid w:val="008D2A11"/>
    <w:rsid w:val="008D2E2D"/>
    <w:rsid w:val="008D2FCB"/>
    <w:rsid w:val="008D37B3"/>
    <w:rsid w:val="008D388E"/>
    <w:rsid w:val="008D3BB0"/>
    <w:rsid w:val="008D3E2F"/>
    <w:rsid w:val="008D43E5"/>
    <w:rsid w:val="008D46FD"/>
    <w:rsid w:val="008D5677"/>
    <w:rsid w:val="008D683F"/>
    <w:rsid w:val="008D7388"/>
    <w:rsid w:val="008E0102"/>
    <w:rsid w:val="008E02FC"/>
    <w:rsid w:val="008E0AFF"/>
    <w:rsid w:val="008E0C38"/>
    <w:rsid w:val="008E0E07"/>
    <w:rsid w:val="008E11B2"/>
    <w:rsid w:val="008E1574"/>
    <w:rsid w:val="008E1D6B"/>
    <w:rsid w:val="008E1F78"/>
    <w:rsid w:val="008E28EE"/>
    <w:rsid w:val="008E31D6"/>
    <w:rsid w:val="008E328A"/>
    <w:rsid w:val="008E37B3"/>
    <w:rsid w:val="008E4174"/>
    <w:rsid w:val="008E4BE0"/>
    <w:rsid w:val="008E6A7F"/>
    <w:rsid w:val="008E740F"/>
    <w:rsid w:val="008F0813"/>
    <w:rsid w:val="008F082D"/>
    <w:rsid w:val="008F0C02"/>
    <w:rsid w:val="008F0C67"/>
    <w:rsid w:val="008F0EB9"/>
    <w:rsid w:val="008F1371"/>
    <w:rsid w:val="008F16E4"/>
    <w:rsid w:val="008F1814"/>
    <w:rsid w:val="008F3BBD"/>
    <w:rsid w:val="008F4615"/>
    <w:rsid w:val="008F54ED"/>
    <w:rsid w:val="008F569F"/>
    <w:rsid w:val="008F594E"/>
    <w:rsid w:val="009002C7"/>
    <w:rsid w:val="009015B4"/>
    <w:rsid w:val="00901B21"/>
    <w:rsid w:val="00901D50"/>
    <w:rsid w:val="00901FB9"/>
    <w:rsid w:val="009020B5"/>
    <w:rsid w:val="00903C25"/>
    <w:rsid w:val="009048EA"/>
    <w:rsid w:val="00904FD3"/>
    <w:rsid w:val="00905C25"/>
    <w:rsid w:val="00905CA5"/>
    <w:rsid w:val="00905DD2"/>
    <w:rsid w:val="009102A6"/>
    <w:rsid w:val="0091035F"/>
    <w:rsid w:val="00911FC0"/>
    <w:rsid w:val="00913860"/>
    <w:rsid w:val="00914062"/>
    <w:rsid w:val="0091470E"/>
    <w:rsid w:val="00915310"/>
    <w:rsid w:val="00916564"/>
    <w:rsid w:val="009174D4"/>
    <w:rsid w:val="00917B32"/>
    <w:rsid w:val="00920024"/>
    <w:rsid w:val="00920C32"/>
    <w:rsid w:val="0092265B"/>
    <w:rsid w:val="009228A2"/>
    <w:rsid w:val="00922FB0"/>
    <w:rsid w:val="0092328A"/>
    <w:rsid w:val="009239D8"/>
    <w:rsid w:val="00923AB9"/>
    <w:rsid w:val="009240E1"/>
    <w:rsid w:val="00924A76"/>
    <w:rsid w:val="00924C8B"/>
    <w:rsid w:val="00924F0D"/>
    <w:rsid w:val="00925C01"/>
    <w:rsid w:val="00925FC4"/>
    <w:rsid w:val="00926F2C"/>
    <w:rsid w:val="009274B7"/>
    <w:rsid w:val="009279C2"/>
    <w:rsid w:val="00927B85"/>
    <w:rsid w:val="00927BD9"/>
    <w:rsid w:val="00927F4F"/>
    <w:rsid w:val="00930492"/>
    <w:rsid w:val="009306C9"/>
    <w:rsid w:val="009309BF"/>
    <w:rsid w:val="009329F8"/>
    <w:rsid w:val="00932D6F"/>
    <w:rsid w:val="009331E3"/>
    <w:rsid w:val="00933A0A"/>
    <w:rsid w:val="009359EB"/>
    <w:rsid w:val="0093625C"/>
    <w:rsid w:val="009369DE"/>
    <w:rsid w:val="00936A38"/>
    <w:rsid w:val="0093724C"/>
    <w:rsid w:val="00940299"/>
    <w:rsid w:val="00941DCD"/>
    <w:rsid w:val="00942B1C"/>
    <w:rsid w:val="00942BD4"/>
    <w:rsid w:val="0094376F"/>
    <w:rsid w:val="00943F15"/>
    <w:rsid w:val="009455FC"/>
    <w:rsid w:val="00946585"/>
    <w:rsid w:val="00946FC0"/>
    <w:rsid w:val="00947456"/>
    <w:rsid w:val="00947709"/>
    <w:rsid w:val="0095046F"/>
    <w:rsid w:val="00950A0D"/>
    <w:rsid w:val="00950D1A"/>
    <w:rsid w:val="00950F08"/>
    <w:rsid w:val="00951DC4"/>
    <w:rsid w:val="0095249D"/>
    <w:rsid w:val="009528C9"/>
    <w:rsid w:val="00953A30"/>
    <w:rsid w:val="00955053"/>
    <w:rsid w:val="009552CD"/>
    <w:rsid w:val="00955B89"/>
    <w:rsid w:val="009560F0"/>
    <w:rsid w:val="00956562"/>
    <w:rsid w:val="00956C6F"/>
    <w:rsid w:val="009572C9"/>
    <w:rsid w:val="009602C0"/>
    <w:rsid w:val="0096068F"/>
    <w:rsid w:val="009608EF"/>
    <w:rsid w:val="00961720"/>
    <w:rsid w:val="00961D32"/>
    <w:rsid w:val="00963083"/>
    <w:rsid w:val="009633A8"/>
    <w:rsid w:val="009636AB"/>
    <w:rsid w:val="00964269"/>
    <w:rsid w:val="00964F51"/>
    <w:rsid w:val="0096501F"/>
    <w:rsid w:val="00965454"/>
    <w:rsid w:val="00965B16"/>
    <w:rsid w:val="00966458"/>
    <w:rsid w:val="00966682"/>
    <w:rsid w:val="009667C5"/>
    <w:rsid w:val="00966EFE"/>
    <w:rsid w:val="009701AD"/>
    <w:rsid w:val="00970BB0"/>
    <w:rsid w:val="00973470"/>
    <w:rsid w:val="00973673"/>
    <w:rsid w:val="00974415"/>
    <w:rsid w:val="0097484B"/>
    <w:rsid w:val="009753DD"/>
    <w:rsid w:val="00975533"/>
    <w:rsid w:val="0097559A"/>
    <w:rsid w:val="009755E8"/>
    <w:rsid w:val="009765A1"/>
    <w:rsid w:val="009779F8"/>
    <w:rsid w:val="00977A02"/>
    <w:rsid w:val="0098115B"/>
    <w:rsid w:val="00981799"/>
    <w:rsid w:val="00982BB3"/>
    <w:rsid w:val="00983234"/>
    <w:rsid w:val="009838EC"/>
    <w:rsid w:val="009839EA"/>
    <w:rsid w:val="00983BD9"/>
    <w:rsid w:val="00986FAC"/>
    <w:rsid w:val="009879A9"/>
    <w:rsid w:val="00987E0C"/>
    <w:rsid w:val="00987EA3"/>
    <w:rsid w:val="009905CC"/>
    <w:rsid w:val="00990AFB"/>
    <w:rsid w:val="00990EC2"/>
    <w:rsid w:val="00991799"/>
    <w:rsid w:val="00991B25"/>
    <w:rsid w:val="0099406E"/>
    <w:rsid w:val="00994862"/>
    <w:rsid w:val="0099530B"/>
    <w:rsid w:val="009954EB"/>
    <w:rsid w:val="00995D7D"/>
    <w:rsid w:val="00995EA3"/>
    <w:rsid w:val="00995FBD"/>
    <w:rsid w:val="0099688B"/>
    <w:rsid w:val="00996C5E"/>
    <w:rsid w:val="009A03E2"/>
    <w:rsid w:val="009A078A"/>
    <w:rsid w:val="009A08B5"/>
    <w:rsid w:val="009A0902"/>
    <w:rsid w:val="009A1AA3"/>
    <w:rsid w:val="009A2DD4"/>
    <w:rsid w:val="009A332B"/>
    <w:rsid w:val="009A3D2C"/>
    <w:rsid w:val="009A4D7E"/>
    <w:rsid w:val="009A5875"/>
    <w:rsid w:val="009A5926"/>
    <w:rsid w:val="009A6413"/>
    <w:rsid w:val="009A7177"/>
    <w:rsid w:val="009A762F"/>
    <w:rsid w:val="009A7956"/>
    <w:rsid w:val="009A7A72"/>
    <w:rsid w:val="009A7C43"/>
    <w:rsid w:val="009B1553"/>
    <w:rsid w:val="009B3126"/>
    <w:rsid w:val="009B3186"/>
    <w:rsid w:val="009B319C"/>
    <w:rsid w:val="009B459B"/>
    <w:rsid w:val="009B4883"/>
    <w:rsid w:val="009B4A0D"/>
    <w:rsid w:val="009B5421"/>
    <w:rsid w:val="009B5AB0"/>
    <w:rsid w:val="009B79A8"/>
    <w:rsid w:val="009B7BF6"/>
    <w:rsid w:val="009C1921"/>
    <w:rsid w:val="009C1D83"/>
    <w:rsid w:val="009C282D"/>
    <w:rsid w:val="009C5146"/>
    <w:rsid w:val="009C5AEC"/>
    <w:rsid w:val="009C5C02"/>
    <w:rsid w:val="009C5CB3"/>
    <w:rsid w:val="009C629C"/>
    <w:rsid w:val="009D095C"/>
    <w:rsid w:val="009D0B00"/>
    <w:rsid w:val="009D0D22"/>
    <w:rsid w:val="009D139C"/>
    <w:rsid w:val="009D1A1A"/>
    <w:rsid w:val="009D35B5"/>
    <w:rsid w:val="009D3800"/>
    <w:rsid w:val="009D3D35"/>
    <w:rsid w:val="009D4356"/>
    <w:rsid w:val="009D52CE"/>
    <w:rsid w:val="009D5307"/>
    <w:rsid w:val="009D53B4"/>
    <w:rsid w:val="009D6440"/>
    <w:rsid w:val="009D6E07"/>
    <w:rsid w:val="009D73A6"/>
    <w:rsid w:val="009E0B21"/>
    <w:rsid w:val="009E0B8C"/>
    <w:rsid w:val="009E0C00"/>
    <w:rsid w:val="009E0CC7"/>
    <w:rsid w:val="009E130B"/>
    <w:rsid w:val="009E1B8E"/>
    <w:rsid w:val="009E26AE"/>
    <w:rsid w:val="009E27AD"/>
    <w:rsid w:val="009E3018"/>
    <w:rsid w:val="009E3CC3"/>
    <w:rsid w:val="009E4E9E"/>
    <w:rsid w:val="009E51F3"/>
    <w:rsid w:val="009E5B55"/>
    <w:rsid w:val="009E5B61"/>
    <w:rsid w:val="009E6587"/>
    <w:rsid w:val="009E6E75"/>
    <w:rsid w:val="009E763D"/>
    <w:rsid w:val="009E779C"/>
    <w:rsid w:val="009E7CCD"/>
    <w:rsid w:val="009F01D6"/>
    <w:rsid w:val="009F1141"/>
    <w:rsid w:val="009F13AE"/>
    <w:rsid w:val="009F16A5"/>
    <w:rsid w:val="009F2A04"/>
    <w:rsid w:val="009F4046"/>
    <w:rsid w:val="009F4124"/>
    <w:rsid w:val="009F43F1"/>
    <w:rsid w:val="009F5098"/>
    <w:rsid w:val="009F575A"/>
    <w:rsid w:val="009F5ED6"/>
    <w:rsid w:val="009F6BA6"/>
    <w:rsid w:val="009F7577"/>
    <w:rsid w:val="00A004B9"/>
    <w:rsid w:val="00A004E2"/>
    <w:rsid w:val="00A0051F"/>
    <w:rsid w:val="00A00B5F"/>
    <w:rsid w:val="00A01A89"/>
    <w:rsid w:val="00A01BE7"/>
    <w:rsid w:val="00A01DB7"/>
    <w:rsid w:val="00A02EE5"/>
    <w:rsid w:val="00A035D3"/>
    <w:rsid w:val="00A04560"/>
    <w:rsid w:val="00A05899"/>
    <w:rsid w:val="00A0595F"/>
    <w:rsid w:val="00A05C0A"/>
    <w:rsid w:val="00A061BF"/>
    <w:rsid w:val="00A063F3"/>
    <w:rsid w:val="00A0655B"/>
    <w:rsid w:val="00A06EAC"/>
    <w:rsid w:val="00A07160"/>
    <w:rsid w:val="00A077F2"/>
    <w:rsid w:val="00A07CAA"/>
    <w:rsid w:val="00A102AD"/>
    <w:rsid w:val="00A1044D"/>
    <w:rsid w:val="00A10633"/>
    <w:rsid w:val="00A10AE8"/>
    <w:rsid w:val="00A10B56"/>
    <w:rsid w:val="00A117D9"/>
    <w:rsid w:val="00A11F30"/>
    <w:rsid w:val="00A11FB1"/>
    <w:rsid w:val="00A120D1"/>
    <w:rsid w:val="00A126D7"/>
    <w:rsid w:val="00A12B8D"/>
    <w:rsid w:val="00A13130"/>
    <w:rsid w:val="00A1514B"/>
    <w:rsid w:val="00A1569D"/>
    <w:rsid w:val="00A156B2"/>
    <w:rsid w:val="00A15B80"/>
    <w:rsid w:val="00A16437"/>
    <w:rsid w:val="00A17EB8"/>
    <w:rsid w:val="00A20150"/>
    <w:rsid w:val="00A209A2"/>
    <w:rsid w:val="00A20B1C"/>
    <w:rsid w:val="00A20B5C"/>
    <w:rsid w:val="00A21679"/>
    <w:rsid w:val="00A21B9D"/>
    <w:rsid w:val="00A2255E"/>
    <w:rsid w:val="00A22585"/>
    <w:rsid w:val="00A22A1A"/>
    <w:rsid w:val="00A239B6"/>
    <w:rsid w:val="00A25410"/>
    <w:rsid w:val="00A25EE4"/>
    <w:rsid w:val="00A2642E"/>
    <w:rsid w:val="00A267CC"/>
    <w:rsid w:val="00A27B08"/>
    <w:rsid w:val="00A30049"/>
    <w:rsid w:val="00A30358"/>
    <w:rsid w:val="00A316C3"/>
    <w:rsid w:val="00A3315E"/>
    <w:rsid w:val="00A335A7"/>
    <w:rsid w:val="00A3379A"/>
    <w:rsid w:val="00A337A9"/>
    <w:rsid w:val="00A34019"/>
    <w:rsid w:val="00A346AF"/>
    <w:rsid w:val="00A34B1D"/>
    <w:rsid w:val="00A34ED3"/>
    <w:rsid w:val="00A35808"/>
    <w:rsid w:val="00A363F5"/>
    <w:rsid w:val="00A36546"/>
    <w:rsid w:val="00A374DC"/>
    <w:rsid w:val="00A3786B"/>
    <w:rsid w:val="00A378E2"/>
    <w:rsid w:val="00A40673"/>
    <w:rsid w:val="00A40724"/>
    <w:rsid w:val="00A4157F"/>
    <w:rsid w:val="00A42483"/>
    <w:rsid w:val="00A42544"/>
    <w:rsid w:val="00A4282E"/>
    <w:rsid w:val="00A4289D"/>
    <w:rsid w:val="00A42C3E"/>
    <w:rsid w:val="00A42E07"/>
    <w:rsid w:val="00A42EC4"/>
    <w:rsid w:val="00A43BAB"/>
    <w:rsid w:val="00A44E8F"/>
    <w:rsid w:val="00A45E04"/>
    <w:rsid w:val="00A469BD"/>
    <w:rsid w:val="00A474F2"/>
    <w:rsid w:val="00A47C5B"/>
    <w:rsid w:val="00A501B7"/>
    <w:rsid w:val="00A51485"/>
    <w:rsid w:val="00A526B9"/>
    <w:rsid w:val="00A52F44"/>
    <w:rsid w:val="00A53AB0"/>
    <w:rsid w:val="00A53D2E"/>
    <w:rsid w:val="00A53EB9"/>
    <w:rsid w:val="00A55859"/>
    <w:rsid w:val="00A55B80"/>
    <w:rsid w:val="00A56466"/>
    <w:rsid w:val="00A57A14"/>
    <w:rsid w:val="00A57B24"/>
    <w:rsid w:val="00A60193"/>
    <w:rsid w:val="00A601DE"/>
    <w:rsid w:val="00A60C82"/>
    <w:rsid w:val="00A60CBB"/>
    <w:rsid w:val="00A615E2"/>
    <w:rsid w:val="00A618E9"/>
    <w:rsid w:val="00A61A4C"/>
    <w:rsid w:val="00A62A40"/>
    <w:rsid w:val="00A63134"/>
    <w:rsid w:val="00A65D50"/>
    <w:rsid w:val="00A66A7E"/>
    <w:rsid w:val="00A66D31"/>
    <w:rsid w:val="00A674DB"/>
    <w:rsid w:val="00A7113A"/>
    <w:rsid w:val="00A71D3A"/>
    <w:rsid w:val="00A71EC3"/>
    <w:rsid w:val="00A723EA"/>
    <w:rsid w:val="00A72B5D"/>
    <w:rsid w:val="00A72D83"/>
    <w:rsid w:val="00A73266"/>
    <w:rsid w:val="00A74F83"/>
    <w:rsid w:val="00A755EC"/>
    <w:rsid w:val="00A75B8A"/>
    <w:rsid w:val="00A76289"/>
    <w:rsid w:val="00A7650A"/>
    <w:rsid w:val="00A77428"/>
    <w:rsid w:val="00A775AF"/>
    <w:rsid w:val="00A77BF9"/>
    <w:rsid w:val="00A8135E"/>
    <w:rsid w:val="00A81670"/>
    <w:rsid w:val="00A81865"/>
    <w:rsid w:val="00A8228D"/>
    <w:rsid w:val="00A82510"/>
    <w:rsid w:val="00A82F89"/>
    <w:rsid w:val="00A8355A"/>
    <w:rsid w:val="00A83661"/>
    <w:rsid w:val="00A83A0C"/>
    <w:rsid w:val="00A83AB9"/>
    <w:rsid w:val="00A83D0F"/>
    <w:rsid w:val="00A860FF"/>
    <w:rsid w:val="00A862F4"/>
    <w:rsid w:val="00A864A6"/>
    <w:rsid w:val="00A867F5"/>
    <w:rsid w:val="00A86BFD"/>
    <w:rsid w:val="00A86C2A"/>
    <w:rsid w:val="00A86F01"/>
    <w:rsid w:val="00A86FDE"/>
    <w:rsid w:val="00A870DA"/>
    <w:rsid w:val="00A87322"/>
    <w:rsid w:val="00A877EE"/>
    <w:rsid w:val="00A90886"/>
    <w:rsid w:val="00A90A79"/>
    <w:rsid w:val="00A90F9F"/>
    <w:rsid w:val="00A913C9"/>
    <w:rsid w:val="00A9166D"/>
    <w:rsid w:val="00A91826"/>
    <w:rsid w:val="00A928CC"/>
    <w:rsid w:val="00A93A4C"/>
    <w:rsid w:val="00A93ACD"/>
    <w:rsid w:val="00A94F2B"/>
    <w:rsid w:val="00A95572"/>
    <w:rsid w:val="00A95ABC"/>
    <w:rsid w:val="00A960F6"/>
    <w:rsid w:val="00A96F54"/>
    <w:rsid w:val="00A9773D"/>
    <w:rsid w:val="00A977C7"/>
    <w:rsid w:val="00AA0054"/>
    <w:rsid w:val="00AA0D27"/>
    <w:rsid w:val="00AA0EF6"/>
    <w:rsid w:val="00AA124B"/>
    <w:rsid w:val="00AA20A6"/>
    <w:rsid w:val="00AA2B74"/>
    <w:rsid w:val="00AA2F45"/>
    <w:rsid w:val="00AA2F4A"/>
    <w:rsid w:val="00AA39F0"/>
    <w:rsid w:val="00AA4197"/>
    <w:rsid w:val="00AA453C"/>
    <w:rsid w:val="00AA4E96"/>
    <w:rsid w:val="00AA4FD1"/>
    <w:rsid w:val="00AA5297"/>
    <w:rsid w:val="00AA53B1"/>
    <w:rsid w:val="00AA5AF6"/>
    <w:rsid w:val="00AA5DC9"/>
    <w:rsid w:val="00AA607B"/>
    <w:rsid w:val="00AA6721"/>
    <w:rsid w:val="00AA7540"/>
    <w:rsid w:val="00AA79EC"/>
    <w:rsid w:val="00AA7A98"/>
    <w:rsid w:val="00AB039F"/>
    <w:rsid w:val="00AB03FE"/>
    <w:rsid w:val="00AB0B14"/>
    <w:rsid w:val="00AB14CB"/>
    <w:rsid w:val="00AB255B"/>
    <w:rsid w:val="00AB2E63"/>
    <w:rsid w:val="00AB3341"/>
    <w:rsid w:val="00AB33F3"/>
    <w:rsid w:val="00AB3FEC"/>
    <w:rsid w:val="00AB435B"/>
    <w:rsid w:val="00AB4BA6"/>
    <w:rsid w:val="00AB532A"/>
    <w:rsid w:val="00AB6A91"/>
    <w:rsid w:val="00AB6FA0"/>
    <w:rsid w:val="00AB7F5C"/>
    <w:rsid w:val="00AC02E8"/>
    <w:rsid w:val="00AC0514"/>
    <w:rsid w:val="00AC06E4"/>
    <w:rsid w:val="00AC1B09"/>
    <w:rsid w:val="00AC1CF2"/>
    <w:rsid w:val="00AC2A02"/>
    <w:rsid w:val="00AC433B"/>
    <w:rsid w:val="00AC4CF0"/>
    <w:rsid w:val="00AC4DC4"/>
    <w:rsid w:val="00AC588B"/>
    <w:rsid w:val="00AC5894"/>
    <w:rsid w:val="00AC5FC1"/>
    <w:rsid w:val="00AC5FDE"/>
    <w:rsid w:val="00AC613C"/>
    <w:rsid w:val="00AC635C"/>
    <w:rsid w:val="00AC756D"/>
    <w:rsid w:val="00AC7640"/>
    <w:rsid w:val="00AD1E2B"/>
    <w:rsid w:val="00AD1F2A"/>
    <w:rsid w:val="00AD1FE5"/>
    <w:rsid w:val="00AD2937"/>
    <w:rsid w:val="00AD2AE5"/>
    <w:rsid w:val="00AD3239"/>
    <w:rsid w:val="00AD4611"/>
    <w:rsid w:val="00AD480E"/>
    <w:rsid w:val="00AD4F27"/>
    <w:rsid w:val="00AD507F"/>
    <w:rsid w:val="00AD59B8"/>
    <w:rsid w:val="00AD6070"/>
    <w:rsid w:val="00AD6B8B"/>
    <w:rsid w:val="00AD7894"/>
    <w:rsid w:val="00AD7D7D"/>
    <w:rsid w:val="00AE015E"/>
    <w:rsid w:val="00AE0795"/>
    <w:rsid w:val="00AE0C18"/>
    <w:rsid w:val="00AE196C"/>
    <w:rsid w:val="00AE2533"/>
    <w:rsid w:val="00AE2A6A"/>
    <w:rsid w:val="00AE2C51"/>
    <w:rsid w:val="00AE3947"/>
    <w:rsid w:val="00AE4568"/>
    <w:rsid w:val="00AE5013"/>
    <w:rsid w:val="00AE545E"/>
    <w:rsid w:val="00AE7175"/>
    <w:rsid w:val="00AE71EC"/>
    <w:rsid w:val="00AF0670"/>
    <w:rsid w:val="00AF08C9"/>
    <w:rsid w:val="00AF0AF8"/>
    <w:rsid w:val="00AF1AF6"/>
    <w:rsid w:val="00AF251F"/>
    <w:rsid w:val="00AF2A7D"/>
    <w:rsid w:val="00AF2F29"/>
    <w:rsid w:val="00AF35A1"/>
    <w:rsid w:val="00AF3F24"/>
    <w:rsid w:val="00AF420C"/>
    <w:rsid w:val="00AF42DC"/>
    <w:rsid w:val="00AF47F7"/>
    <w:rsid w:val="00AF5F8D"/>
    <w:rsid w:val="00AF7C65"/>
    <w:rsid w:val="00B00463"/>
    <w:rsid w:val="00B0120A"/>
    <w:rsid w:val="00B01778"/>
    <w:rsid w:val="00B0189C"/>
    <w:rsid w:val="00B01E4F"/>
    <w:rsid w:val="00B020D8"/>
    <w:rsid w:val="00B03465"/>
    <w:rsid w:val="00B03847"/>
    <w:rsid w:val="00B038D7"/>
    <w:rsid w:val="00B03DEF"/>
    <w:rsid w:val="00B03ED4"/>
    <w:rsid w:val="00B04143"/>
    <w:rsid w:val="00B0414F"/>
    <w:rsid w:val="00B044E2"/>
    <w:rsid w:val="00B046AE"/>
    <w:rsid w:val="00B04F51"/>
    <w:rsid w:val="00B050A0"/>
    <w:rsid w:val="00B050A8"/>
    <w:rsid w:val="00B05959"/>
    <w:rsid w:val="00B059DC"/>
    <w:rsid w:val="00B05C1E"/>
    <w:rsid w:val="00B05DCE"/>
    <w:rsid w:val="00B06B38"/>
    <w:rsid w:val="00B06BC9"/>
    <w:rsid w:val="00B076B5"/>
    <w:rsid w:val="00B105DE"/>
    <w:rsid w:val="00B1075B"/>
    <w:rsid w:val="00B111AF"/>
    <w:rsid w:val="00B11784"/>
    <w:rsid w:val="00B11A13"/>
    <w:rsid w:val="00B11A85"/>
    <w:rsid w:val="00B12153"/>
    <w:rsid w:val="00B125A9"/>
    <w:rsid w:val="00B12B4E"/>
    <w:rsid w:val="00B1349F"/>
    <w:rsid w:val="00B135CC"/>
    <w:rsid w:val="00B13666"/>
    <w:rsid w:val="00B13894"/>
    <w:rsid w:val="00B14291"/>
    <w:rsid w:val="00B14305"/>
    <w:rsid w:val="00B14384"/>
    <w:rsid w:val="00B149FE"/>
    <w:rsid w:val="00B15533"/>
    <w:rsid w:val="00B161D9"/>
    <w:rsid w:val="00B16737"/>
    <w:rsid w:val="00B16E87"/>
    <w:rsid w:val="00B202AE"/>
    <w:rsid w:val="00B209D0"/>
    <w:rsid w:val="00B2125E"/>
    <w:rsid w:val="00B2190B"/>
    <w:rsid w:val="00B2222A"/>
    <w:rsid w:val="00B2247A"/>
    <w:rsid w:val="00B2280A"/>
    <w:rsid w:val="00B2336E"/>
    <w:rsid w:val="00B239A3"/>
    <w:rsid w:val="00B23E7E"/>
    <w:rsid w:val="00B246BD"/>
    <w:rsid w:val="00B2574D"/>
    <w:rsid w:val="00B2583E"/>
    <w:rsid w:val="00B259DB"/>
    <w:rsid w:val="00B25DF7"/>
    <w:rsid w:val="00B26625"/>
    <w:rsid w:val="00B26980"/>
    <w:rsid w:val="00B26DF7"/>
    <w:rsid w:val="00B26F7E"/>
    <w:rsid w:val="00B2768B"/>
    <w:rsid w:val="00B30541"/>
    <w:rsid w:val="00B307C4"/>
    <w:rsid w:val="00B308DF"/>
    <w:rsid w:val="00B30EF7"/>
    <w:rsid w:val="00B32028"/>
    <w:rsid w:val="00B32630"/>
    <w:rsid w:val="00B328C2"/>
    <w:rsid w:val="00B32A01"/>
    <w:rsid w:val="00B32C99"/>
    <w:rsid w:val="00B32F32"/>
    <w:rsid w:val="00B34284"/>
    <w:rsid w:val="00B349D5"/>
    <w:rsid w:val="00B34D60"/>
    <w:rsid w:val="00B357DE"/>
    <w:rsid w:val="00B35BAF"/>
    <w:rsid w:val="00B36282"/>
    <w:rsid w:val="00B371D8"/>
    <w:rsid w:val="00B376C2"/>
    <w:rsid w:val="00B37A16"/>
    <w:rsid w:val="00B4086B"/>
    <w:rsid w:val="00B40A75"/>
    <w:rsid w:val="00B40C1C"/>
    <w:rsid w:val="00B4135C"/>
    <w:rsid w:val="00B416C2"/>
    <w:rsid w:val="00B42086"/>
    <w:rsid w:val="00B42717"/>
    <w:rsid w:val="00B42A13"/>
    <w:rsid w:val="00B42E79"/>
    <w:rsid w:val="00B433EB"/>
    <w:rsid w:val="00B439FC"/>
    <w:rsid w:val="00B43C93"/>
    <w:rsid w:val="00B43EE0"/>
    <w:rsid w:val="00B4412B"/>
    <w:rsid w:val="00B44C47"/>
    <w:rsid w:val="00B45BB2"/>
    <w:rsid w:val="00B45DD4"/>
    <w:rsid w:val="00B461CD"/>
    <w:rsid w:val="00B46BC2"/>
    <w:rsid w:val="00B47B73"/>
    <w:rsid w:val="00B47C09"/>
    <w:rsid w:val="00B50A48"/>
    <w:rsid w:val="00B51432"/>
    <w:rsid w:val="00B5205A"/>
    <w:rsid w:val="00B537DF"/>
    <w:rsid w:val="00B53B2A"/>
    <w:rsid w:val="00B53F64"/>
    <w:rsid w:val="00B5470C"/>
    <w:rsid w:val="00B54BF6"/>
    <w:rsid w:val="00B54DC3"/>
    <w:rsid w:val="00B54F1A"/>
    <w:rsid w:val="00B559DE"/>
    <w:rsid w:val="00B56068"/>
    <w:rsid w:val="00B56609"/>
    <w:rsid w:val="00B56E95"/>
    <w:rsid w:val="00B5730D"/>
    <w:rsid w:val="00B57C22"/>
    <w:rsid w:val="00B60055"/>
    <w:rsid w:val="00B60677"/>
    <w:rsid w:val="00B60BA8"/>
    <w:rsid w:val="00B61BF4"/>
    <w:rsid w:val="00B6264D"/>
    <w:rsid w:val="00B62937"/>
    <w:rsid w:val="00B629FF"/>
    <w:rsid w:val="00B643F9"/>
    <w:rsid w:val="00B64EEB"/>
    <w:rsid w:val="00B64F8E"/>
    <w:rsid w:val="00B66230"/>
    <w:rsid w:val="00B66302"/>
    <w:rsid w:val="00B665AF"/>
    <w:rsid w:val="00B6671D"/>
    <w:rsid w:val="00B67189"/>
    <w:rsid w:val="00B67B2D"/>
    <w:rsid w:val="00B710DA"/>
    <w:rsid w:val="00B71622"/>
    <w:rsid w:val="00B719CE"/>
    <w:rsid w:val="00B71E86"/>
    <w:rsid w:val="00B720DC"/>
    <w:rsid w:val="00B72309"/>
    <w:rsid w:val="00B723C2"/>
    <w:rsid w:val="00B724C5"/>
    <w:rsid w:val="00B72AEA"/>
    <w:rsid w:val="00B72EC6"/>
    <w:rsid w:val="00B73136"/>
    <w:rsid w:val="00B7342F"/>
    <w:rsid w:val="00B73A44"/>
    <w:rsid w:val="00B73E09"/>
    <w:rsid w:val="00B744CF"/>
    <w:rsid w:val="00B74CE6"/>
    <w:rsid w:val="00B7529A"/>
    <w:rsid w:val="00B75625"/>
    <w:rsid w:val="00B75966"/>
    <w:rsid w:val="00B75C8D"/>
    <w:rsid w:val="00B75DFF"/>
    <w:rsid w:val="00B76417"/>
    <w:rsid w:val="00B7655E"/>
    <w:rsid w:val="00B77657"/>
    <w:rsid w:val="00B776FE"/>
    <w:rsid w:val="00B77DB6"/>
    <w:rsid w:val="00B77FFA"/>
    <w:rsid w:val="00B81757"/>
    <w:rsid w:val="00B81FE5"/>
    <w:rsid w:val="00B84A99"/>
    <w:rsid w:val="00B84F80"/>
    <w:rsid w:val="00B85847"/>
    <w:rsid w:val="00B85DCB"/>
    <w:rsid w:val="00B85FE2"/>
    <w:rsid w:val="00B8627C"/>
    <w:rsid w:val="00B8635A"/>
    <w:rsid w:val="00B876BE"/>
    <w:rsid w:val="00B87CC6"/>
    <w:rsid w:val="00B9009F"/>
    <w:rsid w:val="00B907C1"/>
    <w:rsid w:val="00B90A3D"/>
    <w:rsid w:val="00B90BD5"/>
    <w:rsid w:val="00B91078"/>
    <w:rsid w:val="00B91423"/>
    <w:rsid w:val="00B91A54"/>
    <w:rsid w:val="00B92697"/>
    <w:rsid w:val="00B92B21"/>
    <w:rsid w:val="00B92EE5"/>
    <w:rsid w:val="00B92FAB"/>
    <w:rsid w:val="00B9327A"/>
    <w:rsid w:val="00B93350"/>
    <w:rsid w:val="00B934C7"/>
    <w:rsid w:val="00B93DEE"/>
    <w:rsid w:val="00B93E15"/>
    <w:rsid w:val="00B94DFF"/>
    <w:rsid w:val="00B94E8A"/>
    <w:rsid w:val="00B950A1"/>
    <w:rsid w:val="00B955E4"/>
    <w:rsid w:val="00B95745"/>
    <w:rsid w:val="00B95768"/>
    <w:rsid w:val="00B95DDB"/>
    <w:rsid w:val="00B9623C"/>
    <w:rsid w:val="00B96528"/>
    <w:rsid w:val="00B96BF4"/>
    <w:rsid w:val="00B97518"/>
    <w:rsid w:val="00B97BB2"/>
    <w:rsid w:val="00B97E3B"/>
    <w:rsid w:val="00BA0BC2"/>
    <w:rsid w:val="00BA300A"/>
    <w:rsid w:val="00BA3484"/>
    <w:rsid w:val="00BA37C6"/>
    <w:rsid w:val="00BA3A78"/>
    <w:rsid w:val="00BA3F2F"/>
    <w:rsid w:val="00BA460D"/>
    <w:rsid w:val="00BA4CA7"/>
    <w:rsid w:val="00BA5385"/>
    <w:rsid w:val="00BA5F95"/>
    <w:rsid w:val="00BA6061"/>
    <w:rsid w:val="00BA615D"/>
    <w:rsid w:val="00BA667B"/>
    <w:rsid w:val="00BA6743"/>
    <w:rsid w:val="00BA67F3"/>
    <w:rsid w:val="00BA692A"/>
    <w:rsid w:val="00BA77C4"/>
    <w:rsid w:val="00BA7E0D"/>
    <w:rsid w:val="00BB02D9"/>
    <w:rsid w:val="00BB09AF"/>
    <w:rsid w:val="00BB0FE5"/>
    <w:rsid w:val="00BB1711"/>
    <w:rsid w:val="00BB1E9E"/>
    <w:rsid w:val="00BB2007"/>
    <w:rsid w:val="00BB259D"/>
    <w:rsid w:val="00BB27EC"/>
    <w:rsid w:val="00BB2D24"/>
    <w:rsid w:val="00BB3511"/>
    <w:rsid w:val="00BB445A"/>
    <w:rsid w:val="00BB457D"/>
    <w:rsid w:val="00BB5969"/>
    <w:rsid w:val="00BB76FE"/>
    <w:rsid w:val="00BB78CE"/>
    <w:rsid w:val="00BB7CBF"/>
    <w:rsid w:val="00BC009B"/>
    <w:rsid w:val="00BC0121"/>
    <w:rsid w:val="00BC0624"/>
    <w:rsid w:val="00BC0FAA"/>
    <w:rsid w:val="00BC1256"/>
    <w:rsid w:val="00BC28D6"/>
    <w:rsid w:val="00BC2BF2"/>
    <w:rsid w:val="00BC32BC"/>
    <w:rsid w:val="00BC388D"/>
    <w:rsid w:val="00BC3DD4"/>
    <w:rsid w:val="00BC3F44"/>
    <w:rsid w:val="00BC5625"/>
    <w:rsid w:val="00BC6851"/>
    <w:rsid w:val="00BC6D14"/>
    <w:rsid w:val="00BC6E0C"/>
    <w:rsid w:val="00BD08BB"/>
    <w:rsid w:val="00BD095D"/>
    <w:rsid w:val="00BD183D"/>
    <w:rsid w:val="00BD212B"/>
    <w:rsid w:val="00BD2FFC"/>
    <w:rsid w:val="00BD4C6A"/>
    <w:rsid w:val="00BD4DCD"/>
    <w:rsid w:val="00BD5639"/>
    <w:rsid w:val="00BD6EBF"/>
    <w:rsid w:val="00BE13C1"/>
    <w:rsid w:val="00BE2F87"/>
    <w:rsid w:val="00BE3D8F"/>
    <w:rsid w:val="00BE46FF"/>
    <w:rsid w:val="00BE471C"/>
    <w:rsid w:val="00BE4749"/>
    <w:rsid w:val="00BE4803"/>
    <w:rsid w:val="00BE4EF8"/>
    <w:rsid w:val="00BE505D"/>
    <w:rsid w:val="00BE51E4"/>
    <w:rsid w:val="00BE5831"/>
    <w:rsid w:val="00BE6B90"/>
    <w:rsid w:val="00BE6DCF"/>
    <w:rsid w:val="00BE6E52"/>
    <w:rsid w:val="00BE6E5D"/>
    <w:rsid w:val="00BE6E63"/>
    <w:rsid w:val="00BE7073"/>
    <w:rsid w:val="00BE7A94"/>
    <w:rsid w:val="00BE7C5D"/>
    <w:rsid w:val="00BE7E5E"/>
    <w:rsid w:val="00BF056C"/>
    <w:rsid w:val="00BF0AF1"/>
    <w:rsid w:val="00BF1437"/>
    <w:rsid w:val="00BF25F1"/>
    <w:rsid w:val="00BF45DA"/>
    <w:rsid w:val="00BF4DB0"/>
    <w:rsid w:val="00BF5E59"/>
    <w:rsid w:val="00BF6721"/>
    <w:rsid w:val="00BF78AE"/>
    <w:rsid w:val="00C003E9"/>
    <w:rsid w:val="00C0047A"/>
    <w:rsid w:val="00C0081F"/>
    <w:rsid w:val="00C00F3D"/>
    <w:rsid w:val="00C01911"/>
    <w:rsid w:val="00C02320"/>
    <w:rsid w:val="00C02433"/>
    <w:rsid w:val="00C0279C"/>
    <w:rsid w:val="00C034A6"/>
    <w:rsid w:val="00C036D3"/>
    <w:rsid w:val="00C04852"/>
    <w:rsid w:val="00C0531B"/>
    <w:rsid w:val="00C06D44"/>
    <w:rsid w:val="00C076E7"/>
    <w:rsid w:val="00C11229"/>
    <w:rsid w:val="00C11271"/>
    <w:rsid w:val="00C119CF"/>
    <w:rsid w:val="00C11F93"/>
    <w:rsid w:val="00C12272"/>
    <w:rsid w:val="00C13465"/>
    <w:rsid w:val="00C135C1"/>
    <w:rsid w:val="00C14107"/>
    <w:rsid w:val="00C14C7A"/>
    <w:rsid w:val="00C15D62"/>
    <w:rsid w:val="00C15F62"/>
    <w:rsid w:val="00C16649"/>
    <w:rsid w:val="00C16D25"/>
    <w:rsid w:val="00C17105"/>
    <w:rsid w:val="00C17ABF"/>
    <w:rsid w:val="00C17E50"/>
    <w:rsid w:val="00C20192"/>
    <w:rsid w:val="00C2097E"/>
    <w:rsid w:val="00C2121C"/>
    <w:rsid w:val="00C21DD5"/>
    <w:rsid w:val="00C22001"/>
    <w:rsid w:val="00C22171"/>
    <w:rsid w:val="00C22442"/>
    <w:rsid w:val="00C22EAB"/>
    <w:rsid w:val="00C240E8"/>
    <w:rsid w:val="00C24361"/>
    <w:rsid w:val="00C24BD1"/>
    <w:rsid w:val="00C24C18"/>
    <w:rsid w:val="00C26581"/>
    <w:rsid w:val="00C26A02"/>
    <w:rsid w:val="00C26DC1"/>
    <w:rsid w:val="00C2742F"/>
    <w:rsid w:val="00C2776B"/>
    <w:rsid w:val="00C27877"/>
    <w:rsid w:val="00C2794B"/>
    <w:rsid w:val="00C30635"/>
    <w:rsid w:val="00C315B7"/>
    <w:rsid w:val="00C31DC4"/>
    <w:rsid w:val="00C320EA"/>
    <w:rsid w:val="00C3248D"/>
    <w:rsid w:val="00C32D58"/>
    <w:rsid w:val="00C32E41"/>
    <w:rsid w:val="00C32E50"/>
    <w:rsid w:val="00C33AE6"/>
    <w:rsid w:val="00C33C34"/>
    <w:rsid w:val="00C34AB3"/>
    <w:rsid w:val="00C36454"/>
    <w:rsid w:val="00C36A88"/>
    <w:rsid w:val="00C371D1"/>
    <w:rsid w:val="00C3762F"/>
    <w:rsid w:val="00C40539"/>
    <w:rsid w:val="00C40972"/>
    <w:rsid w:val="00C4099C"/>
    <w:rsid w:val="00C419A0"/>
    <w:rsid w:val="00C4311F"/>
    <w:rsid w:val="00C43DDA"/>
    <w:rsid w:val="00C43E6E"/>
    <w:rsid w:val="00C44A5D"/>
    <w:rsid w:val="00C44B2C"/>
    <w:rsid w:val="00C461AA"/>
    <w:rsid w:val="00C46C76"/>
    <w:rsid w:val="00C475C4"/>
    <w:rsid w:val="00C50A16"/>
    <w:rsid w:val="00C50B08"/>
    <w:rsid w:val="00C50E07"/>
    <w:rsid w:val="00C50FA0"/>
    <w:rsid w:val="00C51121"/>
    <w:rsid w:val="00C519AC"/>
    <w:rsid w:val="00C51FC1"/>
    <w:rsid w:val="00C52166"/>
    <w:rsid w:val="00C52580"/>
    <w:rsid w:val="00C526EF"/>
    <w:rsid w:val="00C52F89"/>
    <w:rsid w:val="00C53118"/>
    <w:rsid w:val="00C54276"/>
    <w:rsid w:val="00C5473E"/>
    <w:rsid w:val="00C56428"/>
    <w:rsid w:val="00C569D6"/>
    <w:rsid w:val="00C56F00"/>
    <w:rsid w:val="00C57899"/>
    <w:rsid w:val="00C603E3"/>
    <w:rsid w:val="00C60490"/>
    <w:rsid w:val="00C61ACB"/>
    <w:rsid w:val="00C636CF"/>
    <w:rsid w:val="00C63F04"/>
    <w:rsid w:val="00C64815"/>
    <w:rsid w:val="00C64AB1"/>
    <w:rsid w:val="00C64E55"/>
    <w:rsid w:val="00C653B3"/>
    <w:rsid w:val="00C6578C"/>
    <w:rsid w:val="00C665F7"/>
    <w:rsid w:val="00C66EC2"/>
    <w:rsid w:val="00C66EC3"/>
    <w:rsid w:val="00C677A8"/>
    <w:rsid w:val="00C705C1"/>
    <w:rsid w:val="00C70B2C"/>
    <w:rsid w:val="00C71396"/>
    <w:rsid w:val="00C7276D"/>
    <w:rsid w:val="00C733FD"/>
    <w:rsid w:val="00C7392B"/>
    <w:rsid w:val="00C73A58"/>
    <w:rsid w:val="00C73FC1"/>
    <w:rsid w:val="00C745EF"/>
    <w:rsid w:val="00C74AEC"/>
    <w:rsid w:val="00C75BC8"/>
    <w:rsid w:val="00C76472"/>
    <w:rsid w:val="00C77244"/>
    <w:rsid w:val="00C7735F"/>
    <w:rsid w:val="00C77FA2"/>
    <w:rsid w:val="00C80324"/>
    <w:rsid w:val="00C80B3F"/>
    <w:rsid w:val="00C81BA9"/>
    <w:rsid w:val="00C81DEA"/>
    <w:rsid w:val="00C820C8"/>
    <w:rsid w:val="00C8234B"/>
    <w:rsid w:val="00C838FB"/>
    <w:rsid w:val="00C86405"/>
    <w:rsid w:val="00C8663F"/>
    <w:rsid w:val="00C86845"/>
    <w:rsid w:val="00C904DA"/>
    <w:rsid w:val="00C90644"/>
    <w:rsid w:val="00C90CA2"/>
    <w:rsid w:val="00C918D9"/>
    <w:rsid w:val="00C91EC2"/>
    <w:rsid w:val="00C9257C"/>
    <w:rsid w:val="00C92712"/>
    <w:rsid w:val="00C92C86"/>
    <w:rsid w:val="00C92C8F"/>
    <w:rsid w:val="00C936EF"/>
    <w:rsid w:val="00C93E9B"/>
    <w:rsid w:val="00C940AE"/>
    <w:rsid w:val="00C956D6"/>
    <w:rsid w:val="00C95B86"/>
    <w:rsid w:val="00C95F10"/>
    <w:rsid w:val="00C960F1"/>
    <w:rsid w:val="00C9636B"/>
    <w:rsid w:val="00C96830"/>
    <w:rsid w:val="00C96FC0"/>
    <w:rsid w:val="00C972A5"/>
    <w:rsid w:val="00C97374"/>
    <w:rsid w:val="00C97626"/>
    <w:rsid w:val="00CA054C"/>
    <w:rsid w:val="00CA0D9E"/>
    <w:rsid w:val="00CA197C"/>
    <w:rsid w:val="00CA1E7D"/>
    <w:rsid w:val="00CA1F19"/>
    <w:rsid w:val="00CA27FB"/>
    <w:rsid w:val="00CA2A88"/>
    <w:rsid w:val="00CA2CE4"/>
    <w:rsid w:val="00CA2D4A"/>
    <w:rsid w:val="00CA32D7"/>
    <w:rsid w:val="00CA33DD"/>
    <w:rsid w:val="00CA373B"/>
    <w:rsid w:val="00CA397D"/>
    <w:rsid w:val="00CA3BD0"/>
    <w:rsid w:val="00CA5103"/>
    <w:rsid w:val="00CA528C"/>
    <w:rsid w:val="00CA5B83"/>
    <w:rsid w:val="00CA62A1"/>
    <w:rsid w:val="00CA64EB"/>
    <w:rsid w:val="00CA676F"/>
    <w:rsid w:val="00CA6D07"/>
    <w:rsid w:val="00CA70E0"/>
    <w:rsid w:val="00CA7970"/>
    <w:rsid w:val="00CB04C6"/>
    <w:rsid w:val="00CB1536"/>
    <w:rsid w:val="00CB20FD"/>
    <w:rsid w:val="00CB2696"/>
    <w:rsid w:val="00CB3127"/>
    <w:rsid w:val="00CB31FD"/>
    <w:rsid w:val="00CB3781"/>
    <w:rsid w:val="00CB3EF8"/>
    <w:rsid w:val="00CB4056"/>
    <w:rsid w:val="00CB426C"/>
    <w:rsid w:val="00CB564C"/>
    <w:rsid w:val="00CB5F1F"/>
    <w:rsid w:val="00CB5F58"/>
    <w:rsid w:val="00CB67EA"/>
    <w:rsid w:val="00CB7A3B"/>
    <w:rsid w:val="00CB7C72"/>
    <w:rsid w:val="00CC00AD"/>
    <w:rsid w:val="00CC0702"/>
    <w:rsid w:val="00CC1108"/>
    <w:rsid w:val="00CC1313"/>
    <w:rsid w:val="00CC1A6B"/>
    <w:rsid w:val="00CC20AA"/>
    <w:rsid w:val="00CC2A44"/>
    <w:rsid w:val="00CC2B36"/>
    <w:rsid w:val="00CC330B"/>
    <w:rsid w:val="00CC3596"/>
    <w:rsid w:val="00CC3853"/>
    <w:rsid w:val="00CC3B1A"/>
    <w:rsid w:val="00CC49A8"/>
    <w:rsid w:val="00CC4CB7"/>
    <w:rsid w:val="00CC5A63"/>
    <w:rsid w:val="00CC60F3"/>
    <w:rsid w:val="00CC6666"/>
    <w:rsid w:val="00CC75B2"/>
    <w:rsid w:val="00CC7FBC"/>
    <w:rsid w:val="00CD0B4B"/>
    <w:rsid w:val="00CD1870"/>
    <w:rsid w:val="00CD1B86"/>
    <w:rsid w:val="00CD1F7A"/>
    <w:rsid w:val="00CD24DF"/>
    <w:rsid w:val="00CD2983"/>
    <w:rsid w:val="00CD2EEE"/>
    <w:rsid w:val="00CD3277"/>
    <w:rsid w:val="00CD3911"/>
    <w:rsid w:val="00CD3B10"/>
    <w:rsid w:val="00CD4834"/>
    <w:rsid w:val="00CD498A"/>
    <w:rsid w:val="00CD4E66"/>
    <w:rsid w:val="00CD68F2"/>
    <w:rsid w:val="00CD6B0D"/>
    <w:rsid w:val="00CD6EEA"/>
    <w:rsid w:val="00CD7369"/>
    <w:rsid w:val="00CD760E"/>
    <w:rsid w:val="00CD79EB"/>
    <w:rsid w:val="00CD7BED"/>
    <w:rsid w:val="00CE1364"/>
    <w:rsid w:val="00CE20AE"/>
    <w:rsid w:val="00CE2DE5"/>
    <w:rsid w:val="00CE2EED"/>
    <w:rsid w:val="00CE3366"/>
    <w:rsid w:val="00CE34E5"/>
    <w:rsid w:val="00CE3803"/>
    <w:rsid w:val="00CE3894"/>
    <w:rsid w:val="00CE38B3"/>
    <w:rsid w:val="00CE46F0"/>
    <w:rsid w:val="00CE4CCC"/>
    <w:rsid w:val="00CE50C0"/>
    <w:rsid w:val="00CE611E"/>
    <w:rsid w:val="00CE627E"/>
    <w:rsid w:val="00CE6BF7"/>
    <w:rsid w:val="00CE7013"/>
    <w:rsid w:val="00CE7610"/>
    <w:rsid w:val="00CF03A2"/>
    <w:rsid w:val="00CF0DFB"/>
    <w:rsid w:val="00CF12C0"/>
    <w:rsid w:val="00CF14D9"/>
    <w:rsid w:val="00CF1BDC"/>
    <w:rsid w:val="00CF27C0"/>
    <w:rsid w:val="00CF3587"/>
    <w:rsid w:val="00CF36F2"/>
    <w:rsid w:val="00CF3A42"/>
    <w:rsid w:val="00CF4837"/>
    <w:rsid w:val="00CF4EB7"/>
    <w:rsid w:val="00CF519D"/>
    <w:rsid w:val="00CF5476"/>
    <w:rsid w:val="00CF6F4A"/>
    <w:rsid w:val="00CF763D"/>
    <w:rsid w:val="00D0089D"/>
    <w:rsid w:val="00D0176D"/>
    <w:rsid w:val="00D02D47"/>
    <w:rsid w:val="00D038B2"/>
    <w:rsid w:val="00D047F1"/>
    <w:rsid w:val="00D05392"/>
    <w:rsid w:val="00D0588B"/>
    <w:rsid w:val="00D06125"/>
    <w:rsid w:val="00D068C1"/>
    <w:rsid w:val="00D069EF"/>
    <w:rsid w:val="00D072C8"/>
    <w:rsid w:val="00D109B5"/>
    <w:rsid w:val="00D119F0"/>
    <w:rsid w:val="00D128F6"/>
    <w:rsid w:val="00D1349F"/>
    <w:rsid w:val="00D137A5"/>
    <w:rsid w:val="00D1382D"/>
    <w:rsid w:val="00D141D1"/>
    <w:rsid w:val="00D15269"/>
    <w:rsid w:val="00D153ED"/>
    <w:rsid w:val="00D158EB"/>
    <w:rsid w:val="00D162B0"/>
    <w:rsid w:val="00D16B53"/>
    <w:rsid w:val="00D200FB"/>
    <w:rsid w:val="00D21AD4"/>
    <w:rsid w:val="00D22240"/>
    <w:rsid w:val="00D23386"/>
    <w:rsid w:val="00D23656"/>
    <w:rsid w:val="00D237C0"/>
    <w:rsid w:val="00D23DA4"/>
    <w:rsid w:val="00D24B10"/>
    <w:rsid w:val="00D24E00"/>
    <w:rsid w:val="00D24F1F"/>
    <w:rsid w:val="00D25CF0"/>
    <w:rsid w:val="00D262D0"/>
    <w:rsid w:val="00D2693B"/>
    <w:rsid w:val="00D2748E"/>
    <w:rsid w:val="00D27521"/>
    <w:rsid w:val="00D278E2"/>
    <w:rsid w:val="00D27F4F"/>
    <w:rsid w:val="00D304E3"/>
    <w:rsid w:val="00D30A04"/>
    <w:rsid w:val="00D30ED9"/>
    <w:rsid w:val="00D319B0"/>
    <w:rsid w:val="00D3237D"/>
    <w:rsid w:val="00D32E24"/>
    <w:rsid w:val="00D338A3"/>
    <w:rsid w:val="00D33A8F"/>
    <w:rsid w:val="00D33B5A"/>
    <w:rsid w:val="00D34526"/>
    <w:rsid w:val="00D346CC"/>
    <w:rsid w:val="00D34BF8"/>
    <w:rsid w:val="00D34C16"/>
    <w:rsid w:val="00D35222"/>
    <w:rsid w:val="00D358EA"/>
    <w:rsid w:val="00D364FF"/>
    <w:rsid w:val="00D366E9"/>
    <w:rsid w:val="00D37829"/>
    <w:rsid w:val="00D37FB6"/>
    <w:rsid w:val="00D4014B"/>
    <w:rsid w:val="00D40321"/>
    <w:rsid w:val="00D40795"/>
    <w:rsid w:val="00D40D23"/>
    <w:rsid w:val="00D40EE8"/>
    <w:rsid w:val="00D4272A"/>
    <w:rsid w:val="00D43346"/>
    <w:rsid w:val="00D43877"/>
    <w:rsid w:val="00D438FC"/>
    <w:rsid w:val="00D43F65"/>
    <w:rsid w:val="00D43F9D"/>
    <w:rsid w:val="00D442A2"/>
    <w:rsid w:val="00D444DE"/>
    <w:rsid w:val="00D44510"/>
    <w:rsid w:val="00D4605C"/>
    <w:rsid w:val="00D46C0B"/>
    <w:rsid w:val="00D502BD"/>
    <w:rsid w:val="00D5037E"/>
    <w:rsid w:val="00D50DD8"/>
    <w:rsid w:val="00D516BE"/>
    <w:rsid w:val="00D52001"/>
    <w:rsid w:val="00D525AB"/>
    <w:rsid w:val="00D52A2C"/>
    <w:rsid w:val="00D5328F"/>
    <w:rsid w:val="00D53908"/>
    <w:rsid w:val="00D53EB1"/>
    <w:rsid w:val="00D53EC8"/>
    <w:rsid w:val="00D54085"/>
    <w:rsid w:val="00D540CC"/>
    <w:rsid w:val="00D543E3"/>
    <w:rsid w:val="00D54411"/>
    <w:rsid w:val="00D54B08"/>
    <w:rsid w:val="00D54B3B"/>
    <w:rsid w:val="00D55567"/>
    <w:rsid w:val="00D55E4A"/>
    <w:rsid w:val="00D564A3"/>
    <w:rsid w:val="00D569AE"/>
    <w:rsid w:val="00D56C94"/>
    <w:rsid w:val="00D5726C"/>
    <w:rsid w:val="00D57DEB"/>
    <w:rsid w:val="00D600FE"/>
    <w:rsid w:val="00D604FC"/>
    <w:rsid w:val="00D6165B"/>
    <w:rsid w:val="00D61B52"/>
    <w:rsid w:val="00D62063"/>
    <w:rsid w:val="00D63000"/>
    <w:rsid w:val="00D63166"/>
    <w:rsid w:val="00D6370D"/>
    <w:rsid w:val="00D63B3A"/>
    <w:rsid w:val="00D6456A"/>
    <w:rsid w:val="00D6475A"/>
    <w:rsid w:val="00D6489E"/>
    <w:rsid w:val="00D6496C"/>
    <w:rsid w:val="00D64B32"/>
    <w:rsid w:val="00D65671"/>
    <w:rsid w:val="00D65AEC"/>
    <w:rsid w:val="00D65BA2"/>
    <w:rsid w:val="00D65C9D"/>
    <w:rsid w:val="00D66248"/>
    <w:rsid w:val="00D66389"/>
    <w:rsid w:val="00D6777C"/>
    <w:rsid w:val="00D70F7C"/>
    <w:rsid w:val="00D71FE6"/>
    <w:rsid w:val="00D7223F"/>
    <w:rsid w:val="00D72386"/>
    <w:rsid w:val="00D724A0"/>
    <w:rsid w:val="00D72512"/>
    <w:rsid w:val="00D727E8"/>
    <w:rsid w:val="00D72CBE"/>
    <w:rsid w:val="00D72E99"/>
    <w:rsid w:val="00D740A8"/>
    <w:rsid w:val="00D74F01"/>
    <w:rsid w:val="00D750B0"/>
    <w:rsid w:val="00D7528D"/>
    <w:rsid w:val="00D75538"/>
    <w:rsid w:val="00D75DB2"/>
    <w:rsid w:val="00D76CD3"/>
    <w:rsid w:val="00D7711B"/>
    <w:rsid w:val="00D772C9"/>
    <w:rsid w:val="00D77DE4"/>
    <w:rsid w:val="00D80035"/>
    <w:rsid w:val="00D80547"/>
    <w:rsid w:val="00D813B8"/>
    <w:rsid w:val="00D81D53"/>
    <w:rsid w:val="00D81F90"/>
    <w:rsid w:val="00D820DE"/>
    <w:rsid w:val="00D826BE"/>
    <w:rsid w:val="00D82B36"/>
    <w:rsid w:val="00D84506"/>
    <w:rsid w:val="00D846DF"/>
    <w:rsid w:val="00D847EB"/>
    <w:rsid w:val="00D84855"/>
    <w:rsid w:val="00D84B88"/>
    <w:rsid w:val="00D85074"/>
    <w:rsid w:val="00D86F7B"/>
    <w:rsid w:val="00D87595"/>
    <w:rsid w:val="00D87CA3"/>
    <w:rsid w:val="00D9054A"/>
    <w:rsid w:val="00D90641"/>
    <w:rsid w:val="00D90870"/>
    <w:rsid w:val="00D90B8C"/>
    <w:rsid w:val="00D90B90"/>
    <w:rsid w:val="00D90F62"/>
    <w:rsid w:val="00D90F74"/>
    <w:rsid w:val="00D91979"/>
    <w:rsid w:val="00D9253D"/>
    <w:rsid w:val="00D94455"/>
    <w:rsid w:val="00D9519A"/>
    <w:rsid w:val="00D95F39"/>
    <w:rsid w:val="00D963C6"/>
    <w:rsid w:val="00D97A54"/>
    <w:rsid w:val="00D97DA9"/>
    <w:rsid w:val="00DA0A69"/>
    <w:rsid w:val="00DA11A5"/>
    <w:rsid w:val="00DA1328"/>
    <w:rsid w:val="00DA1762"/>
    <w:rsid w:val="00DA26C9"/>
    <w:rsid w:val="00DA2969"/>
    <w:rsid w:val="00DA39FC"/>
    <w:rsid w:val="00DA52C9"/>
    <w:rsid w:val="00DA535D"/>
    <w:rsid w:val="00DA5917"/>
    <w:rsid w:val="00DA5A20"/>
    <w:rsid w:val="00DA5A36"/>
    <w:rsid w:val="00DA5A75"/>
    <w:rsid w:val="00DA6FE5"/>
    <w:rsid w:val="00DB00E8"/>
    <w:rsid w:val="00DB0A68"/>
    <w:rsid w:val="00DB150C"/>
    <w:rsid w:val="00DB196F"/>
    <w:rsid w:val="00DB1DBE"/>
    <w:rsid w:val="00DB239E"/>
    <w:rsid w:val="00DB25C4"/>
    <w:rsid w:val="00DB2707"/>
    <w:rsid w:val="00DB2BCE"/>
    <w:rsid w:val="00DB3AA3"/>
    <w:rsid w:val="00DB466B"/>
    <w:rsid w:val="00DB494B"/>
    <w:rsid w:val="00DB4B5F"/>
    <w:rsid w:val="00DB4B69"/>
    <w:rsid w:val="00DB60E9"/>
    <w:rsid w:val="00DB6428"/>
    <w:rsid w:val="00DB65C3"/>
    <w:rsid w:val="00DB76A8"/>
    <w:rsid w:val="00DB7D67"/>
    <w:rsid w:val="00DC0B4B"/>
    <w:rsid w:val="00DC18EA"/>
    <w:rsid w:val="00DC21EA"/>
    <w:rsid w:val="00DC2319"/>
    <w:rsid w:val="00DC3849"/>
    <w:rsid w:val="00DC394B"/>
    <w:rsid w:val="00DC3DC4"/>
    <w:rsid w:val="00DC4ABC"/>
    <w:rsid w:val="00DC4FEA"/>
    <w:rsid w:val="00DC5037"/>
    <w:rsid w:val="00DC66B1"/>
    <w:rsid w:val="00DC681A"/>
    <w:rsid w:val="00DC6FB5"/>
    <w:rsid w:val="00DC7A63"/>
    <w:rsid w:val="00DC7B3C"/>
    <w:rsid w:val="00DC7C16"/>
    <w:rsid w:val="00DC7F96"/>
    <w:rsid w:val="00DD028A"/>
    <w:rsid w:val="00DD062D"/>
    <w:rsid w:val="00DD06CB"/>
    <w:rsid w:val="00DD06DD"/>
    <w:rsid w:val="00DD0739"/>
    <w:rsid w:val="00DD14A4"/>
    <w:rsid w:val="00DD17FD"/>
    <w:rsid w:val="00DD22FC"/>
    <w:rsid w:val="00DD2B09"/>
    <w:rsid w:val="00DD2EC8"/>
    <w:rsid w:val="00DD36F8"/>
    <w:rsid w:val="00DD4E54"/>
    <w:rsid w:val="00DD5169"/>
    <w:rsid w:val="00DD516C"/>
    <w:rsid w:val="00DD51CF"/>
    <w:rsid w:val="00DD524F"/>
    <w:rsid w:val="00DD55FB"/>
    <w:rsid w:val="00DD5A25"/>
    <w:rsid w:val="00DD5AB3"/>
    <w:rsid w:val="00DD5F24"/>
    <w:rsid w:val="00DD64E0"/>
    <w:rsid w:val="00DD6B7E"/>
    <w:rsid w:val="00DD6C20"/>
    <w:rsid w:val="00DD6CD2"/>
    <w:rsid w:val="00DD6DE8"/>
    <w:rsid w:val="00DD71B1"/>
    <w:rsid w:val="00DD7280"/>
    <w:rsid w:val="00DD78CC"/>
    <w:rsid w:val="00DD7BB1"/>
    <w:rsid w:val="00DE08B1"/>
    <w:rsid w:val="00DE0F3E"/>
    <w:rsid w:val="00DE29E9"/>
    <w:rsid w:val="00DE4AFF"/>
    <w:rsid w:val="00DE4B83"/>
    <w:rsid w:val="00DE5766"/>
    <w:rsid w:val="00DE57D5"/>
    <w:rsid w:val="00DE5979"/>
    <w:rsid w:val="00DE5A7E"/>
    <w:rsid w:val="00DE5B81"/>
    <w:rsid w:val="00DE5B8C"/>
    <w:rsid w:val="00DE5ECA"/>
    <w:rsid w:val="00DE6B52"/>
    <w:rsid w:val="00DE6F52"/>
    <w:rsid w:val="00DE7474"/>
    <w:rsid w:val="00DF00BA"/>
    <w:rsid w:val="00DF0724"/>
    <w:rsid w:val="00DF0FB4"/>
    <w:rsid w:val="00DF3293"/>
    <w:rsid w:val="00DF38B4"/>
    <w:rsid w:val="00DF3F13"/>
    <w:rsid w:val="00DF3FE5"/>
    <w:rsid w:val="00DF4917"/>
    <w:rsid w:val="00DF4A7E"/>
    <w:rsid w:val="00DF6D75"/>
    <w:rsid w:val="00DF6F31"/>
    <w:rsid w:val="00DF7B9E"/>
    <w:rsid w:val="00DF7C70"/>
    <w:rsid w:val="00DF7DE6"/>
    <w:rsid w:val="00E00A4D"/>
    <w:rsid w:val="00E00A72"/>
    <w:rsid w:val="00E0238C"/>
    <w:rsid w:val="00E024DA"/>
    <w:rsid w:val="00E025F2"/>
    <w:rsid w:val="00E0277E"/>
    <w:rsid w:val="00E03114"/>
    <w:rsid w:val="00E03362"/>
    <w:rsid w:val="00E033A4"/>
    <w:rsid w:val="00E03962"/>
    <w:rsid w:val="00E03A72"/>
    <w:rsid w:val="00E03E04"/>
    <w:rsid w:val="00E04001"/>
    <w:rsid w:val="00E047CC"/>
    <w:rsid w:val="00E04FAB"/>
    <w:rsid w:val="00E055CD"/>
    <w:rsid w:val="00E05951"/>
    <w:rsid w:val="00E06280"/>
    <w:rsid w:val="00E0628B"/>
    <w:rsid w:val="00E067C0"/>
    <w:rsid w:val="00E06B87"/>
    <w:rsid w:val="00E073CD"/>
    <w:rsid w:val="00E07AD9"/>
    <w:rsid w:val="00E10249"/>
    <w:rsid w:val="00E1030A"/>
    <w:rsid w:val="00E10395"/>
    <w:rsid w:val="00E10AFE"/>
    <w:rsid w:val="00E10B98"/>
    <w:rsid w:val="00E1187B"/>
    <w:rsid w:val="00E12AB1"/>
    <w:rsid w:val="00E13102"/>
    <w:rsid w:val="00E14426"/>
    <w:rsid w:val="00E146FD"/>
    <w:rsid w:val="00E14AA7"/>
    <w:rsid w:val="00E14D62"/>
    <w:rsid w:val="00E14DBD"/>
    <w:rsid w:val="00E15B37"/>
    <w:rsid w:val="00E161C3"/>
    <w:rsid w:val="00E16BCF"/>
    <w:rsid w:val="00E174B3"/>
    <w:rsid w:val="00E17889"/>
    <w:rsid w:val="00E17970"/>
    <w:rsid w:val="00E20E2B"/>
    <w:rsid w:val="00E21E70"/>
    <w:rsid w:val="00E21EA6"/>
    <w:rsid w:val="00E223BC"/>
    <w:rsid w:val="00E22850"/>
    <w:rsid w:val="00E22C9C"/>
    <w:rsid w:val="00E235A0"/>
    <w:rsid w:val="00E23F8F"/>
    <w:rsid w:val="00E26542"/>
    <w:rsid w:val="00E26ECB"/>
    <w:rsid w:val="00E27FB1"/>
    <w:rsid w:val="00E304A4"/>
    <w:rsid w:val="00E32D1B"/>
    <w:rsid w:val="00E334D6"/>
    <w:rsid w:val="00E34A23"/>
    <w:rsid w:val="00E34F89"/>
    <w:rsid w:val="00E34F91"/>
    <w:rsid w:val="00E35336"/>
    <w:rsid w:val="00E35729"/>
    <w:rsid w:val="00E36A9D"/>
    <w:rsid w:val="00E3781B"/>
    <w:rsid w:val="00E37E63"/>
    <w:rsid w:val="00E40633"/>
    <w:rsid w:val="00E40B46"/>
    <w:rsid w:val="00E413B2"/>
    <w:rsid w:val="00E41590"/>
    <w:rsid w:val="00E41A40"/>
    <w:rsid w:val="00E4235B"/>
    <w:rsid w:val="00E42AAF"/>
    <w:rsid w:val="00E42AEF"/>
    <w:rsid w:val="00E42BC5"/>
    <w:rsid w:val="00E435C6"/>
    <w:rsid w:val="00E4463E"/>
    <w:rsid w:val="00E459E9"/>
    <w:rsid w:val="00E46C44"/>
    <w:rsid w:val="00E46FEA"/>
    <w:rsid w:val="00E46FF4"/>
    <w:rsid w:val="00E475ED"/>
    <w:rsid w:val="00E47AAE"/>
    <w:rsid w:val="00E501D5"/>
    <w:rsid w:val="00E5030F"/>
    <w:rsid w:val="00E5122B"/>
    <w:rsid w:val="00E51842"/>
    <w:rsid w:val="00E52539"/>
    <w:rsid w:val="00E52EAC"/>
    <w:rsid w:val="00E53F0A"/>
    <w:rsid w:val="00E540DE"/>
    <w:rsid w:val="00E542AF"/>
    <w:rsid w:val="00E551F6"/>
    <w:rsid w:val="00E56602"/>
    <w:rsid w:val="00E571BC"/>
    <w:rsid w:val="00E575C4"/>
    <w:rsid w:val="00E601AE"/>
    <w:rsid w:val="00E6041B"/>
    <w:rsid w:val="00E61460"/>
    <w:rsid w:val="00E6179C"/>
    <w:rsid w:val="00E622D6"/>
    <w:rsid w:val="00E634D1"/>
    <w:rsid w:val="00E635FA"/>
    <w:rsid w:val="00E636B5"/>
    <w:rsid w:val="00E63CF8"/>
    <w:rsid w:val="00E63FEC"/>
    <w:rsid w:val="00E6547A"/>
    <w:rsid w:val="00E65EDC"/>
    <w:rsid w:val="00E65FD8"/>
    <w:rsid w:val="00E66092"/>
    <w:rsid w:val="00E66293"/>
    <w:rsid w:val="00E6702E"/>
    <w:rsid w:val="00E67E3A"/>
    <w:rsid w:val="00E7003F"/>
    <w:rsid w:val="00E714A4"/>
    <w:rsid w:val="00E7180C"/>
    <w:rsid w:val="00E73630"/>
    <w:rsid w:val="00E73DFD"/>
    <w:rsid w:val="00E74082"/>
    <w:rsid w:val="00E7424E"/>
    <w:rsid w:val="00E745CE"/>
    <w:rsid w:val="00E74A72"/>
    <w:rsid w:val="00E75BB7"/>
    <w:rsid w:val="00E7654D"/>
    <w:rsid w:val="00E76EA0"/>
    <w:rsid w:val="00E80075"/>
    <w:rsid w:val="00E80716"/>
    <w:rsid w:val="00E80ED3"/>
    <w:rsid w:val="00E826CE"/>
    <w:rsid w:val="00E82FC8"/>
    <w:rsid w:val="00E835E4"/>
    <w:rsid w:val="00E836A3"/>
    <w:rsid w:val="00E84185"/>
    <w:rsid w:val="00E84878"/>
    <w:rsid w:val="00E84A23"/>
    <w:rsid w:val="00E84D88"/>
    <w:rsid w:val="00E85839"/>
    <w:rsid w:val="00E85D48"/>
    <w:rsid w:val="00E87244"/>
    <w:rsid w:val="00E876FD"/>
    <w:rsid w:val="00E879B9"/>
    <w:rsid w:val="00E87A38"/>
    <w:rsid w:val="00E90F09"/>
    <w:rsid w:val="00E92C81"/>
    <w:rsid w:val="00E9331D"/>
    <w:rsid w:val="00E93BF2"/>
    <w:rsid w:val="00E9516B"/>
    <w:rsid w:val="00E95416"/>
    <w:rsid w:val="00E959E5"/>
    <w:rsid w:val="00E97698"/>
    <w:rsid w:val="00E97E19"/>
    <w:rsid w:val="00E97EF5"/>
    <w:rsid w:val="00EA0127"/>
    <w:rsid w:val="00EA04B7"/>
    <w:rsid w:val="00EA08C1"/>
    <w:rsid w:val="00EA0981"/>
    <w:rsid w:val="00EA0C87"/>
    <w:rsid w:val="00EA0DFB"/>
    <w:rsid w:val="00EA211B"/>
    <w:rsid w:val="00EA2A88"/>
    <w:rsid w:val="00EA2B9A"/>
    <w:rsid w:val="00EA2BED"/>
    <w:rsid w:val="00EA2CD5"/>
    <w:rsid w:val="00EA3654"/>
    <w:rsid w:val="00EA40DB"/>
    <w:rsid w:val="00EA4AF7"/>
    <w:rsid w:val="00EA52B9"/>
    <w:rsid w:val="00EA64EA"/>
    <w:rsid w:val="00EA6C3C"/>
    <w:rsid w:val="00EA6D02"/>
    <w:rsid w:val="00EA6E85"/>
    <w:rsid w:val="00EA74A6"/>
    <w:rsid w:val="00EA76A5"/>
    <w:rsid w:val="00EA7BD5"/>
    <w:rsid w:val="00EA7F0B"/>
    <w:rsid w:val="00EA7F39"/>
    <w:rsid w:val="00EB036F"/>
    <w:rsid w:val="00EB03C5"/>
    <w:rsid w:val="00EB08D8"/>
    <w:rsid w:val="00EB1CBE"/>
    <w:rsid w:val="00EB29F2"/>
    <w:rsid w:val="00EB3BE4"/>
    <w:rsid w:val="00EB3E2B"/>
    <w:rsid w:val="00EB4709"/>
    <w:rsid w:val="00EB4758"/>
    <w:rsid w:val="00EB4AC4"/>
    <w:rsid w:val="00EB4BE3"/>
    <w:rsid w:val="00EB6011"/>
    <w:rsid w:val="00EB657A"/>
    <w:rsid w:val="00EB6634"/>
    <w:rsid w:val="00EB686C"/>
    <w:rsid w:val="00EB6B94"/>
    <w:rsid w:val="00EB76A6"/>
    <w:rsid w:val="00EC00F8"/>
    <w:rsid w:val="00EC0118"/>
    <w:rsid w:val="00EC0131"/>
    <w:rsid w:val="00EC07EF"/>
    <w:rsid w:val="00EC0DD7"/>
    <w:rsid w:val="00EC1140"/>
    <w:rsid w:val="00EC143D"/>
    <w:rsid w:val="00EC1BE8"/>
    <w:rsid w:val="00EC1C78"/>
    <w:rsid w:val="00EC1D7C"/>
    <w:rsid w:val="00EC1EBC"/>
    <w:rsid w:val="00EC2A75"/>
    <w:rsid w:val="00EC2E75"/>
    <w:rsid w:val="00EC38A5"/>
    <w:rsid w:val="00EC39E7"/>
    <w:rsid w:val="00EC4BF1"/>
    <w:rsid w:val="00EC5F6B"/>
    <w:rsid w:val="00EC643B"/>
    <w:rsid w:val="00EC6673"/>
    <w:rsid w:val="00EC66B3"/>
    <w:rsid w:val="00EC67D3"/>
    <w:rsid w:val="00EC69AF"/>
    <w:rsid w:val="00EC6EB5"/>
    <w:rsid w:val="00EC7108"/>
    <w:rsid w:val="00EC722E"/>
    <w:rsid w:val="00EC7ED3"/>
    <w:rsid w:val="00ED0F4E"/>
    <w:rsid w:val="00ED150D"/>
    <w:rsid w:val="00ED1AF8"/>
    <w:rsid w:val="00ED21CC"/>
    <w:rsid w:val="00ED2512"/>
    <w:rsid w:val="00ED3EF7"/>
    <w:rsid w:val="00ED49A9"/>
    <w:rsid w:val="00ED4F8E"/>
    <w:rsid w:val="00ED5327"/>
    <w:rsid w:val="00ED5A0E"/>
    <w:rsid w:val="00ED5F3A"/>
    <w:rsid w:val="00ED6A37"/>
    <w:rsid w:val="00ED6E53"/>
    <w:rsid w:val="00ED7DE9"/>
    <w:rsid w:val="00EE0192"/>
    <w:rsid w:val="00EE21AC"/>
    <w:rsid w:val="00EE2865"/>
    <w:rsid w:val="00EE28C2"/>
    <w:rsid w:val="00EE346E"/>
    <w:rsid w:val="00EE5245"/>
    <w:rsid w:val="00EE59BC"/>
    <w:rsid w:val="00EE5FE2"/>
    <w:rsid w:val="00EE72D2"/>
    <w:rsid w:val="00EE74CA"/>
    <w:rsid w:val="00EE74E5"/>
    <w:rsid w:val="00EE779C"/>
    <w:rsid w:val="00EF055A"/>
    <w:rsid w:val="00EF16BC"/>
    <w:rsid w:val="00EF1BE3"/>
    <w:rsid w:val="00EF1C2D"/>
    <w:rsid w:val="00EF1E4C"/>
    <w:rsid w:val="00EF2378"/>
    <w:rsid w:val="00EF29A9"/>
    <w:rsid w:val="00EF29C9"/>
    <w:rsid w:val="00EF2D26"/>
    <w:rsid w:val="00EF2F3C"/>
    <w:rsid w:val="00EF3E2C"/>
    <w:rsid w:val="00EF4881"/>
    <w:rsid w:val="00EF48AD"/>
    <w:rsid w:val="00EF556C"/>
    <w:rsid w:val="00EF5A22"/>
    <w:rsid w:val="00EF76F0"/>
    <w:rsid w:val="00F001C3"/>
    <w:rsid w:val="00F00279"/>
    <w:rsid w:val="00F012D3"/>
    <w:rsid w:val="00F014E7"/>
    <w:rsid w:val="00F01A14"/>
    <w:rsid w:val="00F01E79"/>
    <w:rsid w:val="00F025D0"/>
    <w:rsid w:val="00F03600"/>
    <w:rsid w:val="00F04264"/>
    <w:rsid w:val="00F054FB"/>
    <w:rsid w:val="00F06EEA"/>
    <w:rsid w:val="00F07B50"/>
    <w:rsid w:val="00F07EBA"/>
    <w:rsid w:val="00F10435"/>
    <w:rsid w:val="00F104F8"/>
    <w:rsid w:val="00F11096"/>
    <w:rsid w:val="00F11292"/>
    <w:rsid w:val="00F1216D"/>
    <w:rsid w:val="00F128F8"/>
    <w:rsid w:val="00F13F23"/>
    <w:rsid w:val="00F1400A"/>
    <w:rsid w:val="00F14460"/>
    <w:rsid w:val="00F14BCA"/>
    <w:rsid w:val="00F14E39"/>
    <w:rsid w:val="00F15C28"/>
    <w:rsid w:val="00F168D4"/>
    <w:rsid w:val="00F16A14"/>
    <w:rsid w:val="00F17505"/>
    <w:rsid w:val="00F205E9"/>
    <w:rsid w:val="00F20715"/>
    <w:rsid w:val="00F20C4C"/>
    <w:rsid w:val="00F21DDE"/>
    <w:rsid w:val="00F2206B"/>
    <w:rsid w:val="00F22189"/>
    <w:rsid w:val="00F22E2A"/>
    <w:rsid w:val="00F24869"/>
    <w:rsid w:val="00F25D26"/>
    <w:rsid w:val="00F26472"/>
    <w:rsid w:val="00F275AC"/>
    <w:rsid w:val="00F300F9"/>
    <w:rsid w:val="00F316B1"/>
    <w:rsid w:val="00F31AC9"/>
    <w:rsid w:val="00F31F38"/>
    <w:rsid w:val="00F31F51"/>
    <w:rsid w:val="00F322FC"/>
    <w:rsid w:val="00F323AF"/>
    <w:rsid w:val="00F32CBB"/>
    <w:rsid w:val="00F331AF"/>
    <w:rsid w:val="00F3419D"/>
    <w:rsid w:val="00F34CB1"/>
    <w:rsid w:val="00F350E6"/>
    <w:rsid w:val="00F35B8F"/>
    <w:rsid w:val="00F35DE4"/>
    <w:rsid w:val="00F35E29"/>
    <w:rsid w:val="00F361DF"/>
    <w:rsid w:val="00F36529"/>
    <w:rsid w:val="00F36BBE"/>
    <w:rsid w:val="00F37610"/>
    <w:rsid w:val="00F40A03"/>
    <w:rsid w:val="00F41735"/>
    <w:rsid w:val="00F439CC"/>
    <w:rsid w:val="00F440B2"/>
    <w:rsid w:val="00F4431C"/>
    <w:rsid w:val="00F44BAE"/>
    <w:rsid w:val="00F4502F"/>
    <w:rsid w:val="00F45418"/>
    <w:rsid w:val="00F46328"/>
    <w:rsid w:val="00F476C4"/>
    <w:rsid w:val="00F47DFA"/>
    <w:rsid w:val="00F5003D"/>
    <w:rsid w:val="00F511E2"/>
    <w:rsid w:val="00F52513"/>
    <w:rsid w:val="00F52876"/>
    <w:rsid w:val="00F52C29"/>
    <w:rsid w:val="00F52CFB"/>
    <w:rsid w:val="00F5318E"/>
    <w:rsid w:val="00F535CA"/>
    <w:rsid w:val="00F5371E"/>
    <w:rsid w:val="00F54F0B"/>
    <w:rsid w:val="00F54F4B"/>
    <w:rsid w:val="00F554B6"/>
    <w:rsid w:val="00F557B4"/>
    <w:rsid w:val="00F56473"/>
    <w:rsid w:val="00F56FA1"/>
    <w:rsid w:val="00F5750E"/>
    <w:rsid w:val="00F5794E"/>
    <w:rsid w:val="00F607F1"/>
    <w:rsid w:val="00F6096D"/>
    <w:rsid w:val="00F60CDC"/>
    <w:rsid w:val="00F61459"/>
    <w:rsid w:val="00F6162B"/>
    <w:rsid w:val="00F61941"/>
    <w:rsid w:val="00F61B2F"/>
    <w:rsid w:val="00F6200D"/>
    <w:rsid w:val="00F624E3"/>
    <w:rsid w:val="00F6362A"/>
    <w:rsid w:val="00F63821"/>
    <w:rsid w:val="00F63C14"/>
    <w:rsid w:val="00F642C8"/>
    <w:rsid w:val="00F650A0"/>
    <w:rsid w:val="00F65598"/>
    <w:rsid w:val="00F658B4"/>
    <w:rsid w:val="00F6658B"/>
    <w:rsid w:val="00F668F8"/>
    <w:rsid w:val="00F669E3"/>
    <w:rsid w:val="00F67184"/>
    <w:rsid w:val="00F67B40"/>
    <w:rsid w:val="00F67BAC"/>
    <w:rsid w:val="00F708A0"/>
    <w:rsid w:val="00F708F8"/>
    <w:rsid w:val="00F7117B"/>
    <w:rsid w:val="00F71A79"/>
    <w:rsid w:val="00F72191"/>
    <w:rsid w:val="00F729EC"/>
    <w:rsid w:val="00F72E98"/>
    <w:rsid w:val="00F740AC"/>
    <w:rsid w:val="00F74475"/>
    <w:rsid w:val="00F749E9"/>
    <w:rsid w:val="00F74DF3"/>
    <w:rsid w:val="00F75CF7"/>
    <w:rsid w:val="00F75ECE"/>
    <w:rsid w:val="00F76739"/>
    <w:rsid w:val="00F76BDA"/>
    <w:rsid w:val="00F77185"/>
    <w:rsid w:val="00F77186"/>
    <w:rsid w:val="00F776F0"/>
    <w:rsid w:val="00F80F3B"/>
    <w:rsid w:val="00F811D4"/>
    <w:rsid w:val="00F812F0"/>
    <w:rsid w:val="00F81FF2"/>
    <w:rsid w:val="00F822C1"/>
    <w:rsid w:val="00F828CD"/>
    <w:rsid w:val="00F82F40"/>
    <w:rsid w:val="00F83903"/>
    <w:rsid w:val="00F8469D"/>
    <w:rsid w:val="00F84A87"/>
    <w:rsid w:val="00F85382"/>
    <w:rsid w:val="00F85F5C"/>
    <w:rsid w:val="00F86285"/>
    <w:rsid w:val="00F87049"/>
    <w:rsid w:val="00F87584"/>
    <w:rsid w:val="00F87C44"/>
    <w:rsid w:val="00F91829"/>
    <w:rsid w:val="00F919FA"/>
    <w:rsid w:val="00F91D51"/>
    <w:rsid w:val="00F9206D"/>
    <w:rsid w:val="00F93041"/>
    <w:rsid w:val="00F93BF7"/>
    <w:rsid w:val="00F9410F"/>
    <w:rsid w:val="00F944D1"/>
    <w:rsid w:val="00F96719"/>
    <w:rsid w:val="00F96888"/>
    <w:rsid w:val="00F972C5"/>
    <w:rsid w:val="00FA0383"/>
    <w:rsid w:val="00FA15D0"/>
    <w:rsid w:val="00FA1BEC"/>
    <w:rsid w:val="00FA22EF"/>
    <w:rsid w:val="00FA2545"/>
    <w:rsid w:val="00FA2D63"/>
    <w:rsid w:val="00FA307B"/>
    <w:rsid w:val="00FA35A4"/>
    <w:rsid w:val="00FA4358"/>
    <w:rsid w:val="00FA50F9"/>
    <w:rsid w:val="00FA51C2"/>
    <w:rsid w:val="00FA54AA"/>
    <w:rsid w:val="00FA57C8"/>
    <w:rsid w:val="00FA592C"/>
    <w:rsid w:val="00FA6A59"/>
    <w:rsid w:val="00FA76A2"/>
    <w:rsid w:val="00FA7F9A"/>
    <w:rsid w:val="00FB1C2C"/>
    <w:rsid w:val="00FB24DB"/>
    <w:rsid w:val="00FB2922"/>
    <w:rsid w:val="00FB32F5"/>
    <w:rsid w:val="00FB3502"/>
    <w:rsid w:val="00FB4110"/>
    <w:rsid w:val="00FB5226"/>
    <w:rsid w:val="00FB5AC3"/>
    <w:rsid w:val="00FB5C63"/>
    <w:rsid w:val="00FB6EEA"/>
    <w:rsid w:val="00FB71DE"/>
    <w:rsid w:val="00FB7886"/>
    <w:rsid w:val="00FC028A"/>
    <w:rsid w:val="00FC046C"/>
    <w:rsid w:val="00FC0683"/>
    <w:rsid w:val="00FC1178"/>
    <w:rsid w:val="00FC11BB"/>
    <w:rsid w:val="00FC1A39"/>
    <w:rsid w:val="00FC1D65"/>
    <w:rsid w:val="00FC3790"/>
    <w:rsid w:val="00FC3AF4"/>
    <w:rsid w:val="00FC3B51"/>
    <w:rsid w:val="00FC3D7C"/>
    <w:rsid w:val="00FC3EB6"/>
    <w:rsid w:val="00FC4711"/>
    <w:rsid w:val="00FC4A54"/>
    <w:rsid w:val="00FC545C"/>
    <w:rsid w:val="00FC58F4"/>
    <w:rsid w:val="00FC6448"/>
    <w:rsid w:val="00FC6A60"/>
    <w:rsid w:val="00FC6DE0"/>
    <w:rsid w:val="00FC731E"/>
    <w:rsid w:val="00FC772A"/>
    <w:rsid w:val="00FD070E"/>
    <w:rsid w:val="00FD0D24"/>
    <w:rsid w:val="00FD1335"/>
    <w:rsid w:val="00FD242C"/>
    <w:rsid w:val="00FD380B"/>
    <w:rsid w:val="00FD48CD"/>
    <w:rsid w:val="00FD497D"/>
    <w:rsid w:val="00FD4B84"/>
    <w:rsid w:val="00FD5117"/>
    <w:rsid w:val="00FD5A99"/>
    <w:rsid w:val="00FD5C63"/>
    <w:rsid w:val="00FD5ED3"/>
    <w:rsid w:val="00FD6354"/>
    <w:rsid w:val="00FD6EC6"/>
    <w:rsid w:val="00FD77BC"/>
    <w:rsid w:val="00FE0049"/>
    <w:rsid w:val="00FE0CFB"/>
    <w:rsid w:val="00FE1012"/>
    <w:rsid w:val="00FE1C89"/>
    <w:rsid w:val="00FE1CC5"/>
    <w:rsid w:val="00FE256B"/>
    <w:rsid w:val="00FE2B98"/>
    <w:rsid w:val="00FE33AD"/>
    <w:rsid w:val="00FE384A"/>
    <w:rsid w:val="00FE3BA0"/>
    <w:rsid w:val="00FE4A52"/>
    <w:rsid w:val="00FE546D"/>
    <w:rsid w:val="00FE5DB7"/>
    <w:rsid w:val="00FE64D3"/>
    <w:rsid w:val="00FE794C"/>
    <w:rsid w:val="00FE7C10"/>
    <w:rsid w:val="00FF056D"/>
    <w:rsid w:val="00FF0AE0"/>
    <w:rsid w:val="00FF1135"/>
    <w:rsid w:val="00FF16C5"/>
    <w:rsid w:val="00FF1ABE"/>
    <w:rsid w:val="00FF2C3E"/>
    <w:rsid w:val="00FF3079"/>
    <w:rsid w:val="00FF4BFC"/>
    <w:rsid w:val="00FF65A2"/>
    <w:rsid w:val="00FF745A"/>
    <w:rsid w:val="00FF7C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77B0"/>
  <w15:chartTrackingRefBased/>
  <w15:docId w15:val="{7E5A61D9-E51B-4FD6-A38A-8D7B1EE31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000000" w:themeColor="text1"/>
        <w:sz w:val="32"/>
        <w:szCs w:val="32"/>
        <w:lang w:val="nl-NL"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969"/>
    <w:rPr>
      <w:rFonts w:ascii="Times New Roman" w:hAnsi="Times New Roman"/>
      <w:sz w:val="24"/>
    </w:rPr>
  </w:style>
  <w:style w:type="paragraph" w:styleId="Heading1">
    <w:name w:val="heading 1"/>
    <w:basedOn w:val="Normal"/>
    <w:next w:val="Normal"/>
    <w:link w:val="Heading1Char"/>
    <w:uiPriority w:val="9"/>
    <w:qFormat/>
    <w:rsid w:val="008C423A"/>
    <w:pPr>
      <w:keepNext/>
      <w:keepLines/>
      <w:spacing w:before="240"/>
      <w:outlineLvl w:val="0"/>
    </w:pPr>
    <w:rPr>
      <w:rFonts w:ascii="Cambria" w:eastAsiaTheme="majorEastAsia" w:hAnsi="Cambria"/>
      <w:b/>
      <w:sz w:val="32"/>
    </w:rPr>
  </w:style>
  <w:style w:type="paragraph" w:styleId="Heading2">
    <w:name w:val="heading 2"/>
    <w:basedOn w:val="Normal"/>
    <w:next w:val="Normal"/>
    <w:link w:val="Heading2Char"/>
    <w:uiPriority w:val="9"/>
    <w:unhideWhenUsed/>
    <w:qFormat/>
    <w:rsid w:val="00BB5969"/>
    <w:pPr>
      <w:keepNext/>
      <w:keepLines/>
      <w:spacing w:before="40"/>
      <w:outlineLvl w:val="1"/>
    </w:pPr>
    <w:rPr>
      <w:rFonts w:asciiTheme="majorHAnsi" w:eastAsiaTheme="majorEastAsia" w:hAnsiTheme="majorHAnsi"/>
      <w:color w:val="4472C4" w:themeColor="accent1"/>
      <w:sz w:val="26"/>
      <w:szCs w:val="26"/>
    </w:rPr>
  </w:style>
  <w:style w:type="paragraph" w:styleId="Heading3">
    <w:name w:val="heading 3"/>
    <w:basedOn w:val="Normal"/>
    <w:next w:val="Normal"/>
    <w:link w:val="Heading3Char"/>
    <w:uiPriority w:val="9"/>
    <w:unhideWhenUsed/>
    <w:qFormat/>
    <w:rsid w:val="008C423A"/>
    <w:pPr>
      <w:keepNext/>
      <w:keepLines/>
      <w:spacing w:before="40"/>
      <w:outlineLvl w:val="2"/>
    </w:pPr>
    <w:rPr>
      <w:rFonts w:ascii="Cambria" w:eastAsiaTheme="majorEastAsia" w:hAnsi="Cambria"/>
      <w:b/>
      <w:color w:val="auto"/>
      <w:szCs w:val="24"/>
    </w:rPr>
  </w:style>
  <w:style w:type="paragraph" w:styleId="Heading4">
    <w:name w:val="heading 4"/>
    <w:basedOn w:val="Normal"/>
    <w:next w:val="Normal"/>
    <w:link w:val="Heading4Char"/>
    <w:uiPriority w:val="9"/>
    <w:unhideWhenUsed/>
    <w:qFormat/>
    <w:rsid w:val="00D200FB"/>
    <w:pPr>
      <w:keepNext/>
      <w:keepLines/>
      <w:spacing w:before="4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23A"/>
    <w:rPr>
      <w:rFonts w:ascii="Cambria" w:eastAsiaTheme="majorEastAsia" w:hAnsi="Cambria"/>
      <w:b/>
    </w:rPr>
  </w:style>
  <w:style w:type="character" w:customStyle="1" w:styleId="Heading2Char">
    <w:name w:val="Heading 2 Char"/>
    <w:basedOn w:val="DefaultParagraphFont"/>
    <w:link w:val="Heading2"/>
    <w:uiPriority w:val="9"/>
    <w:rsid w:val="00BB5969"/>
    <w:rPr>
      <w:rFonts w:asciiTheme="majorHAnsi" w:eastAsiaTheme="majorEastAsia" w:hAnsiTheme="majorHAnsi"/>
      <w:color w:val="4472C4" w:themeColor="accent1"/>
      <w:sz w:val="26"/>
      <w:szCs w:val="26"/>
    </w:rPr>
  </w:style>
  <w:style w:type="character" w:customStyle="1" w:styleId="Heading3Char">
    <w:name w:val="Heading 3 Char"/>
    <w:basedOn w:val="DefaultParagraphFont"/>
    <w:link w:val="Heading3"/>
    <w:uiPriority w:val="9"/>
    <w:rsid w:val="008C423A"/>
    <w:rPr>
      <w:rFonts w:ascii="Cambria" w:eastAsiaTheme="majorEastAsia" w:hAnsi="Cambria"/>
      <w:b/>
      <w:color w:val="auto"/>
      <w:sz w:val="24"/>
      <w:szCs w:val="24"/>
    </w:rPr>
  </w:style>
  <w:style w:type="paragraph" w:styleId="Header">
    <w:name w:val="header"/>
    <w:basedOn w:val="Normal"/>
    <w:link w:val="HeaderChar"/>
    <w:uiPriority w:val="99"/>
    <w:unhideWhenUsed/>
    <w:rsid w:val="008C423A"/>
    <w:pPr>
      <w:tabs>
        <w:tab w:val="center" w:pos="4536"/>
        <w:tab w:val="right" w:pos="9072"/>
      </w:tabs>
      <w:spacing w:line="240" w:lineRule="auto"/>
    </w:pPr>
  </w:style>
  <w:style w:type="character" w:customStyle="1" w:styleId="HeaderChar">
    <w:name w:val="Header Char"/>
    <w:basedOn w:val="DefaultParagraphFont"/>
    <w:link w:val="Header"/>
    <w:uiPriority w:val="99"/>
    <w:rsid w:val="008C423A"/>
    <w:rPr>
      <w:rFonts w:ascii="Times New Roman" w:hAnsi="Times New Roman"/>
      <w:sz w:val="24"/>
    </w:rPr>
  </w:style>
  <w:style w:type="paragraph" w:styleId="Footer">
    <w:name w:val="footer"/>
    <w:basedOn w:val="Normal"/>
    <w:link w:val="FooterChar"/>
    <w:uiPriority w:val="99"/>
    <w:unhideWhenUsed/>
    <w:rsid w:val="008C423A"/>
    <w:pPr>
      <w:tabs>
        <w:tab w:val="center" w:pos="4536"/>
        <w:tab w:val="right" w:pos="9072"/>
      </w:tabs>
      <w:spacing w:line="240" w:lineRule="auto"/>
    </w:pPr>
  </w:style>
  <w:style w:type="character" w:customStyle="1" w:styleId="FooterChar">
    <w:name w:val="Footer Char"/>
    <w:basedOn w:val="DefaultParagraphFont"/>
    <w:link w:val="Footer"/>
    <w:uiPriority w:val="99"/>
    <w:rsid w:val="008C423A"/>
    <w:rPr>
      <w:rFonts w:ascii="Times New Roman" w:hAnsi="Times New Roman"/>
      <w:sz w:val="24"/>
    </w:rPr>
  </w:style>
  <w:style w:type="character" w:styleId="Hyperlink">
    <w:name w:val="Hyperlink"/>
    <w:basedOn w:val="DefaultParagraphFont"/>
    <w:uiPriority w:val="99"/>
    <w:unhideWhenUsed/>
    <w:rsid w:val="008C423A"/>
    <w:rPr>
      <w:color w:val="0563C1" w:themeColor="hyperlink"/>
      <w:u w:val="single"/>
    </w:rPr>
  </w:style>
  <w:style w:type="paragraph" w:styleId="ListParagraph">
    <w:name w:val="List Paragraph"/>
    <w:basedOn w:val="Normal"/>
    <w:link w:val="ListParagraphChar"/>
    <w:uiPriority w:val="34"/>
    <w:qFormat/>
    <w:rsid w:val="008C423A"/>
    <w:pPr>
      <w:ind w:left="720"/>
      <w:contextualSpacing/>
    </w:pPr>
  </w:style>
  <w:style w:type="paragraph" w:styleId="EndnoteText">
    <w:name w:val="endnote text"/>
    <w:basedOn w:val="Normal"/>
    <w:link w:val="EndnoteTextChar"/>
    <w:uiPriority w:val="99"/>
    <w:unhideWhenUsed/>
    <w:rsid w:val="00FC6DE0"/>
    <w:pPr>
      <w:spacing w:line="240" w:lineRule="auto"/>
    </w:pPr>
    <w:rPr>
      <w:sz w:val="20"/>
      <w:szCs w:val="20"/>
    </w:rPr>
  </w:style>
  <w:style w:type="character" w:customStyle="1" w:styleId="EndnoteTextChar">
    <w:name w:val="Endnote Text Char"/>
    <w:basedOn w:val="DefaultParagraphFont"/>
    <w:link w:val="EndnoteText"/>
    <w:uiPriority w:val="99"/>
    <w:rsid w:val="00FC6DE0"/>
    <w:rPr>
      <w:rFonts w:ascii="Times New Roman" w:hAnsi="Times New Roman"/>
      <w:sz w:val="20"/>
      <w:szCs w:val="20"/>
    </w:rPr>
  </w:style>
  <w:style w:type="character" w:styleId="EndnoteReference">
    <w:name w:val="endnote reference"/>
    <w:basedOn w:val="DefaultParagraphFont"/>
    <w:uiPriority w:val="99"/>
    <w:semiHidden/>
    <w:unhideWhenUsed/>
    <w:rsid w:val="00FC6DE0"/>
    <w:rPr>
      <w:vertAlign w:val="superscript"/>
    </w:rPr>
  </w:style>
  <w:style w:type="paragraph" w:styleId="BalloonText">
    <w:name w:val="Balloon Text"/>
    <w:basedOn w:val="Normal"/>
    <w:link w:val="BalloonTextChar"/>
    <w:uiPriority w:val="99"/>
    <w:semiHidden/>
    <w:unhideWhenUsed/>
    <w:rsid w:val="007A7A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A22"/>
    <w:rPr>
      <w:rFonts w:ascii="Segoe UI" w:hAnsi="Segoe UI" w:cs="Segoe UI"/>
      <w:sz w:val="18"/>
      <w:szCs w:val="18"/>
    </w:rPr>
  </w:style>
  <w:style w:type="table" w:styleId="TableGrid">
    <w:name w:val="Table Grid"/>
    <w:basedOn w:val="TableNormal"/>
    <w:uiPriority w:val="39"/>
    <w:rsid w:val="0079464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TableNormal"/>
    <w:next w:val="TableGrid"/>
    <w:uiPriority w:val="39"/>
    <w:rsid w:val="004221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474134"/>
    <w:rPr>
      <w:rFonts w:ascii="Times New Roman" w:hAnsi="Times New Roman"/>
      <w:sz w:val="24"/>
    </w:rPr>
  </w:style>
  <w:style w:type="character" w:customStyle="1" w:styleId="Onopgelostemelding1">
    <w:name w:val="Onopgeloste melding1"/>
    <w:basedOn w:val="DefaultParagraphFont"/>
    <w:uiPriority w:val="99"/>
    <w:semiHidden/>
    <w:unhideWhenUsed/>
    <w:rsid w:val="00911FC0"/>
    <w:rPr>
      <w:color w:val="605E5C"/>
      <w:shd w:val="clear" w:color="auto" w:fill="E1DFDD"/>
    </w:rPr>
  </w:style>
  <w:style w:type="character" w:styleId="FollowedHyperlink">
    <w:name w:val="FollowedHyperlink"/>
    <w:basedOn w:val="DefaultParagraphFont"/>
    <w:uiPriority w:val="99"/>
    <w:semiHidden/>
    <w:unhideWhenUsed/>
    <w:rsid w:val="00911FC0"/>
    <w:rPr>
      <w:color w:val="954F72" w:themeColor="followedHyperlink"/>
      <w:u w:val="single"/>
    </w:rPr>
  </w:style>
  <w:style w:type="character" w:customStyle="1" w:styleId="DefaultFontHxMailStyle">
    <w:name w:val="Default Font HxMail Style"/>
    <w:basedOn w:val="DefaultParagraphFont"/>
    <w:rsid w:val="00A55859"/>
    <w:rPr>
      <w:rFonts w:ascii="Calibri" w:hAnsi="Calibri" w:cs="Calibri" w:hint="default"/>
      <w:b w:val="0"/>
      <w:bCs w:val="0"/>
      <w:i w:val="0"/>
      <w:iCs w:val="0"/>
      <w:strike w:val="0"/>
      <w:dstrike w:val="0"/>
      <w:color w:val="auto"/>
      <w:u w:val="none"/>
      <w:effect w:val="none"/>
    </w:rPr>
  </w:style>
  <w:style w:type="paragraph" w:styleId="NormalWeb">
    <w:name w:val="Normal (Web)"/>
    <w:basedOn w:val="Normal"/>
    <w:uiPriority w:val="99"/>
    <w:unhideWhenUsed/>
    <w:rsid w:val="00D200FB"/>
    <w:pPr>
      <w:spacing w:line="240" w:lineRule="auto"/>
      <w:jc w:val="left"/>
    </w:pPr>
    <w:rPr>
      <w:rFonts w:cs="Times New Roman"/>
      <w:color w:val="auto"/>
      <w:szCs w:val="24"/>
      <w:lang w:eastAsia="nl-NL"/>
    </w:rPr>
  </w:style>
  <w:style w:type="character" w:customStyle="1" w:styleId="Heading4Char">
    <w:name w:val="Heading 4 Char"/>
    <w:basedOn w:val="DefaultParagraphFont"/>
    <w:link w:val="Heading4"/>
    <w:uiPriority w:val="9"/>
    <w:rsid w:val="00D200FB"/>
    <w:rPr>
      <w:rFonts w:asciiTheme="majorHAnsi" w:eastAsiaTheme="majorEastAsia" w:hAnsiTheme="majorHAnsi"/>
      <w:i/>
      <w:iCs/>
      <w:color w:val="2F5496" w:themeColor="accent1" w:themeShade="BF"/>
      <w:sz w:val="24"/>
    </w:rPr>
  </w:style>
  <w:style w:type="paragraph" w:styleId="Revision">
    <w:name w:val="Revision"/>
    <w:hidden/>
    <w:uiPriority w:val="99"/>
    <w:semiHidden/>
    <w:rsid w:val="00835E85"/>
    <w:pPr>
      <w:spacing w:line="240" w:lineRule="auto"/>
      <w:jc w:val="left"/>
    </w:pPr>
    <w:rPr>
      <w:rFonts w:ascii="Times New Roman" w:hAnsi="Times New Roman"/>
      <w:sz w:val="24"/>
    </w:rPr>
  </w:style>
  <w:style w:type="character" w:styleId="CommentReference">
    <w:name w:val="annotation reference"/>
    <w:basedOn w:val="DefaultParagraphFont"/>
    <w:uiPriority w:val="99"/>
    <w:semiHidden/>
    <w:unhideWhenUsed/>
    <w:rsid w:val="001103E9"/>
    <w:rPr>
      <w:sz w:val="16"/>
      <w:szCs w:val="16"/>
    </w:rPr>
  </w:style>
  <w:style w:type="paragraph" w:styleId="CommentText">
    <w:name w:val="annotation text"/>
    <w:basedOn w:val="Normal"/>
    <w:link w:val="CommentTextChar"/>
    <w:uiPriority w:val="99"/>
    <w:unhideWhenUsed/>
    <w:rsid w:val="001103E9"/>
    <w:pPr>
      <w:spacing w:line="240" w:lineRule="auto"/>
    </w:pPr>
    <w:rPr>
      <w:sz w:val="20"/>
      <w:szCs w:val="20"/>
    </w:rPr>
  </w:style>
  <w:style w:type="character" w:customStyle="1" w:styleId="CommentTextChar">
    <w:name w:val="Comment Text Char"/>
    <w:basedOn w:val="DefaultParagraphFont"/>
    <w:link w:val="CommentText"/>
    <w:uiPriority w:val="99"/>
    <w:rsid w:val="001103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103E9"/>
    <w:rPr>
      <w:b/>
      <w:bCs/>
    </w:rPr>
  </w:style>
  <w:style w:type="character" w:customStyle="1" w:styleId="CommentSubjectChar">
    <w:name w:val="Comment Subject Char"/>
    <w:basedOn w:val="CommentTextChar"/>
    <w:link w:val="CommentSubject"/>
    <w:uiPriority w:val="99"/>
    <w:semiHidden/>
    <w:rsid w:val="001103E9"/>
    <w:rPr>
      <w:rFonts w:ascii="Times New Roman" w:hAnsi="Times New Roman"/>
      <w:b/>
      <w:bCs/>
      <w:sz w:val="20"/>
      <w:szCs w:val="20"/>
    </w:rPr>
  </w:style>
  <w:style w:type="paragraph" w:styleId="NoSpacing">
    <w:name w:val="No Spacing"/>
    <w:uiPriority w:val="1"/>
    <w:qFormat/>
    <w:rsid w:val="00BB5969"/>
    <w:pPr>
      <w:spacing w:line="240" w:lineRule="auto"/>
    </w:pPr>
    <w:rPr>
      <w:rFonts w:ascii="Times New Roman" w:hAnsi="Times New Roman"/>
      <w:sz w:val="24"/>
    </w:rPr>
  </w:style>
  <w:style w:type="character" w:customStyle="1" w:styleId="Onopgelostemelding2">
    <w:name w:val="Onopgeloste melding2"/>
    <w:basedOn w:val="DefaultParagraphFont"/>
    <w:uiPriority w:val="99"/>
    <w:semiHidden/>
    <w:unhideWhenUsed/>
    <w:rsid w:val="00D33A8F"/>
    <w:rPr>
      <w:color w:val="605E5C"/>
      <w:shd w:val="clear" w:color="auto" w:fill="E1DFDD"/>
    </w:rPr>
  </w:style>
  <w:style w:type="character" w:customStyle="1" w:styleId="Onopgelostemelding3">
    <w:name w:val="Onopgeloste melding3"/>
    <w:basedOn w:val="DefaultParagraphFont"/>
    <w:uiPriority w:val="99"/>
    <w:semiHidden/>
    <w:unhideWhenUsed/>
    <w:rsid w:val="00604704"/>
    <w:rPr>
      <w:color w:val="605E5C"/>
      <w:shd w:val="clear" w:color="auto" w:fill="E1DFDD"/>
    </w:rPr>
  </w:style>
  <w:style w:type="paragraph" w:customStyle="1" w:styleId="xmsonormal">
    <w:name w:val="x_msonormal"/>
    <w:basedOn w:val="Normal"/>
    <w:rsid w:val="00AC5894"/>
    <w:pPr>
      <w:spacing w:before="100" w:beforeAutospacing="1" w:after="100" w:afterAutospacing="1" w:line="240" w:lineRule="auto"/>
      <w:jc w:val="left"/>
    </w:pPr>
    <w:rPr>
      <w:rFonts w:eastAsia="Times New Roman" w:cs="Times New Roman"/>
      <w:color w:val="auto"/>
      <w:szCs w:val="24"/>
      <w:lang w:eastAsia="nl-NL"/>
    </w:rPr>
  </w:style>
  <w:style w:type="paragraph" w:customStyle="1" w:styleId="tabelKop">
    <w:name w:val="tabelKop"/>
    <w:basedOn w:val="Normal"/>
    <w:link w:val="tabelKopChar"/>
    <w:qFormat/>
    <w:rsid w:val="00354D6B"/>
    <w:pPr>
      <w:jc w:val="center"/>
    </w:pPr>
    <w:rPr>
      <w:rFonts w:cs="Times New Roman"/>
      <w:b/>
      <w:bCs/>
      <w:sz w:val="20"/>
      <w:szCs w:val="20"/>
    </w:rPr>
  </w:style>
  <w:style w:type="character" w:customStyle="1" w:styleId="tabelKopChar">
    <w:name w:val="tabelKop Char"/>
    <w:basedOn w:val="DefaultParagraphFont"/>
    <w:link w:val="tabelKop"/>
    <w:rsid w:val="00354D6B"/>
    <w:rPr>
      <w:rFonts w:ascii="Times New Roman" w:hAnsi="Times New Roman" w:cs="Times New Roman"/>
      <w:b/>
      <w:bCs/>
      <w:sz w:val="20"/>
      <w:szCs w:val="20"/>
    </w:rPr>
  </w:style>
  <w:style w:type="paragraph" w:customStyle="1" w:styleId="TabelNummersCentreren">
    <w:name w:val="TabelNummersCentreren"/>
    <w:basedOn w:val="Normal"/>
    <w:link w:val="TabelNummersCentrerenChar"/>
    <w:qFormat/>
    <w:rsid w:val="00354D6B"/>
    <w:pPr>
      <w:spacing w:line="240" w:lineRule="auto"/>
      <w:jc w:val="right"/>
    </w:pPr>
    <w:rPr>
      <w:rFonts w:ascii="Calibri" w:eastAsia="Times New Roman" w:hAnsi="Calibri" w:cs="Times New Roman"/>
      <w:color w:val="000000"/>
      <w:kern w:val="2"/>
      <w:sz w:val="18"/>
      <w:szCs w:val="18"/>
      <w:lang w:eastAsia="nl-NL"/>
      <w14:ligatures w14:val="standardContextual"/>
    </w:rPr>
  </w:style>
  <w:style w:type="character" w:customStyle="1" w:styleId="TabelNummersCentrerenChar">
    <w:name w:val="TabelNummersCentreren Char"/>
    <w:basedOn w:val="DefaultParagraphFont"/>
    <w:link w:val="TabelNummersCentreren"/>
    <w:rsid w:val="00354D6B"/>
    <w:rPr>
      <w:rFonts w:eastAsia="Times New Roman" w:cs="Times New Roman"/>
      <w:color w:val="000000"/>
      <w:kern w:val="2"/>
      <w:sz w:val="18"/>
      <w:szCs w:val="18"/>
      <w:lang w:eastAsia="nl-NL"/>
      <w14:ligatures w14:val="standardContextual"/>
    </w:rPr>
  </w:style>
  <w:style w:type="paragraph" w:customStyle="1" w:styleId="tabelNummers">
    <w:name w:val="tabelNummers"/>
    <w:basedOn w:val="Normal"/>
    <w:link w:val="tabelNummersChar"/>
    <w:qFormat/>
    <w:rsid w:val="009B3126"/>
    <w:pPr>
      <w:spacing w:line="240" w:lineRule="auto"/>
      <w:jc w:val="right"/>
    </w:pPr>
    <w:rPr>
      <w:rFonts w:ascii="Calibri" w:eastAsia="Times New Roman" w:hAnsi="Calibri" w:cs="Times New Roman"/>
      <w:color w:val="000000"/>
      <w:kern w:val="2"/>
      <w:sz w:val="18"/>
      <w:szCs w:val="18"/>
      <w:lang w:eastAsia="nl-NL"/>
      <w14:ligatures w14:val="standardContextual"/>
    </w:rPr>
  </w:style>
  <w:style w:type="character" w:customStyle="1" w:styleId="tabelNummersChar">
    <w:name w:val="tabelNummers Char"/>
    <w:basedOn w:val="DefaultParagraphFont"/>
    <w:link w:val="tabelNummers"/>
    <w:rsid w:val="009B3126"/>
    <w:rPr>
      <w:rFonts w:eastAsia="Times New Roman" w:cs="Times New Roman"/>
      <w:color w:val="000000"/>
      <w:kern w:val="2"/>
      <w:sz w:val="18"/>
      <w:szCs w:val="18"/>
      <w:lang w:eastAsia="nl-NL"/>
      <w14:ligatures w14:val="standardContextual"/>
    </w:rPr>
  </w:style>
  <w:style w:type="paragraph" w:customStyle="1" w:styleId="TabelKopRechts">
    <w:name w:val="TabelKopRechts"/>
    <w:basedOn w:val="tabelKop"/>
    <w:link w:val="TabelKopRechtsChar"/>
    <w:qFormat/>
    <w:rsid w:val="009B3126"/>
  </w:style>
  <w:style w:type="character" w:customStyle="1" w:styleId="TabelKopRechtsChar">
    <w:name w:val="TabelKopRechts Char"/>
    <w:basedOn w:val="tabelKopChar"/>
    <w:link w:val="TabelKopRechts"/>
    <w:rsid w:val="009B3126"/>
    <w:rPr>
      <w:rFonts w:ascii="Times New Roman" w:hAnsi="Times New Roman" w:cs="Times New Roman"/>
      <w:b/>
      <w:bCs/>
      <w:sz w:val="20"/>
      <w:szCs w:val="20"/>
    </w:rPr>
  </w:style>
  <w:style w:type="character" w:styleId="UnresolvedMention">
    <w:name w:val="Unresolved Mention"/>
    <w:basedOn w:val="DefaultParagraphFont"/>
    <w:uiPriority w:val="99"/>
    <w:semiHidden/>
    <w:unhideWhenUsed/>
    <w:rsid w:val="00DD4E54"/>
    <w:rPr>
      <w:color w:val="605E5C"/>
      <w:shd w:val="clear" w:color="auto" w:fill="E1DFDD"/>
    </w:rPr>
  </w:style>
  <w:style w:type="paragraph" w:styleId="FootnoteText">
    <w:name w:val="footnote text"/>
    <w:basedOn w:val="Normal"/>
    <w:link w:val="FootnoteTextChar"/>
    <w:uiPriority w:val="99"/>
    <w:semiHidden/>
    <w:unhideWhenUsed/>
    <w:rsid w:val="001D249D"/>
    <w:pPr>
      <w:spacing w:line="240" w:lineRule="auto"/>
    </w:pPr>
    <w:rPr>
      <w:sz w:val="20"/>
      <w:szCs w:val="20"/>
    </w:rPr>
  </w:style>
  <w:style w:type="character" w:customStyle="1" w:styleId="FootnoteTextChar">
    <w:name w:val="Footnote Text Char"/>
    <w:basedOn w:val="DefaultParagraphFont"/>
    <w:link w:val="FootnoteText"/>
    <w:uiPriority w:val="99"/>
    <w:semiHidden/>
    <w:rsid w:val="001D249D"/>
    <w:rPr>
      <w:rFonts w:ascii="Times New Roman" w:hAnsi="Times New Roman"/>
      <w:sz w:val="20"/>
      <w:szCs w:val="20"/>
    </w:rPr>
  </w:style>
  <w:style w:type="character" w:styleId="FootnoteReference">
    <w:name w:val="footnote reference"/>
    <w:basedOn w:val="DefaultParagraphFont"/>
    <w:uiPriority w:val="99"/>
    <w:semiHidden/>
    <w:unhideWhenUsed/>
    <w:rsid w:val="001D24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5596">
      <w:bodyDiv w:val="1"/>
      <w:marLeft w:val="0"/>
      <w:marRight w:val="0"/>
      <w:marTop w:val="0"/>
      <w:marBottom w:val="0"/>
      <w:divBdr>
        <w:top w:val="none" w:sz="0" w:space="0" w:color="auto"/>
        <w:left w:val="none" w:sz="0" w:space="0" w:color="auto"/>
        <w:bottom w:val="none" w:sz="0" w:space="0" w:color="auto"/>
        <w:right w:val="none" w:sz="0" w:space="0" w:color="auto"/>
      </w:divBdr>
    </w:div>
    <w:div w:id="71707945">
      <w:bodyDiv w:val="1"/>
      <w:marLeft w:val="0"/>
      <w:marRight w:val="0"/>
      <w:marTop w:val="0"/>
      <w:marBottom w:val="0"/>
      <w:divBdr>
        <w:top w:val="none" w:sz="0" w:space="0" w:color="auto"/>
        <w:left w:val="none" w:sz="0" w:space="0" w:color="auto"/>
        <w:bottom w:val="none" w:sz="0" w:space="0" w:color="auto"/>
        <w:right w:val="none" w:sz="0" w:space="0" w:color="auto"/>
      </w:divBdr>
    </w:div>
    <w:div w:id="98262862">
      <w:bodyDiv w:val="1"/>
      <w:marLeft w:val="0"/>
      <w:marRight w:val="0"/>
      <w:marTop w:val="0"/>
      <w:marBottom w:val="0"/>
      <w:divBdr>
        <w:top w:val="none" w:sz="0" w:space="0" w:color="auto"/>
        <w:left w:val="none" w:sz="0" w:space="0" w:color="auto"/>
        <w:bottom w:val="none" w:sz="0" w:space="0" w:color="auto"/>
        <w:right w:val="none" w:sz="0" w:space="0" w:color="auto"/>
      </w:divBdr>
    </w:div>
    <w:div w:id="156960634">
      <w:bodyDiv w:val="1"/>
      <w:marLeft w:val="0"/>
      <w:marRight w:val="0"/>
      <w:marTop w:val="0"/>
      <w:marBottom w:val="0"/>
      <w:divBdr>
        <w:top w:val="none" w:sz="0" w:space="0" w:color="auto"/>
        <w:left w:val="none" w:sz="0" w:space="0" w:color="auto"/>
        <w:bottom w:val="none" w:sz="0" w:space="0" w:color="auto"/>
        <w:right w:val="none" w:sz="0" w:space="0" w:color="auto"/>
      </w:divBdr>
    </w:div>
    <w:div w:id="184179752">
      <w:bodyDiv w:val="1"/>
      <w:marLeft w:val="0"/>
      <w:marRight w:val="0"/>
      <w:marTop w:val="0"/>
      <w:marBottom w:val="0"/>
      <w:divBdr>
        <w:top w:val="none" w:sz="0" w:space="0" w:color="auto"/>
        <w:left w:val="none" w:sz="0" w:space="0" w:color="auto"/>
        <w:bottom w:val="none" w:sz="0" w:space="0" w:color="auto"/>
        <w:right w:val="none" w:sz="0" w:space="0" w:color="auto"/>
      </w:divBdr>
    </w:div>
    <w:div w:id="285738262">
      <w:bodyDiv w:val="1"/>
      <w:marLeft w:val="0"/>
      <w:marRight w:val="0"/>
      <w:marTop w:val="0"/>
      <w:marBottom w:val="0"/>
      <w:divBdr>
        <w:top w:val="none" w:sz="0" w:space="0" w:color="auto"/>
        <w:left w:val="none" w:sz="0" w:space="0" w:color="auto"/>
        <w:bottom w:val="none" w:sz="0" w:space="0" w:color="auto"/>
        <w:right w:val="none" w:sz="0" w:space="0" w:color="auto"/>
      </w:divBdr>
    </w:div>
    <w:div w:id="502938800">
      <w:bodyDiv w:val="1"/>
      <w:marLeft w:val="0"/>
      <w:marRight w:val="0"/>
      <w:marTop w:val="0"/>
      <w:marBottom w:val="0"/>
      <w:divBdr>
        <w:top w:val="none" w:sz="0" w:space="0" w:color="auto"/>
        <w:left w:val="none" w:sz="0" w:space="0" w:color="auto"/>
        <w:bottom w:val="none" w:sz="0" w:space="0" w:color="auto"/>
        <w:right w:val="none" w:sz="0" w:space="0" w:color="auto"/>
      </w:divBdr>
    </w:div>
    <w:div w:id="585848675">
      <w:bodyDiv w:val="1"/>
      <w:marLeft w:val="0"/>
      <w:marRight w:val="0"/>
      <w:marTop w:val="0"/>
      <w:marBottom w:val="0"/>
      <w:divBdr>
        <w:top w:val="none" w:sz="0" w:space="0" w:color="auto"/>
        <w:left w:val="none" w:sz="0" w:space="0" w:color="auto"/>
        <w:bottom w:val="none" w:sz="0" w:space="0" w:color="auto"/>
        <w:right w:val="none" w:sz="0" w:space="0" w:color="auto"/>
      </w:divBdr>
    </w:div>
    <w:div w:id="594902869">
      <w:bodyDiv w:val="1"/>
      <w:marLeft w:val="0"/>
      <w:marRight w:val="0"/>
      <w:marTop w:val="0"/>
      <w:marBottom w:val="0"/>
      <w:divBdr>
        <w:top w:val="none" w:sz="0" w:space="0" w:color="auto"/>
        <w:left w:val="none" w:sz="0" w:space="0" w:color="auto"/>
        <w:bottom w:val="none" w:sz="0" w:space="0" w:color="auto"/>
        <w:right w:val="none" w:sz="0" w:space="0" w:color="auto"/>
      </w:divBdr>
    </w:div>
    <w:div w:id="732317378">
      <w:bodyDiv w:val="1"/>
      <w:marLeft w:val="0"/>
      <w:marRight w:val="0"/>
      <w:marTop w:val="0"/>
      <w:marBottom w:val="0"/>
      <w:divBdr>
        <w:top w:val="none" w:sz="0" w:space="0" w:color="auto"/>
        <w:left w:val="none" w:sz="0" w:space="0" w:color="auto"/>
        <w:bottom w:val="none" w:sz="0" w:space="0" w:color="auto"/>
        <w:right w:val="none" w:sz="0" w:space="0" w:color="auto"/>
      </w:divBdr>
    </w:div>
    <w:div w:id="830368647">
      <w:bodyDiv w:val="1"/>
      <w:marLeft w:val="0"/>
      <w:marRight w:val="0"/>
      <w:marTop w:val="0"/>
      <w:marBottom w:val="0"/>
      <w:divBdr>
        <w:top w:val="none" w:sz="0" w:space="0" w:color="auto"/>
        <w:left w:val="none" w:sz="0" w:space="0" w:color="auto"/>
        <w:bottom w:val="none" w:sz="0" w:space="0" w:color="auto"/>
        <w:right w:val="none" w:sz="0" w:space="0" w:color="auto"/>
      </w:divBdr>
    </w:div>
    <w:div w:id="879516112">
      <w:bodyDiv w:val="1"/>
      <w:marLeft w:val="0"/>
      <w:marRight w:val="0"/>
      <w:marTop w:val="0"/>
      <w:marBottom w:val="0"/>
      <w:divBdr>
        <w:top w:val="none" w:sz="0" w:space="0" w:color="auto"/>
        <w:left w:val="none" w:sz="0" w:space="0" w:color="auto"/>
        <w:bottom w:val="none" w:sz="0" w:space="0" w:color="auto"/>
        <w:right w:val="none" w:sz="0" w:space="0" w:color="auto"/>
      </w:divBdr>
    </w:div>
    <w:div w:id="1059327276">
      <w:bodyDiv w:val="1"/>
      <w:marLeft w:val="0"/>
      <w:marRight w:val="0"/>
      <w:marTop w:val="0"/>
      <w:marBottom w:val="0"/>
      <w:divBdr>
        <w:top w:val="none" w:sz="0" w:space="0" w:color="auto"/>
        <w:left w:val="none" w:sz="0" w:space="0" w:color="auto"/>
        <w:bottom w:val="none" w:sz="0" w:space="0" w:color="auto"/>
        <w:right w:val="none" w:sz="0" w:space="0" w:color="auto"/>
      </w:divBdr>
    </w:div>
    <w:div w:id="1094131427">
      <w:bodyDiv w:val="1"/>
      <w:marLeft w:val="0"/>
      <w:marRight w:val="0"/>
      <w:marTop w:val="0"/>
      <w:marBottom w:val="0"/>
      <w:divBdr>
        <w:top w:val="none" w:sz="0" w:space="0" w:color="auto"/>
        <w:left w:val="none" w:sz="0" w:space="0" w:color="auto"/>
        <w:bottom w:val="none" w:sz="0" w:space="0" w:color="auto"/>
        <w:right w:val="none" w:sz="0" w:space="0" w:color="auto"/>
      </w:divBdr>
    </w:div>
    <w:div w:id="1099133738">
      <w:bodyDiv w:val="1"/>
      <w:marLeft w:val="0"/>
      <w:marRight w:val="0"/>
      <w:marTop w:val="0"/>
      <w:marBottom w:val="0"/>
      <w:divBdr>
        <w:top w:val="none" w:sz="0" w:space="0" w:color="auto"/>
        <w:left w:val="none" w:sz="0" w:space="0" w:color="auto"/>
        <w:bottom w:val="none" w:sz="0" w:space="0" w:color="auto"/>
        <w:right w:val="none" w:sz="0" w:space="0" w:color="auto"/>
      </w:divBdr>
    </w:div>
    <w:div w:id="1100763762">
      <w:bodyDiv w:val="1"/>
      <w:marLeft w:val="0"/>
      <w:marRight w:val="0"/>
      <w:marTop w:val="0"/>
      <w:marBottom w:val="0"/>
      <w:divBdr>
        <w:top w:val="none" w:sz="0" w:space="0" w:color="auto"/>
        <w:left w:val="none" w:sz="0" w:space="0" w:color="auto"/>
        <w:bottom w:val="none" w:sz="0" w:space="0" w:color="auto"/>
        <w:right w:val="none" w:sz="0" w:space="0" w:color="auto"/>
      </w:divBdr>
      <w:divsChild>
        <w:div w:id="1201168265">
          <w:marLeft w:val="0"/>
          <w:marRight w:val="0"/>
          <w:marTop w:val="0"/>
          <w:marBottom w:val="0"/>
          <w:divBdr>
            <w:top w:val="none" w:sz="0" w:space="0" w:color="auto"/>
            <w:left w:val="none" w:sz="0" w:space="0" w:color="auto"/>
            <w:bottom w:val="none" w:sz="0" w:space="0" w:color="auto"/>
            <w:right w:val="none" w:sz="0" w:space="0" w:color="auto"/>
          </w:divBdr>
          <w:divsChild>
            <w:div w:id="923144148">
              <w:marLeft w:val="0"/>
              <w:marRight w:val="0"/>
              <w:marTop w:val="0"/>
              <w:marBottom w:val="0"/>
              <w:divBdr>
                <w:top w:val="none" w:sz="0" w:space="0" w:color="auto"/>
                <w:left w:val="none" w:sz="0" w:space="0" w:color="auto"/>
                <w:bottom w:val="none" w:sz="0" w:space="0" w:color="auto"/>
                <w:right w:val="none" w:sz="0" w:space="0" w:color="auto"/>
              </w:divBdr>
              <w:divsChild>
                <w:div w:id="912355197">
                  <w:marLeft w:val="0"/>
                  <w:marRight w:val="0"/>
                  <w:marTop w:val="0"/>
                  <w:marBottom w:val="0"/>
                  <w:divBdr>
                    <w:top w:val="none" w:sz="0" w:space="0" w:color="auto"/>
                    <w:left w:val="none" w:sz="0" w:space="0" w:color="auto"/>
                    <w:bottom w:val="none" w:sz="0" w:space="0" w:color="auto"/>
                    <w:right w:val="none" w:sz="0" w:space="0" w:color="auto"/>
                  </w:divBdr>
                  <w:divsChild>
                    <w:div w:id="866679284">
                      <w:marLeft w:val="0"/>
                      <w:marRight w:val="0"/>
                      <w:marTop w:val="0"/>
                      <w:marBottom w:val="0"/>
                      <w:divBdr>
                        <w:top w:val="none" w:sz="0" w:space="0" w:color="auto"/>
                        <w:left w:val="none" w:sz="0" w:space="0" w:color="auto"/>
                        <w:bottom w:val="none" w:sz="0" w:space="0" w:color="auto"/>
                        <w:right w:val="none" w:sz="0" w:space="0" w:color="auto"/>
                      </w:divBdr>
                      <w:divsChild>
                        <w:div w:id="13247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052503">
      <w:bodyDiv w:val="1"/>
      <w:marLeft w:val="0"/>
      <w:marRight w:val="0"/>
      <w:marTop w:val="0"/>
      <w:marBottom w:val="0"/>
      <w:divBdr>
        <w:top w:val="none" w:sz="0" w:space="0" w:color="auto"/>
        <w:left w:val="none" w:sz="0" w:space="0" w:color="auto"/>
        <w:bottom w:val="none" w:sz="0" w:space="0" w:color="auto"/>
        <w:right w:val="none" w:sz="0" w:space="0" w:color="auto"/>
      </w:divBdr>
    </w:div>
    <w:div w:id="1320621500">
      <w:bodyDiv w:val="1"/>
      <w:marLeft w:val="0"/>
      <w:marRight w:val="0"/>
      <w:marTop w:val="0"/>
      <w:marBottom w:val="0"/>
      <w:divBdr>
        <w:top w:val="none" w:sz="0" w:space="0" w:color="auto"/>
        <w:left w:val="none" w:sz="0" w:space="0" w:color="auto"/>
        <w:bottom w:val="none" w:sz="0" w:space="0" w:color="auto"/>
        <w:right w:val="none" w:sz="0" w:space="0" w:color="auto"/>
      </w:divBdr>
    </w:div>
    <w:div w:id="1355614351">
      <w:bodyDiv w:val="1"/>
      <w:marLeft w:val="0"/>
      <w:marRight w:val="0"/>
      <w:marTop w:val="0"/>
      <w:marBottom w:val="0"/>
      <w:divBdr>
        <w:top w:val="none" w:sz="0" w:space="0" w:color="auto"/>
        <w:left w:val="none" w:sz="0" w:space="0" w:color="auto"/>
        <w:bottom w:val="none" w:sz="0" w:space="0" w:color="auto"/>
        <w:right w:val="none" w:sz="0" w:space="0" w:color="auto"/>
      </w:divBdr>
    </w:div>
    <w:div w:id="1511918667">
      <w:bodyDiv w:val="1"/>
      <w:marLeft w:val="0"/>
      <w:marRight w:val="0"/>
      <w:marTop w:val="0"/>
      <w:marBottom w:val="0"/>
      <w:divBdr>
        <w:top w:val="none" w:sz="0" w:space="0" w:color="auto"/>
        <w:left w:val="none" w:sz="0" w:space="0" w:color="auto"/>
        <w:bottom w:val="none" w:sz="0" w:space="0" w:color="auto"/>
        <w:right w:val="none" w:sz="0" w:space="0" w:color="auto"/>
      </w:divBdr>
    </w:div>
    <w:div w:id="1521317433">
      <w:bodyDiv w:val="1"/>
      <w:marLeft w:val="0"/>
      <w:marRight w:val="0"/>
      <w:marTop w:val="0"/>
      <w:marBottom w:val="0"/>
      <w:divBdr>
        <w:top w:val="none" w:sz="0" w:space="0" w:color="auto"/>
        <w:left w:val="none" w:sz="0" w:space="0" w:color="auto"/>
        <w:bottom w:val="none" w:sz="0" w:space="0" w:color="auto"/>
        <w:right w:val="none" w:sz="0" w:space="0" w:color="auto"/>
      </w:divBdr>
    </w:div>
    <w:div w:id="1783915037">
      <w:bodyDiv w:val="1"/>
      <w:marLeft w:val="0"/>
      <w:marRight w:val="0"/>
      <w:marTop w:val="0"/>
      <w:marBottom w:val="0"/>
      <w:divBdr>
        <w:top w:val="none" w:sz="0" w:space="0" w:color="auto"/>
        <w:left w:val="none" w:sz="0" w:space="0" w:color="auto"/>
        <w:bottom w:val="none" w:sz="0" w:space="0" w:color="auto"/>
        <w:right w:val="none" w:sz="0" w:space="0" w:color="auto"/>
      </w:divBdr>
    </w:div>
    <w:div w:id="1836916333">
      <w:bodyDiv w:val="1"/>
      <w:marLeft w:val="0"/>
      <w:marRight w:val="0"/>
      <w:marTop w:val="0"/>
      <w:marBottom w:val="0"/>
      <w:divBdr>
        <w:top w:val="none" w:sz="0" w:space="0" w:color="auto"/>
        <w:left w:val="none" w:sz="0" w:space="0" w:color="auto"/>
        <w:bottom w:val="none" w:sz="0" w:space="0" w:color="auto"/>
        <w:right w:val="none" w:sz="0" w:space="0" w:color="auto"/>
      </w:divBdr>
    </w:div>
    <w:div w:id="1892888364">
      <w:bodyDiv w:val="1"/>
      <w:marLeft w:val="0"/>
      <w:marRight w:val="0"/>
      <w:marTop w:val="0"/>
      <w:marBottom w:val="0"/>
      <w:divBdr>
        <w:top w:val="none" w:sz="0" w:space="0" w:color="auto"/>
        <w:left w:val="none" w:sz="0" w:space="0" w:color="auto"/>
        <w:bottom w:val="none" w:sz="0" w:space="0" w:color="auto"/>
        <w:right w:val="none" w:sz="0" w:space="0" w:color="auto"/>
      </w:divBdr>
    </w:div>
    <w:div w:id="1938826536">
      <w:bodyDiv w:val="1"/>
      <w:marLeft w:val="0"/>
      <w:marRight w:val="0"/>
      <w:marTop w:val="0"/>
      <w:marBottom w:val="0"/>
      <w:divBdr>
        <w:top w:val="none" w:sz="0" w:space="0" w:color="auto"/>
        <w:left w:val="none" w:sz="0" w:space="0" w:color="auto"/>
        <w:bottom w:val="none" w:sz="0" w:space="0" w:color="auto"/>
        <w:right w:val="none" w:sz="0" w:space="0" w:color="auto"/>
      </w:divBdr>
    </w:div>
    <w:div w:id="1981229798">
      <w:bodyDiv w:val="1"/>
      <w:marLeft w:val="0"/>
      <w:marRight w:val="0"/>
      <w:marTop w:val="0"/>
      <w:marBottom w:val="0"/>
      <w:divBdr>
        <w:top w:val="none" w:sz="0" w:space="0" w:color="auto"/>
        <w:left w:val="none" w:sz="0" w:space="0" w:color="auto"/>
        <w:bottom w:val="none" w:sz="0" w:space="0" w:color="auto"/>
        <w:right w:val="none" w:sz="0" w:space="0" w:color="auto"/>
      </w:divBdr>
    </w:div>
    <w:div w:id="2098167105">
      <w:bodyDiv w:val="1"/>
      <w:marLeft w:val="0"/>
      <w:marRight w:val="0"/>
      <w:marTop w:val="0"/>
      <w:marBottom w:val="0"/>
      <w:divBdr>
        <w:top w:val="none" w:sz="0" w:space="0" w:color="auto"/>
        <w:left w:val="none" w:sz="0" w:space="0" w:color="auto"/>
        <w:bottom w:val="none" w:sz="0" w:space="0" w:color="auto"/>
        <w:right w:val="none" w:sz="0" w:space="0" w:color="auto"/>
      </w:divBdr>
    </w:div>
    <w:div w:id="212881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www.delpher.nl" TargetMode="External"/><Relationship Id="rId13" Type="http://schemas.openxmlformats.org/officeDocument/2006/relationships/hyperlink" Target="https://nl.wikipedia.org/wiki/" TargetMode="External"/><Relationship Id="rId3" Type="http://schemas.openxmlformats.org/officeDocument/2006/relationships/hyperlink" Target="https://beta.nmgn.huygens.knaw.nl/binnenvaart-negentiende-eeuw.html" TargetMode="External"/><Relationship Id="rId7" Type="http://schemas.openxmlformats.org/officeDocument/2006/relationships/hyperlink" Target="https://eye.openbeelden.nl/media/1236221/Binnenslepen%20van%20de%20Stanfries%20IV" TargetMode="External"/><Relationship Id="rId12" Type="http://schemas.openxmlformats.org/officeDocument/2006/relationships/hyperlink" Target="http://www.rijkswaterstaat.nl/over-ons/onze-organisatie/organisatiestructuur/verkeer-en-watermanagement" TargetMode="External"/><Relationship Id="rId2" Type="http://schemas.openxmlformats.org/officeDocument/2006/relationships/hyperlink" Target="https://s2ho.nl/LSD/top/common/ZoekInLiggers_01.php" TargetMode="External"/><Relationship Id="rId1" Type="http://schemas.openxmlformats.org/officeDocument/2006/relationships/hyperlink" Target="https://s2ho.nl/LSD/top/common/ZoekInLiggers_01.php" TargetMode="External"/><Relationship Id="rId6" Type="http://schemas.openxmlformats.org/officeDocument/2006/relationships/hyperlink" Target="http://www.varendoejesamen.nl" TargetMode="External"/><Relationship Id="rId11" Type="http://schemas.openxmlformats.org/officeDocument/2006/relationships/hyperlink" Target="https://nl.wikipedia.org/wiki/ADNR" TargetMode="External"/><Relationship Id="rId5" Type="http://schemas.openxmlformats.org/officeDocument/2006/relationships/hyperlink" Target="https://nl.wikipedia.org/wiki/" TargetMode="External"/><Relationship Id="rId10" Type="http://schemas.openxmlformats.org/officeDocument/2006/relationships/hyperlink" Target="https://www.delpher.nl/nl/kranten" TargetMode="External"/><Relationship Id="rId4" Type="http://schemas.openxmlformats.org/officeDocument/2006/relationships/hyperlink" Target="https://opendata.cbs.nl" TargetMode="External"/><Relationship Id="rId9" Type="http://schemas.openxmlformats.org/officeDocument/2006/relationships/hyperlink" Target="https://www.delpher.nl/nl/krante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2FB56-BD5D-4368-A3B7-B2F376EC1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2146</TotalTime>
  <Pages>65</Pages>
  <Words>26158</Words>
  <Characters>143869</Characters>
  <Application>Microsoft Office Word</Application>
  <DocSecurity>0</DocSecurity>
  <Lines>1198</Lines>
  <Paragraphs>339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Ruud Filarski</dc:creator>
  <cp:keywords/>
  <dc:description/>
  <cp:lastModifiedBy>Marja de Keuning</cp:lastModifiedBy>
  <cp:revision>674</cp:revision>
  <cp:lastPrinted>2024-07-08T11:43:00Z</cp:lastPrinted>
  <dcterms:created xsi:type="dcterms:W3CDTF">2024-03-21T09:27:00Z</dcterms:created>
  <dcterms:modified xsi:type="dcterms:W3CDTF">2024-10-28T16:47:00Z</dcterms:modified>
</cp:coreProperties>
</file>