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GeoDF-Adaptive VINS: AECE Manuscript Draft</w:t>
      </w:r>
    </w:p>
    <w:p>
      <w:pPr>
        <w:pStyle w:val="TextBody"/>
        <w:bidi w:val="0"/>
        <w:spacing w:before="0" w:after="283"/>
        <w:jc w:val="left"/>
        <w:rPr/>
      </w:pPr>
      <w:r>
        <w:rPr/>
        <w:t xml:space="preserve">Target journal: </w:t>
      </w:r>
      <w:r>
        <w:rPr>
          <w:rStyle w:val="StrongEmphasis"/>
        </w:rPr>
        <w:t>Advances in Electrical and Computer Engineering (AECE)</w:t>
      </w:r>
      <w:r>
        <w:rPr/>
        <w:t xml:space="preserve">, Stefan cel Mare University of Suceava. This draft is written as a source document to be converted into the official AECE Microsoft Word </w:t>
      </w:r>
      <w:r>
        <w:rPr>
          <w:rStyle w:val="SourceText"/>
        </w:rPr>
        <w:t>.doc</w:t>
      </w:r>
      <w:r>
        <w:rPr/>
        <w:t xml:space="preserve"> template.</w:t>
      </w:r>
    </w:p>
    <w:p>
      <w:pPr>
        <w:pStyle w:val="TextBody"/>
        <w:bidi w:val="0"/>
        <w:spacing w:before="0" w:after="283"/>
        <w:jc w:val="left"/>
        <w:rPr/>
      </w:pPr>
      <w:r>
        <w:rPr/>
        <w:t>AECE-specific constraints to respect:</w:t>
      </w:r>
    </w:p>
    <w:p>
      <w:pPr>
        <w:pStyle w:val="TextBody"/>
        <w:numPr>
          <w:ilvl w:val="0"/>
          <w:numId w:val="1"/>
        </w:numPr>
        <w:tabs>
          <w:tab w:val="clear" w:pos="1134"/>
          <w:tab w:val="left" w:pos="709" w:leader="none"/>
        </w:tabs>
        <w:bidi w:val="0"/>
        <w:spacing w:before="0" w:after="0"/>
        <w:ind w:left="709" w:hanging="283"/>
        <w:jc w:val="left"/>
        <w:rPr/>
      </w:pPr>
      <w:r>
        <w:rPr/>
        <w:t xml:space="preserve">Manuscript format: native Microsoft Word </w:t>
      </w:r>
      <w:r>
        <w:rPr>
          <w:rStyle w:val="SourceText"/>
        </w:rPr>
        <w:t>.doc</w:t>
      </w:r>
      <w:r>
        <w:rPr/>
        <w:t xml:space="preserve"> using the AECE template. </w:t>
      </w:r>
    </w:p>
    <w:p>
      <w:pPr>
        <w:pStyle w:val="TextBody"/>
        <w:numPr>
          <w:ilvl w:val="0"/>
          <w:numId w:val="1"/>
        </w:numPr>
        <w:tabs>
          <w:tab w:val="clear" w:pos="1134"/>
          <w:tab w:val="left" w:pos="709" w:leader="none"/>
        </w:tabs>
        <w:bidi w:val="0"/>
        <w:spacing w:before="0" w:after="0"/>
        <w:ind w:left="709" w:hanging="283"/>
        <w:jc w:val="left"/>
        <w:rPr/>
      </w:pPr>
      <w:r>
        <w:rPr/>
        <w:t xml:space="preserve">Page count: even number of pages: 8, 10, or 12. Target 8 pages first. </w:t>
      </w:r>
    </w:p>
    <w:p>
      <w:pPr>
        <w:pStyle w:val="TextBody"/>
        <w:numPr>
          <w:ilvl w:val="0"/>
          <w:numId w:val="1"/>
        </w:numPr>
        <w:tabs>
          <w:tab w:val="clear" w:pos="1134"/>
          <w:tab w:val="left" w:pos="709" w:leader="none"/>
        </w:tabs>
        <w:bidi w:val="0"/>
        <w:spacing w:before="0" w:after="0"/>
        <w:ind w:left="709" w:hanging="283"/>
        <w:jc w:val="left"/>
        <w:rPr/>
      </w:pPr>
      <w:r>
        <w:rPr/>
        <w:t xml:space="preserve">Keywords: five keywords or phrases, alphabetically ordered. </w:t>
      </w:r>
    </w:p>
    <w:p>
      <w:pPr>
        <w:pStyle w:val="TextBody"/>
        <w:numPr>
          <w:ilvl w:val="0"/>
          <w:numId w:val="1"/>
        </w:numPr>
        <w:tabs>
          <w:tab w:val="clear" w:pos="1134"/>
          <w:tab w:val="left" w:pos="709" w:leader="none"/>
        </w:tabs>
        <w:bidi w:val="0"/>
        <w:spacing w:before="0" w:after="0"/>
        <w:ind w:left="709" w:hanging="283"/>
        <w:jc w:val="left"/>
        <w:rPr/>
      </w:pPr>
      <w:r>
        <w:rPr/>
        <w:t xml:space="preserve">Review: double-blind. Remove author names/affiliations from the submitted review copy if the AECE submission workflow requires blind files. </w:t>
      </w:r>
    </w:p>
    <w:p>
      <w:pPr>
        <w:pStyle w:val="TextBody"/>
        <w:numPr>
          <w:ilvl w:val="0"/>
          <w:numId w:val="1"/>
        </w:numPr>
        <w:tabs>
          <w:tab w:val="clear" w:pos="1134"/>
          <w:tab w:val="left" w:pos="709" w:leader="none"/>
        </w:tabs>
        <w:bidi w:val="0"/>
        <w:spacing w:before="0" w:after="0"/>
        <w:ind w:left="709" w:hanging="283"/>
        <w:jc w:val="left"/>
        <w:rPr/>
      </w:pPr>
      <w:r>
        <w:rPr/>
        <w:t xml:space="preserve">References: include permanent links, preferably DOI/CrossRef links, where available. </w:t>
      </w:r>
    </w:p>
    <w:p>
      <w:pPr>
        <w:pStyle w:val="TextBody"/>
        <w:numPr>
          <w:ilvl w:val="0"/>
          <w:numId w:val="1"/>
        </w:numPr>
        <w:tabs>
          <w:tab w:val="clear" w:pos="1134"/>
          <w:tab w:val="left" w:pos="709" w:leader="none"/>
        </w:tabs>
        <w:bidi w:val="0"/>
        <w:ind w:left="709" w:hanging="283"/>
        <w:jc w:val="left"/>
        <w:rPr/>
      </w:pPr>
      <w:r>
        <w:rPr/>
        <w:t xml:space="preserve">APC: 300 EUR for accepted papers, plus 25 EUR per page beyond 8 pages according to the current AECE author information page. </w:t>
      </w:r>
    </w:p>
    <w:p>
      <w:pPr>
        <w:pStyle w:val="Heading2"/>
        <w:bidi w:val="0"/>
        <w:jc w:val="left"/>
        <w:rPr/>
      </w:pPr>
      <w:r>
        <w:rPr/>
        <w:t>Proposed Title</w:t>
      </w:r>
    </w:p>
    <w:p>
      <w:pPr>
        <w:pStyle w:val="TextBody"/>
        <w:bidi w:val="0"/>
        <w:spacing w:before="0" w:after="283"/>
        <w:jc w:val="left"/>
        <w:rPr/>
      </w:pPr>
      <w:r>
        <w:rPr/>
        <w:t>GeoDF-Adaptive: Geometry-Based Dynamic Feature Rejection for Stereo-Inertial Visual Odometry in Dynamic Scenes</w:t>
      </w:r>
    </w:p>
    <w:p>
      <w:pPr>
        <w:pStyle w:val="Heading2"/>
        <w:bidi w:val="0"/>
        <w:jc w:val="left"/>
        <w:rPr/>
      </w:pPr>
      <w:r>
        <w:rPr/>
        <w:t>Abstract</w:t>
      </w:r>
    </w:p>
    <w:p>
      <w:pPr>
        <w:pStyle w:val="TextBody"/>
        <w:bidi w:val="0"/>
        <w:spacing w:before="0" w:after="283"/>
        <w:jc w:val="left"/>
        <w:rPr/>
      </w:pPr>
      <w:r>
        <w:rPr/>
        <w:t xml:space="preserve">Dynamic objects violate the static-scene assumption used by feature-based visual-inertial odometry. This paper presents GeoDF-Adaptive, a geometry-based front-end dynamic feature rejection method for stereo-inertial VINS. The method uses temporal epipolar consistency, a Sampson residual dual gate, scene-aware activation, auto-calibrated activation thresholding, and track-level temporal voting. Unlike semantic approaches, GeoDF-Adaptive does not require an object detector, a segmentation model, or dataset-specific training. The method was implemented in a VINS-Fusion stereo-inertial pipeline and evaluated on the original EuRoC and VIODE datasets. On EuRoC, GeoDF-Adaptive preserved static-scene accuracy and improved ATE RMSE by 2.0% to 6.2% on all five tested sequences. On VIODE, it improved ATE in 7 of 12 evaluated environment-level conditions under a +/-3% decision band, including +24.5% on </w:t>
      </w:r>
      <w:r>
        <w:rPr>
          <w:rStyle w:val="SourceText"/>
        </w:rPr>
        <w:t>city_day/3_high</w:t>
      </w:r>
      <w:r>
        <w:rPr/>
        <w:t xml:space="preserve"> and +41.3% on </w:t>
      </w:r>
      <w:r>
        <w:rPr>
          <w:rStyle w:val="SourceText"/>
        </w:rPr>
        <w:t>city_night/0_none</w:t>
      </w:r>
      <w:r>
        <w:rPr/>
        <w:t xml:space="preserve">. A feature-level evaluation using VIODE moving-vehicle segmentation masks showed that rejected features in </w:t>
      </w:r>
      <w:r>
        <w:rPr>
          <w:rStyle w:val="SourceText"/>
        </w:rPr>
        <w:t>city_day</w:t>
      </w:r>
      <w:r>
        <w:rPr/>
        <w:t xml:space="preserve"> were 8.33x to 31.72x more likely to lie on dynamic objects than random tracked features, while the static-feature false positive rate stayed below 1%. However, high dynamic-density parking-lot scenes remained a limitation because large moving regions can contaminate the fundamental matrix estimate. The module is lightweight: its measured per-frame cost averaged 0.28 ms on a CPU-only host, about 0.56% of the 20 Hz frame budget. The results support GeoDF-Adaptive as a reproducible geometry-only baseline for dynamic-scene stereo-inertial visual odometry.</w:t>
      </w:r>
    </w:p>
    <w:p>
      <w:pPr>
        <w:pStyle w:val="Heading2"/>
        <w:bidi w:val="0"/>
        <w:jc w:val="left"/>
        <w:rPr/>
      </w:pPr>
      <w:r>
        <w:rPr/>
        <w:t>Keywords</w:t>
      </w:r>
    </w:p>
    <w:p>
      <w:pPr>
        <w:pStyle w:val="TextBody"/>
        <w:bidi w:val="0"/>
        <w:spacing w:before="0" w:after="283"/>
        <w:jc w:val="left"/>
        <w:rPr/>
      </w:pPr>
      <w:r>
        <w:rPr/>
        <w:t>computer vision, dynamic feature rejection, sensor fusion, stereo-inertial odometry, visual odometry</w:t>
      </w:r>
    </w:p>
    <w:p>
      <w:pPr>
        <w:pStyle w:val="Heading2"/>
        <w:bidi w:val="0"/>
        <w:jc w:val="left"/>
        <w:rPr/>
      </w:pPr>
      <w:r>
        <w:rPr/>
        <w:t>1. Introduction</w:t>
      </w:r>
    </w:p>
    <w:p>
      <w:pPr>
        <w:pStyle w:val="TextBody"/>
        <w:bidi w:val="0"/>
        <w:spacing w:before="0" w:after="283"/>
        <w:jc w:val="left"/>
        <w:rPr/>
      </w:pPr>
      <w:r>
        <w:rPr/>
        <w:t>Visual-inertial odometry (VIO) estimates camera motion by combining visual feature observations with inertial measurements. It is a core component in mobile robots, unmanned vehicles, augmented reality, and autonomous navigation systems. Many practical VIO front-ends, including feature-based stereo-inertial pipelines, rely on the assumption that most tracked visual features belong to a static rigid scene. This assumption is frequently violated in real or simulated traffic environments where moving vehicles, pedestrians, and other dynamic objects produce image motion that is inconsistent with camera ego-motion.</w:t>
      </w:r>
    </w:p>
    <w:p>
      <w:pPr>
        <w:pStyle w:val="TextBody"/>
        <w:bidi w:val="0"/>
        <w:spacing w:before="0" w:after="283"/>
        <w:jc w:val="left"/>
        <w:rPr/>
      </w:pPr>
      <w:r>
        <w:rPr/>
        <w:t>Dynamic-scene VIO is commonly addressed by semantic segmentation, object detection, motion segmentation, robust estimation, or combinations of these techniques. Semantic methods can be effective, but they introduce model dependency, computational load, and dataset or domain assumptions. In contrast, geometry-based methods remain attractive for applied engineering systems because they are reproducible, lightweight in design, and do not require model training. However, a purely geometric dynamic-feature filter must avoid two failure modes: removing useful static features in static scenes and over-trusting a contaminated geometric model when dynamic objects dominate the image.</w:t>
      </w:r>
    </w:p>
    <w:p>
      <w:pPr>
        <w:pStyle w:val="TextBody"/>
        <w:bidi w:val="0"/>
        <w:spacing w:before="0" w:after="283"/>
        <w:jc w:val="left"/>
        <w:rPr/>
      </w:pPr>
      <w:r>
        <w:rPr/>
        <w:t>This paper investigates a geometry-only front-end filter, called GeoDF-Adaptive, for stereo-inertial VINS. The method uses temporal epipolar geometry to identify features that are inconsistent with rigid-scene motion. Unlike always-on filtering, GeoDF-Adaptive self-activates only when a smoothed outlier signal exceeds an auto-calibrated scene threshold. Track-level temporal voting is then used to reduce transient false positives caused by two-frame epipolar noise, fast rotation, or short-term low parallax.</w:t>
      </w:r>
    </w:p>
    <w:p>
      <w:pPr>
        <w:pStyle w:val="TextBody"/>
        <w:bidi w:val="0"/>
        <w:spacing w:before="0" w:after="283"/>
        <w:jc w:val="left"/>
        <w:rPr/>
      </w:pPr>
      <w:r>
        <w:rPr/>
        <w:t>The contribution of this work is not a universal state-of-the-art dynamic VIO system. Instead, it provides a focused engineering contribution: a simple geometry-only feature rejection module, integrated into a stereo-inertial VINS pipeline, and evaluated with both trajectory-level and feature-level metrics on published datasets. The feature-level evaluation is important because trajectory accuracy alone cannot reveal whether rejected points are actually located on moving objects.</w:t>
      </w:r>
    </w:p>
    <w:p>
      <w:pPr>
        <w:pStyle w:val="TextBody"/>
        <w:bidi w:val="0"/>
        <w:spacing w:before="0" w:after="283"/>
        <w:jc w:val="left"/>
        <w:rPr/>
      </w:pPr>
      <w:r>
        <w:rPr/>
        <w:t>The main contributions are:</w:t>
      </w:r>
    </w:p>
    <w:p>
      <w:pPr>
        <w:pStyle w:val="TextBody"/>
        <w:numPr>
          <w:ilvl w:val="0"/>
          <w:numId w:val="2"/>
        </w:numPr>
        <w:tabs>
          <w:tab w:val="clear" w:pos="1134"/>
          <w:tab w:val="left" w:pos="709" w:leader="none"/>
        </w:tabs>
        <w:bidi w:val="0"/>
        <w:spacing w:before="0" w:after="0"/>
        <w:ind w:left="709" w:hanging="283"/>
        <w:jc w:val="left"/>
        <w:rPr/>
      </w:pPr>
      <w:r>
        <w:rPr/>
        <w:t xml:space="preserve">A geometry-only front-end dynamic feature rejection method for stereo-inertial VINS using temporal fundamental matrix estimation and Sampson residual dual gating. </w:t>
      </w:r>
    </w:p>
    <w:p>
      <w:pPr>
        <w:pStyle w:val="TextBody"/>
        <w:numPr>
          <w:ilvl w:val="0"/>
          <w:numId w:val="2"/>
        </w:numPr>
        <w:tabs>
          <w:tab w:val="clear" w:pos="1134"/>
          <w:tab w:val="left" w:pos="709" w:leader="none"/>
        </w:tabs>
        <w:bidi w:val="0"/>
        <w:spacing w:before="0" w:after="0"/>
        <w:ind w:left="709" w:hanging="283"/>
        <w:jc w:val="left"/>
        <w:rPr/>
      </w:pPr>
      <w:r>
        <w:rPr/>
        <w:t xml:space="preserve">A scene-aware activation mechanism with an auto-calibrated </w:t>
      </w:r>
      <w:r>
        <w:rPr>
          <w:rStyle w:val="SourceText"/>
        </w:rPr>
        <w:t>rho_on</w:t>
      </w:r>
      <w:r>
        <w:rPr/>
        <w:t xml:space="preserve"> threshold derived from the running epipolar outlier floor. </w:t>
      </w:r>
    </w:p>
    <w:p>
      <w:pPr>
        <w:pStyle w:val="TextBody"/>
        <w:numPr>
          <w:ilvl w:val="0"/>
          <w:numId w:val="2"/>
        </w:numPr>
        <w:tabs>
          <w:tab w:val="clear" w:pos="1134"/>
          <w:tab w:val="left" w:pos="709" w:leader="none"/>
        </w:tabs>
        <w:bidi w:val="0"/>
        <w:spacing w:before="0" w:after="0"/>
        <w:ind w:left="709" w:hanging="283"/>
        <w:jc w:val="left"/>
        <w:rPr/>
      </w:pPr>
      <w:r>
        <w:rPr/>
        <w:t xml:space="preserve">A track-level temporal voting strategy that suppresses transient false positives before hard feature deletion. </w:t>
      </w:r>
    </w:p>
    <w:p>
      <w:pPr>
        <w:pStyle w:val="TextBody"/>
        <w:numPr>
          <w:ilvl w:val="0"/>
          <w:numId w:val="2"/>
        </w:numPr>
        <w:tabs>
          <w:tab w:val="clear" w:pos="1134"/>
          <w:tab w:val="left" w:pos="709" w:leader="none"/>
        </w:tabs>
        <w:bidi w:val="0"/>
        <w:spacing w:before="0" w:after="0"/>
        <w:ind w:left="709" w:hanging="283"/>
        <w:jc w:val="left"/>
        <w:rPr/>
      </w:pPr>
      <w:r>
        <w:rPr/>
        <w:t xml:space="preserve">A reproducible evaluation on EuRoC and VIODE, including ATE/RPE trajectory metrics and feature-level detection metrics against VIODE dynamic segmentation masks. </w:t>
      </w:r>
    </w:p>
    <w:p>
      <w:pPr>
        <w:pStyle w:val="TextBody"/>
        <w:numPr>
          <w:ilvl w:val="0"/>
          <w:numId w:val="2"/>
        </w:numPr>
        <w:tabs>
          <w:tab w:val="clear" w:pos="1134"/>
          <w:tab w:val="left" w:pos="709" w:leader="none"/>
        </w:tabs>
        <w:bidi w:val="0"/>
        <w:ind w:left="709" w:hanging="283"/>
        <w:jc w:val="left"/>
        <w:rPr/>
      </w:pPr>
      <w:r>
        <w:rPr/>
        <w:t xml:space="preserve">A limitation analysis showing that high dynamic-density scenes can still degrade the method when the fundamental matrix estimate is contaminated by large moving regions. </w:t>
      </w:r>
    </w:p>
    <w:p>
      <w:pPr>
        <w:pStyle w:val="Heading2"/>
        <w:bidi w:val="0"/>
        <w:jc w:val="left"/>
        <w:rPr/>
      </w:pPr>
      <w:r>
        <w:rPr/>
        <w:t>2. Related Work</w:t>
      </w:r>
    </w:p>
    <w:p>
      <w:pPr>
        <w:pStyle w:val="TextBody"/>
        <w:bidi w:val="0"/>
        <w:spacing w:before="0" w:after="283"/>
        <w:jc w:val="left"/>
        <w:rPr/>
      </w:pPr>
      <w:r>
        <w:rPr/>
        <w:t>Feature-based VIO systems such as VINS-Fusion estimate camera motion by tracking image features and optimizing visual-inertial residuals. These systems are efficient and accurate in static or mostly static scenes, but they can be affected by dynamic features because those features violate the rigid-scene model used by geometric constraints and visual bundle adjustment.</w:t>
      </w:r>
    </w:p>
    <w:p>
      <w:pPr>
        <w:pStyle w:val="TextBody"/>
        <w:bidi w:val="0"/>
        <w:spacing w:before="0" w:after="283"/>
        <w:jc w:val="left"/>
        <w:rPr/>
      </w:pPr>
      <w:r>
        <w:rPr/>
        <w:t>Classical robust estimation methods, including RANSAC and epipolar outlier rejection, are often used to remove inconsistent correspondences. These approaches are attractive because they are model-free and do not require semantic labels. Nevertheless, they usually operate as generic outlier filters rather than as adaptive dynamic-object filters. If the rejection threshold is too low, useful static features are removed; if it is too high, moving-object features remain in the estimator.</w:t>
      </w:r>
    </w:p>
    <w:p>
      <w:pPr>
        <w:pStyle w:val="TextBody"/>
        <w:bidi w:val="0"/>
        <w:spacing w:before="0" w:after="283"/>
        <w:jc w:val="left"/>
        <w:rPr/>
      </w:pPr>
      <w:r>
        <w:rPr/>
        <w:t>Semantic dynamic SLAM and VIO systems use object detectors or segmentation networks to identify potentially dynamic regions. Methods such as DynaSLAM and dynamic-object-aware VIO pipelines can remove features on cars or people more directly than pure geometry. Their advantage is stronger object-level reasoning, while their drawback is dependence on segmentation quality, computational resources, and category definitions. They may also fail on unseen dynamic classes or in image domains different from the training data.</w:t>
      </w:r>
    </w:p>
    <w:p>
      <w:pPr>
        <w:pStyle w:val="TextBody"/>
        <w:bidi w:val="0"/>
        <w:spacing w:before="0" w:after="283"/>
        <w:jc w:val="left"/>
        <w:rPr/>
      </w:pPr>
      <w:r>
        <w:rPr/>
        <w:t>GeoDF-Adaptive is positioned between generic robust estimation and semantic dynamic filtering. It keeps the implementation in the VIO front-end and uses only geometric consistency. Its goal is not to replace semantic filtering in all cases, but to provide a reproducible engineering baseline for dynamic feature rejection when training-free operation and easy integration are preferred.</w:t>
      </w:r>
    </w:p>
    <w:p>
      <w:pPr>
        <w:pStyle w:val="Heading3"/>
        <w:bidi w:val="0"/>
        <w:jc w:val="left"/>
        <w:rPr/>
      </w:pPr>
      <w:r>
        <w:rPr/>
        <w:t>Table 1. Positioning Against Related Approaches</w:t>
      </w:r>
    </w:p>
    <w:tbl>
      <w:tblPr>
        <w:tblW w:w="10512" w:type="dxa"/>
        <w:jc w:val="left"/>
        <w:tblInd w:w="0" w:type="dxa"/>
        <w:tblLayout w:type="fixed"/>
        <w:tblCellMar>
          <w:top w:w="28" w:type="dxa"/>
          <w:left w:w="28" w:type="dxa"/>
          <w:bottom w:w="28" w:type="dxa"/>
          <w:right w:w="28" w:type="dxa"/>
        </w:tblCellMar>
      </w:tblPr>
      <w:tblGrid>
        <w:gridCol w:w="3502"/>
        <w:gridCol w:w="1351"/>
        <w:gridCol w:w="1670"/>
        <w:gridCol w:w="1363"/>
        <w:gridCol w:w="2626"/>
      </w:tblGrid>
      <w:tr>
        <w:trPr>
          <w:tblHeader w:val="true"/>
        </w:trPr>
        <w:tc>
          <w:tcPr>
            <w:tcW w:w="3502" w:type="dxa"/>
            <w:tcBorders/>
            <w:vAlign w:val="center"/>
          </w:tcPr>
          <w:p>
            <w:pPr>
              <w:pStyle w:val="TableHeading"/>
              <w:suppressLineNumbers/>
              <w:shd w:fill="E8E8E8" w:val="clear"/>
              <w:bidi w:val="0"/>
              <w:spacing w:before="0" w:after="283"/>
              <w:jc w:val="center"/>
              <w:rPr/>
            </w:pPr>
            <w:r>
              <w:rPr/>
              <w:t>Approach family</w:t>
            </w:r>
          </w:p>
        </w:tc>
        <w:tc>
          <w:tcPr>
            <w:tcW w:w="1351" w:type="dxa"/>
            <w:tcBorders/>
            <w:vAlign w:val="center"/>
          </w:tcPr>
          <w:p>
            <w:pPr>
              <w:pStyle w:val="TableHeading"/>
              <w:bidi w:val="0"/>
              <w:spacing w:before="0" w:after="283"/>
              <w:jc w:val="right"/>
              <w:rPr/>
            </w:pPr>
            <w:r>
              <w:rPr/>
              <w:t>Uses semantics</w:t>
            </w:r>
          </w:p>
        </w:tc>
        <w:tc>
          <w:tcPr>
            <w:tcW w:w="1670" w:type="dxa"/>
            <w:tcBorders/>
            <w:vAlign w:val="center"/>
          </w:tcPr>
          <w:p>
            <w:pPr>
              <w:pStyle w:val="TableHeading"/>
              <w:bidi w:val="0"/>
              <w:spacing w:before="0" w:after="283"/>
              <w:jc w:val="right"/>
              <w:rPr/>
            </w:pPr>
            <w:r>
              <w:rPr/>
              <w:t>Needs training/model</w:t>
            </w:r>
          </w:p>
        </w:tc>
        <w:tc>
          <w:tcPr>
            <w:tcW w:w="1363" w:type="dxa"/>
            <w:tcBorders/>
            <w:vAlign w:val="center"/>
          </w:tcPr>
          <w:p>
            <w:pPr>
              <w:pStyle w:val="TableHeading"/>
              <w:bidi w:val="0"/>
              <w:spacing w:before="0" w:after="283"/>
              <w:jc w:val="right"/>
              <w:rPr/>
            </w:pPr>
            <w:r>
              <w:rPr/>
              <w:t>Front-end only</w:t>
            </w:r>
          </w:p>
        </w:tc>
        <w:tc>
          <w:tcPr>
            <w:tcW w:w="2626" w:type="dxa"/>
            <w:tcBorders/>
            <w:vAlign w:val="center"/>
          </w:tcPr>
          <w:p>
            <w:pPr>
              <w:pStyle w:val="TableHeading"/>
              <w:suppressLineNumbers/>
              <w:shd w:fill="E8E8E8" w:val="clear"/>
              <w:bidi w:val="0"/>
              <w:spacing w:before="0" w:after="283"/>
              <w:jc w:val="center"/>
              <w:rPr/>
            </w:pPr>
            <w:r>
              <w:rPr/>
              <w:t>Main limitation</w:t>
            </w:r>
          </w:p>
        </w:tc>
      </w:tr>
      <w:tr>
        <w:trPr/>
        <w:tc>
          <w:tcPr>
            <w:tcW w:w="3502" w:type="dxa"/>
            <w:tcBorders/>
            <w:vAlign w:val="center"/>
          </w:tcPr>
          <w:p>
            <w:pPr>
              <w:pStyle w:val="TableContents"/>
              <w:bidi w:val="0"/>
              <w:spacing w:before="0" w:after="283"/>
              <w:jc w:val="left"/>
              <w:rPr/>
            </w:pPr>
            <w:r>
              <w:rPr/>
              <w:t>Standard VINS-Fusion [1], [2]</w:t>
            </w:r>
          </w:p>
        </w:tc>
        <w:tc>
          <w:tcPr>
            <w:tcW w:w="1351" w:type="dxa"/>
            <w:tcBorders/>
            <w:vAlign w:val="center"/>
          </w:tcPr>
          <w:p>
            <w:pPr>
              <w:pStyle w:val="TableContents"/>
              <w:bidi w:val="0"/>
              <w:spacing w:before="0" w:after="283"/>
              <w:jc w:val="right"/>
              <w:rPr/>
            </w:pPr>
            <w:r>
              <w:rPr/>
              <w:t>no</w:t>
            </w:r>
          </w:p>
        </w:tc>
        <w:tc>
          <w:tcPr>
            <w:tcW w:w="1670" w:type="dxa"/>
            <w:tcBorders/>
            <w:vAlign w:val="center"/>
          </w:tcPr>
          <w:p>
            <w:pPr>
              <w:pStyle w:val="TableContents"/>
              <w:bidi w:val="0"/>
              <w:spacing w:before="0" w:after="283"/>
              <w:jc w:val="right"/>
              <w:rPr/>
            </w:pPr>
            <w:r>
              <w:rPr/>
              <w:t>no</w:t>
            </w:r>
          </w:p>
        </w:tc>
        <w:tc>
          <w:tcPr>
            <w:tcW w:w="1363" w:type="dxa"/>
            <w:tcBorders/>
            <w:vAlign w:val="center"/>
          </w:tcPr>
          <w:p>
            <w:pPr>
              <w:pStyle w:val="TableContents"/>
              <w:bidi w:val="0"/>
              <w:spacing w:before="0" w:after="283"/>
              <w:jc w:val="right"/>
              <w:rPr/>
            </w:pPr>
            <w:r>
              <w:rPr/>
              <w:t>yes</w:t>
            </w:r>
          </w:p>
        </w:tc>
        <w:tc>
          <w:tcPr>
            <w:tcW w:w="2626" w:type="dxa"/>
            <w:tcBorders/>
            <w:vAlign w:val="center"/>
          </w:tcPr>
          <w:p>
            <w:pPr>
              <w:pStyle w:val="TableContents"/>
              <w:bidi w:val="0"/>
              <w:spacing w:before="0" w:after="283"/>
              <w:jc w:val="left"/>
              <w:rPr/>
            </w:pPr>
            <w:r>
              <w:rPr/>
              <w:t>assumes mostly static scene</w:t>
            </w:r>
          </w:p>
        </w:tc>
      </w:tr>
      <w:tr>
        <w:trPr/>
        <w:tc>
          <w:tcPr>
            <w:tcW w:w="3502" w:type="dxa"/>
            <w:tcBorders/>
            <w:vAlign w:val="center"/>
          </w:tcPr>
          <w:p>
            <w:pPr>
              <w:pStyle w:val="TableContents"/>
              <w:bidi w:val="0"/>
              <w:spacing w:before="0" w:after="283"/>
              <w:jc w:val="left"/>
              <w:rPr/>
            </w:pPr>
            <w:r>
              <w:rPr/>
              <w:t>Generic RANSAC outlier rejection [7], [8]</w:t>
            </w:r>
          </w:p>
        </w:tc>
        <w:tc>
          <w:tcPr>
            <w:tcW w:w="1351" w:type="dxa"/>
            <w:tcBorders/>
            <w:vAlign w:val="center"/>
          </w:tcPr>
          <w:p>
            <w:pPr>
              <w:pStyle w:val="TableContents"/>
              <w:bidi w:val="0"/>
              <w:spacing w:before="0" w:after="283"/>
              <w:jc w:val="right"/>
              <w:rPr/>
            </w:pPr>
            <w:r>
              <w:rPr/>
              <w:t>no</w:t>
            </w:r>
          </w:p>
        </w:tc>
        <w:tc>
          <w:tcPr>
            <w:tcW w:w="1670" w:type="dxa"/>
            <w:tcBorders/>
            <w:vAlign w:val="center"/>
          </w:tcPr>
          <w:p>
            <w:pPr>
              <w:pStyle w:val="TableContents"/>
              <w:bidi w:val="0"/>
              <w:spacing w:before="0" w:after="283"/>
              <w:jc w:val="right"/>
              <w:rPr/>
            </w:pPr>
            <w:r>
              <w:rPr/>
              <w:t>no</w:t>
            </w:r>
          </w:p>
        </w:tc>
        <w:tc>
          <w:tcPr>
            <w:tcW w:w="1363" w:type="dxa"/>
            <w:tcBorders/>
            <w:vAlign w:val="center"/>
          </w:tcPr>
          <w:p>
            <w:pPr>
              <w:pStyle w:val="TableContents"/>
              <w:bidi w:val="0"/>
              <w:spacing w:before="0" w:after="283"/>
              <w:jc w:val="right"/>
              <w:rPr/>
            </w:pPr>
            <w:r>
              <w:rPr/>
              <w:t>yes</w:t>
            </w:r>
          </w:p>
        </w:tc>
        <w:tc>
          <w:tcPr>
            <w:tcW w:w="2626" w:type="dxa"/>
            <w:tcBorders/>
            <w:vAlign w:val="center"/>
          </w:tcPr>
          <w:p>
            <w:pPr>
              <w:pStyle w:val="TableContents"/>
              <w:bidi w:val="0"/>
              <w:spacing w:before="0" w:after="283"/>
              <w:jc w:val="left"/>
              <w:rPr/>
            </w:pPr>
            <w:r>
              <w:rPr/>
              <w:t>not scene-aware</w:t>
            </w:r>
          </w:p>
        </w:tc>
      </w:tr>
      <w:tr>
        <w:trPr/>
        <w:tc>
          <w:tcPr>
            <w:tcW w:w="3502" w:type="dxa"/>
            <w:tcBorders/>
            <w:vAlign w:val="center"/>
          </w:tcPr>
          <w:p>
            <w:pPr>
              <w:pStyle w:val="TableContents"/>
              <w:bidi w:val="0"/>
              <w:spacing w:before="0" w:after="283"/>
              <w:jc w:val="left"/>
              <w:rPr/>
            </w:pPr>
            <w:r>
              <w:rPr/>
              <w:t>Robust back-end dynamic VINS (DynaVINS) [6]</w:t>
            </w:r>
          </w:p>
        </w:tc>
        <w:tc>
          <w:tcPr>
            <w:tcW w:w="1351" w:type="dxa"/>
            <w:tcBorders/>
            <w:vAlign w:val="center"/>
          </w:tcPr>
          <w:p>
            <w:pPr>
              <w:pStyle w:val="TableContents"/>
              <w:bidi w:val="0"/>
              <w:spacing w:before="0" w:after="283"/>
              <w:jc w:val="right"/>
              <w:rPr/>
            </w:pPr>
            <w:r>
              <w:rPr/>
              <w:t>no</w:t>
            </w:r>
          </w:p>
        </w:tc>
        <w:tc>
          <w:tcPr>
            <w:tcW w:w="1670" w:type="dxa"/>
            <w:tcBorders/>
            <w:vAlign w:val="center"/>
          </w:tcPr>
          <w:p>
            <w:pPr>
              <w:pStyle w:val="TableContents"/>
              <w:bidi w:val="0"/>
              <w:spacing w:before="0" w:after="283"/>
              <w:jc w:val="right"/>
              <w:rPr/>
            </w:pPr>
            <w:r>
              <w:rPr/>
              <w:t>no</w:t>
            </w:r>
          </w:p>
        </w:tc>
        <w:tc>
          <w:tcPr>
            <w:tcW w:w="1363" w:type="dxa"/>
            <w:tcBorders/>
            <w:vAlign w:val="center"/>
          </w:tcPr>
          <w:p>
            <w:pPr>
              <w:pStyle w:val="TableContents"/>
              <w:bidi w:val="0"/>
              <w:spacing w:before="0" w:after="283"/>
              <w:jc w:val="right"/>
              <w:rPr/>
            </w:pPr>
            <w:r>
              <w:rPr/>
              <w:t>no</w:t>
            </w:r>
          </w:p>
        </w:tc>
        <w:tc>
          <w:tcPr>
            <w:tcW w:w="2626" w:type="dxa"/>
            <w:tcBorders/>
            <w:vAlign w:val="center"/>
          </w:tcPr>
          <w:p>
            <w:pPr>
              <w:pStyle w:val="TableContents"/>
              <w:bidi w:val="0"/>
              <w:spacing w:before="0" w:after="283"/>
              <w:jc w:val="left"/>
              <w:rPr/>
            </w:pPr>
            <w:r>
              <w:rPr/>
              <w:t>modifies back-end optimization</w:t>
            </w:r>
          </w:p>
        </w:tc>
      </w:tr>
      <w:tr>
        <w:trPr/>
        <w:tc>
          <w:tcPr>
            <w:tcW w:w="3502" w:type="dxa"/>
            <w:tcBorders/>
            <w:vAlign w:val="center"/>
          </w:tcPr>
          <w:p>
            <w:pPr>
              <w:pStyle w:val="TableContents"/>
              <w:bidi w:val="0"/>
              <w:spacing w:before="0" w:after="283"/>
              <w:jc w:val="left"/>
              <w:rPr/>
            </w:pPr>
            <w:r>
              <w:rPr/>
              <w:t>Semantic dynamic SLAM/VIO (DynaSLAM) [5]</w:t>
            </w:r>
          </w:p>
        </w:tc>
        <w:tc>
          <w:tcPr>
            <w:tcW w:w="1351" w:type="dxa"/>
            <w:tcBorders/>
            <w:vAlign w:val="center"/>
          </w:tcPr>
          <w:p>
            <w:pPr>
              <w:pStyle w:val="TableContents"/>
              <w:bidi w:val="0"/>
              <w:spacing w:before="0" w:after="283"/>
              <w:jc w:val="right"/>
              <w:rPr/>
            </w:pPr>
            <w:r>
              <w:rPr/>
              <w:t>yes</w:t>
            </w:r>
          </w:p>
        </w:tc>
        <w:tc>
          <w:tcPr>
            <w:tcW w:w="1670" w:type="dxa"/>
            <w:tcBorders/>
            <w:vAlign w:val="center"/>
          </w:tcPr>
          <w:p>
            <w:pPr>
              <w:pStyle w:val="TableContents"/>
              <w:bidi w:val="0"/>
              <w:spacing w:before="0" w:after="283"/>
              <w:jc w:val="right"/>
              <w:rPr/>
            </w:pPr>
            <w:r>
              <w:rPr/>
              <w:t>yes</w:t>
            </w:r>
          </w:p>
        </w:tc>
        <w:tc>
          <w:tcPr>
            <w:tcW w:w="1363" w:type="dxa"/>
            <w:tcBorders/>
            <w:vAlign w:val="center"/>
          </w:tcPr>
          <w:p>
            <w:pPr>
              <w:pStyle w:val="TableContents"/>
              <w:bidi w:val="0"/>
              <w:spacing w:before="0" w:after="283"/>
              <w:jc w:val="right"/>
              <w:rPr/>
            </w:pPr>
            <w:r>
              <w:rPr/>
              <w:t>varies</w:t>
            </w:r>
          </w:p>
        </w:tc>
        <w:tc>
          <w:tcPr>
            <w:tcW w:w="2626" w:type="dxa"/>
            <w:tcBorders/>
            <w:vAlign w:val="center"/>
          </w:tcPr>
          <w:p>
            <w:pPr>
              <w:pStyle w:val="TableContents"/>
              <w:bidi w:val="0"/>
              <w:spacing w:before="0" w:after="283"/>
              <w:jc w:val="left"/>
              <w:rPr/>
            </w:pPr>
            <w:r>
              <w:rPr/>
              <w:t>detector/segmentation dependency</w:t>
            </w:r>
          </w:p>
        </w:tc>
      </w:tr>
      <w:tr>
        <w:trPr/>
        <w:tc>
          <w:tcPr>
            <w:tcW w:w="3502" w:type="dxa"/>
            <w:tcBorders/>
            <w:vAlign w:val="center"/>
          </w:tcPr>
          <w:p>
            <w:pPr>
              <w:pStyle w:val="TableContents"/>
              <w:bidi w:val="0"/>
              <w:spacing w:before="0" w:after="283"/>
              <w:jc w:val="left"/>
              <w:rPr/>
            </w:pPr>
            <w:r>
              <w:rPr/>
              <w:t>GeoDF-Adaptive (this work)</w:t>
            </w:r>
          </w:p>
        </w:tc>
        <w:tc>
          <w:tcPr>
            <w:tcW w:w="1351" w:type="dxa"/>
            <w:tcBorders/>
            <w:vAlign w:val="center"/>
          </w:tcPr>
          <w:p>
            <w:pPr>
              <w:pStyle w:val="TableContents"/>
              <w:bidi w:val="0"/>
              <w:spacing w:before="0" w:after="283"/>
              <w:jc w:val="right"/>
              <w:rPr/>
            </w:pPr>
            <w:r>
              <w:rPr/>
              <w:t>no</w:t>
            </w:r>
          </w:p>
        </w:tc>
        <w:tc>
          <w:tcPr>
            <w:tcW w:w="1670" w:type="dxa"/>
            <w:tcBorders/>
            <w:vAlign w:val="center"/>
          </w:tcPr>
          <w:p>
            <w:pPr>
              <w:pStyle w:val="TableContents"/>
              <w:bidi w:val="0"/>
              <w:spacing w:before="0" w:after="283"/>
              <w:jc w:val="right"/>
              <w:rPr/>
            </w:pPr>
            <w:r>
              <w:rPr/>
              <w:t>no</w:t>
            </w:r>
          </w:p>
        </w:tc>
        <w:tc>
          <w:tcPr>
            <w:tcW w:w="1363" w:type="dxa"/>
            <w:tcBorders/>
            <w:vAlign w:val="center"/>
          </w:tcPr>
          <w:p>
            <w:pPr>
              <w:pStyle w:val="TableContents"/>
              <w:bidi w:val="0"/>
              <w:spacing w:before="0" w:after="283"/>
              <w:jc w:val="right"/>
              <w:rPr/>
            </w:pPr>
            <w:r>
              <w:rPr/>
              <w:t>yes</w:t>
            </w:r>
          </w:p>
        </w:tc>
        <w:tc>
          <w:tcPr>
            <w:tcW w:w="2626" w:type="dxa"/>
            <w:tcBorders/>
            <w:vAlign w:val="center"/>
          </w:tcPr>
          <w:p>
            <w:pPr>
              <w:pStyle w:val="TableContents"/>
              <w:bidi w:val="0"/>
              <w:spacing w:before="0" w:after="283"/>
              <w:jc w:val="left"/>
              <w:rPr/>
            </w:pPr>
            <w:r>
              <w:rPr/>
              <w:t>high dynamic density can corrupt F</w:t>
            </w:r>
          </w:p>
        </w:tc>
      </w:tr>
    </w:tbl>
    <w:p>
      <w:pPr>
        <w:pStyle w:val="TextBody"/>
        <w:bidi w:val="0"/>
        <w:spacing w:before="0" w:after="283"/>
        <w:jc w:val="left"/>
        <w:rPr/>
      </w:pPr>
      <w:r>
        <w:rPr/>
        <w:t>Standard feature-based VINS [1], [2] assumes a mostly static scene. Generic robust estimation such as RANSAC [7] with epipolar/Sampson residuals [8] removes inconsistent correspondences but is not scene-aware. Back-end methods such as DynaVINS [6] add robustness inside the optimization, while semantic methods such as DynaSLAM [5] rely on a detector or segmentation network. GeoDF-Adaptive stays training-free and front-end only, trading object-level reasoning for reproducibility and easy integration.</w:t>
      </w:r>
    </w:p>
    <w:p>
      <w:pPr>
        <w:pStyle w:val="Heading2"/>
        <w:bidi w:val="0"/>
        <w:jc w:val="left"/>
        <w:rPr/>
      </w:pPr>
      <w:r>
        <w:rPr/>
        <w:t>3. Proposed Method</w:t>
      </w:r>
    </w:p>
    <w:p>
      <w:pPr>
        <w:pStyle w:val="TextBody"/>
        <w:bidi w:val="0"/>
        <w:spacing w:before="0" w:after="283"/>
        <w:jc w:val="left"/>
        <w:rPr/>
      </w:pPr>
      <w:r>
        <w:rPr/>
        <w:t>GeoDF-Adaptive is inserted in the feature-tracking front-end after temporal KLT tracking and before feature masking and new feature detection [10]. It operates on features that have been tracked between two consecutive frames. Figure 1 shows where the module sits in the pipeline and its internal steps (a)-(f); only this module is added and the stereo-inertial back-end is unmodified.</w:t>
      </w:r>
    </w:p>
    <w:p>
      <w:pPr>
        <w:pStyle w:val="TextBody"/>
        <w:bidi w:val="0"/>
        <w:spacing w:before="0" w:after="283"/>
        <w:jc w:val="left"/>
        <w:rPr/>
      </w:pPr>
      <w:r>
        <w:rPr/>
        <w:drawing>
          <wp:inline distT="0" distB="0" distL="0" distR="0">
            <wp:extent cx="6675120" cy="4572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675120" cy="4572000"/>
                    </a:xfrm>
                    <a:prstGeom prst="rect">
                      <a:avLst/>
                    </a:prstGeom>
                  </pic:spPr>
                </pic:pic>
              </a:graphicData>
            </a:graphic>
          </wp:inline>
        </w:drawing>
      </w:r>
    </w:p>
    <w:p>
      <w:pPr>
        <w:pStyle w:val="TextBody"/>
        <w:bidi w:val="0"/>
        <w:spacing w:before="0" w:after="283"/>
        <w:jc w:val="left"/>
        <w:rPr/>
      </w:pPr>
      <w:r>
        <w:rPr>
          <w:rStyle w:val="StrongEmphasis"/>
        </w:rPr>
        <w:t>Figure 1.</w:t>
      </w:r>
      <w:r>
        <w:rPr/>
        <w:t xml:space="preserve"> GeoDF-Adaptive front-end pipeline and internal steps (a)-(f).</w:t>
      </w:r>
    </w:p>
    <w:p>
      <w:pPr>
        <w:pStyle w:val="Heading3"/>
        <w:bidi w:val="0"/>
        <w:jc w:val="left"/>
        <w:rPr/>
      </w:pPr>
      <w:r>
        <w:rPr/>
        <w:t>3.1 Temporal Epipolar Consistency</w:t>
      </w:r>
    </w:p>
    <w:p>
      <w:pPr>
        <w:pStyle w:val="TextBody"/>
        <w:bidi w:val="0"/>
        <w:spacing w:before="0" w:after="283"/>
        <w:jc w:val="left"/>
        <w:rPr/>
      </w:pPr>
      <w:r>
        <w:rPr/>
        <w:t xml:space="preserve">For a tracked feature correspondence between frame </w:t>
      </w:r>
      <w:r>
        <w:rPr>
          <w:rStyle w:val="SourceText"/>
        </w:rPr>
        <w:t>t-1</w:t>
      </w:r>
      <w:r>
        <w:rPr/>
        <w:t xml:space="preserve"> and frame </w:t>
      </w:r>
      <w:r>
        <w:rPr>
          <w:rStyle w:val="SourceText"/>
        </w:rPr>
        <w:t>t</w:t>
      </w:r>
      <w:r>
        <w:rPr/>
        <w:t xml:space="preserve">, the left-camera image points are lifted to the normalized camera plane and mapped to the pseudo-pixel space used by the VINS front-end. A fundamental matrix </w:t>
      </w:r>
      <w:r>
        <w:rPr>
          <w:rStyle w:val="SourceText"/>
        </w:rPr>
        <w:t>F</w:t>
      </w:r>
      <w:r>
        <w:rPr/>
        <w:t xml:space="preserve"> is estimated using RANSAC. For each tracked feature, the Sampson residual is computed as</w:t>
      </w:r>
    </w:p>
    <w:p>
      <w:pPr>
        <w:pStyle w:val="PreformattedText"/>
        <w:pBdr/>
        <w:shd w:fill="F4F4F4" w:val="clear"/>
        <w:bidi w:val="0"/>
        <w:spacing w:before="0" w:after="0"/>
        <w:jc w:val="left"/>
        <w:rPr/>
      </w:pPr>
      <w:r>
        <w:rPr>
          <w:rStyle w:val="SourceText"/>
        </w:rPr>
        <w:t>e_i = ((x_i^T F x'_i)^2) /</w:t>
      </w:r>
    </w:p>
    <w:p>
      <w:pPr>
        <w:pStyle w:val="PreformattedText"/>
        <w:bidi w:val="0"/>
        <w:spacing w:before="0" w:after="283"/>
        <w:jc w:val="left"/>
        <w:rPr/>
      </w:pPr>
      <w:r>
        <w:rPr>
          <w:rStyle w:val="SourceText"/>
        </w:rPr>
        <w:t xml:space="preserve">      </w:t>
      </w:r>
      <w:r>
        <w:rPr>
          <w:rStyle w:val="SourceText"/>
        </w:rPr>
        <w:t>((F x'_i)_1^2 + (F x'_i)_2^2 + (F^T x_i)_1^2 + (F^T x_i)_2^2)</w:t>
      </w:r>
    </w:p>
    <w:p>
      <w:pPr>
        <w:pStyle w:val="TextBody"/>
        <w:bidi w:val="0"/>
        <w:spacing w:before="0" w:after="283"/>
        <w:jc w:val="left"/>
        <w:rPr/>
      </w:pPr>
      <w:r>
        <w:rPr/>
        <w:t xml:space="preserve">where </w:t>
      </w:r>
      <w:r>
        <w:rPr>
          <w:rStyle w:val="SourceText"/>
        </w:rPr>
        <w:t>x_i</w:t>
      </w:r>
      <w:r>
        <w:rPr/>
        <w:t xml:space="preserve"> and </w:t>
      </w:r>
      <w:r>
        <w:rPr>
          <w:rStyle w:val="SourceText"/>
        </w:rPr>
        <w:t>x'_i</w:t>
      </w:r>
      <w:r>
        <w:rPr/>
        <w:t xml:space="preserve"> are the current and previous homogeneous feature coordinates. A feature is considered a dynamic candidate only when it satisfies both conditions: it is a RANSAC outlier and its Sampson residual is above the configured threshold. This dual gate is used to avoid deleting features due to a single weak signal.</w:t>
      </w:r>
    </w:p>
    <w:p>
      <w:pPr>
        <w:pStyle w:val="Heading3"/>
        <w:bidi w:val="0"/>
        <w:jc w:val="left"/>
        <w:rPr/>
      </w:pPr>
      <w:r>
        <w:rPr/>
        <w:t>3.2 Scene-Aware Activation</w:t>
      </w:r>
    </w:p>
    <w:p>
      <w:pPr>
        <w:pStyle w:val="TextBody"/>
        <w:bidi w:val="0"/>
        <w:spacing w:before="0" w:after="283"/>
        <w:jc w:val="left"/>
        <w:rPr/>
      </w:pPr>
      <w:r>
        <w:rPr/>
        <w:t xml:space="preserve">Always-on rejection can damage static or low-dynamic scenes. Therefore, GeoDF-Adaptive maintains an exponential moving average of the frame outlier ratio. The rejection module is armed only when this signal exceeds a threshold </w:t>
      </w:r>
      <w:r>
        <w:rPr>
          <w:rStyle w:val="SourceText"/>
        </w:rPr>
        <w:t>rho_on</w:t>
      </w:r>
      <w:r>
        <w:rPr/>
        <w:t>. Instead of using a fixed threshold, the proposed method estimates a running outlier floor for the current scene and computes</w:t>
      </w:r>
    </w:p>
    <w:p>
      <w:pPr>
        <w:pStyle w:val="PreformattedText"/>
        <w:bidi w:val="0"/>
        <w:spacing w:before="0" w:after="283"/>
        <w:jc w:val="left"/>
        <w:rPr/>
      </w:pPr>
      <w:r>
        <w:rPr>
          <w:rStyle w:val="SourceText"/>
        </w:rPr>
        <w:t>rho_on = clamp(floor * 1.8 + 0.05, 0.10, 0.40)</w:t>
      </w:r>
    </w:p>
    <w:p>
      <w:pPr>
        <w:pStyle w:val="TextBody"/>
        <w:bidi w:val="0"/>
        <w:spacing w:before="0" w:after="283"/>
        <w:jc w:val="left"/>
        <w:rPr/>
      </w:pPr>
      <w:r>
        <w:rPr/>
        <w:t>The floor uses asymmetric smoothing: it adapts down faster when the observed outlier ratio decreases and increases slowly when the ratio rises. This prevents short dynamic bursts from inflating the static floor while allowing high-noise scenes to use a more conservative activation threshold.</w:t>
      </w:r>
    </w:p>
    <w:p>
      <w:pPr>
        <w:pStyle w:val="Heading3"/>
        <w:bidi w:val="0"/>
        <w:jc w:val="left"/>
        <w:rPr/>
      </w:pPr>
      <w:r>
        <w:rPr/>
        <w:t>3.3 Track-Level Temporal Voting</w:t>
      </w:r>
    </w:p>
    <w:p>
      <w:pPr>
        <w:pStyle w:val="TextBody"/>
        <w:bidi w:val="0"/>
        <w:spacing w:before="0" w:after="283"/>
        <w:jc w:val="left"/>
        <w:rPr/>
      </w:pPr>
      <w:r>
        <w:rPr/>
        <w:t xml:space="preserve">Two-frame epipolar geometry can generate transient false positives under fast rotation, low parallax, or weak texture. To reduce this effect, each feature ID maintains a dynamic-candidate streak. A feature is eligible for hard deletion only after being flagged for at least </w:t>
      </w:r>
      <w:r>
        <w:rPr>
          <w:rStyle w:val="SourceText"/>
        </w:rPr>
        <w:t>k</w:t>
      </w:r>
      <w:r>
        <w:rPr/>
        <w:t xml:space="preserve"> consecutive frames. In the evaluated configuration, </w:t>
      </w:r>
      <w:r>
        <w:rPr>
          <w:rStyle w:val="SourceText"/>
        </w:rPr>
        <w:t>k=2</w:t>
      </w:r>
      <w:r>
        <w:rPr/>
        <w:t xml:space="preserve"> and a 30-frame warm-up period is used.</w:t>
      </w:r>
    </w:p>
    <w:p>
      <w:pPr>
        <w:pStyle w:val="Heading3"/>
        <w:bidi w:val="0"/>
        <w:jc w:val="left"/>
        <w:rPr/>
      </w:pPr>
      <w:r>
        <w:rPr/>
        <w:t>3.4 Integration in Stereo-Inertial VINS</w:t>
      </w:r>
    </w:p>
    <w:p>
      <w:pPr>
        <w:pStyle w:val="TextBody"/>
        <w:bidi w:val="0"/>
        <w:spacing w:before="0" w:after="283"/>
        <w:jc w:val="left"/>
        <w:rPr/>
      </w:pPr>
      <w:r>
        <w:rPr/>
        <w:t>GeoDF-Adaptive does not modify the back-end visual-inertial optimization. It only removes selected feature tracks from the front-end before new feature detection. This design keeps the estimator unchanged and makes the method easy to integrate into an existing VINS-Fusion style pipeline. A per-frame ratio guard additionally caps hard deletions at 40% of tracked features and never reduces the active set below a minimum feature count, so the estimator is never starved even if the gate over-fires.</w:t>
      </w:r>
    </w:p>
    <w:p>
      <w:pPr>
        <w:pStyle w:val="Heading3"/>
        <w:bidi w:val="0"/>
        <w:jc w:val="left"/>
        <w:rPr/>
      </w:pPr>
      <w:r>
        <w:rPr/>
        <w:t>3.5 Parameter Settings</w:t>
      </w:r>
    </w:p>
    <w:p>
      <w:pPr>
        <w:pStyle w:val="TextBody"/>
        <w:bidi w:val="0"/>
        <w:spacing w:before="0" w:after="283"/>
        <w:jc w:val="left"/>
        <w:rPr/>
      </w:pPr>
      <w:r>
        <w:rPr/>
        <w:t>All experiments used a single fixed configuration (no per-sequence tuning). The stereo temporal cross-check was disabled in the evaluated configuration.</w:t>
      </w:r>
    </w:p>
    <w:p>
      <w:pPr>
        <w:pStyle w:val="Heading3"/>
        <w:bidi w:val="0"/>
        <w:jc w:val="left"/>
        <w:rPr/>
      </w:pPr>
      <w:r>
        <w:rPr/>
        <w:t>Table: GeoDF-Adaptive Parameters (Evaluated Configuration)</w:t>
      </w:r>
    </w:p>
    <w:tbl>
      <w:tblPr>
        <w:tblW w:w="6888" w:type="dxa"/>
        <w:jc w:val="left"/>
        <w:tblInd w:w="0" w:type="dxa"/>
        <w:tblLayout w:type="fixed"/>
        <w:tblCellMar>
          <w:top w:w="28" w:type="dxa"/>
          <w:left w:w="28" w:type="dxa"/>
          <w:bottom w:w="28" w:type="dxa"/>
          <w:right w:w="28" w:type="dxa"/>
        </w:tblCellMar>
      </w:tblPr>
      <w:tblGrid>
        <w:gridCol w:w="3151"/>
        <w:gridCol w:w="2446"/>
        <w:gridCol w:w="1291"/>
      </w:tblGrid>
      <w:tr>
        <w:trPr>
          <w:tblHeader w:val="true"/>
        </w:trPr>
        <w:tc>
          <w:tcPr>
            <w:tcW w:w="3151" w:type="dxa"/>
            <w:tcBorders/>
            <w:vAlign w:val="center"/>
          </w:tcPr>
          <w:p>
            <w:pPr>
              <w:pStyle w:val="TableHeading"/>
              <w:suppressLineNumbers/>
              <w:shd w:fill="E8E8E8" w:val="clear"/>
              <w:bidi w:val="0"/>
              <w:spacing w:before="0" w:after="283"/>
              <w:jc w:val="center"/>
              <w:rPr/>
            </w:pPr>
            <w:r>
              <w:rPr/>
              <w:t>Parameter</w:t>
            </w:r>
          </w:p>
        </w:tc>
        <w:tc>
          <w:tcPr>
            <w:tcW w:w="2446" w:type="dxa"/>
            <w:tcBorders/>
            <w:vAlign w:val="center"/>
          </w:tcPr>
          <w:p>
            <w:pPr>
              <w:pStyle w:val="TableHeading"/>
              <w:suppressLineNumbers/>
              <w:shd w:fill="E8E8E8" w:val="clear"/>
              <w:bidi w:val="0"/>
              <w:spacing w:before="0" w:after="283"/>
              <w:jc w:val="center"/>
              <w:rPr/>
            </w:pPr>
            <w:r>
              <w:rPr/>
              <w:t>Symbol / key</w:t>
            </w:r>
          </w:p>
        </w:tc>
        <w:tc>
          <w:tcPr>
            <w:tcW w:w="1291" w:type="dxa"/>
            <w:tcBorders/>
            <w:vAlign w:val="center"/>
          </w:tcPr>
          <w:p>
            <w:pPr>
              <w:pStyle w:val="TableHeading"/>
              <w:bidi w:val="0"/>
              <w:spacing w:before="0" w:after="283"/>
              <w:jc w:val="right"/>
              <w:rPr/>
            </w:pPr>
            <w:r>
              <w:rPr/>
              <w:t>Value</w:t>
            </w:r>
          </w:p>
        </w:tc>
      </w:tr>
      <w:tr>
        <w:trPr/>
        <w:tc>
          <w:tcPr>
            <w:tcW w:w="3151" w:type="dxa"/>
            <w:tcBorders/>
            <w:vAlign w:val="center"/>
          </w:tcPr>
          <w:p>
            <w:pPr>
              <w:pStyle w:val="TableContents"/>
              <w:bidi w:val="0"/>
              <w:spacing w:before="0" w:after="283"/>
              <w:jc w:val="left"/>
              <w:rPr/>
            </w:pPr>
            <w:r>
              <w:rPr/>
              <w:t>RANSAC reprojection threshold</w:t>
            </w:r>
          </w:p>
        </w:tc>
        <w:tc>
          <w:tcPr>
            <w:tcW w:w="2446" w:type="dxa"/>
            <w:tcBorders/>
            <w:vAlign w:val="center"/>
          </w:tcPr>
          <w:p>
            <w:pPr>
              <w:pStyle w:val="TableContents"/>
              <w:bidi w:val="0"/>
              <w:spacing w:before="0" w:after="283"/>
              <w:jc w:val="left"/>
              <w:rPr/>
            </w:pPr>
            <w:r>
              <w:rPr>
                <w:rStyle w:val="SourceText"/>
              </w:rPr>
              <w:t>ransac_th_px</w:t>
            </w:r>
          </w:p>
        </w:tc>
        <w:tc>
          <w:tcPr>
            <w:tcW w:w="1291" w:type="dxa"/>
            <w:tcBorders/>
            <w:vAlign w:val="center"/>
          </w:tcPr>
          <w:p>
            <w:pPr>
              <w:pStyle w:val="TableContents"/>
              <w:bidi w:val="0"/>
              <w:spacing w:before="0" w:after="283"/>
              <w:jc w:val="right"/>
              <w:rPr/>
            </w:pPr>
            <w:r>
              <w:rPr/>
              <w:t>1.0 px</w:t>
            </w:r>
          </w:p>
        </w:tc>
      </w:tr>
      <w:tr>
        <w:trPr/>
        <w:tc>
          <w:tcPr>
            <w:tcW w:w="3151" w:type="dxa"/>
            <w:tcBorders/>
            <w:vAlign w:val="center"/>
          </w:tcPr>
          <w:p>
            <w:pPr>
              <w:pStyle w:val="TableContents"/>
              <w:bidi w:val="0"/>
              <w:spacing w:before="0" w:after="283"/>
              <w:jc w:val="left"/>
              <w:rPr/>
            </w:pPr>
            <w:r>
              <w:rPr/>
              <w:t>Sampson dynamic threshold</w:t>
            </w:r>
          </w:p>
        </w:tc>
        <w:tc>
          <w:tcPr>
            <w:tcW w:w="2446" w:type="dxa"/>
            <w:tcBorders/>
            <w:vAlign w:val="center"/>
          </w:tcPr>
          <w:p>
            <w:pPr>
              <w:pStyle w:val="TableContents"/>
              <w:bidi w:val="0"/>
              <w:spacing w:before="0" w:after="283"/>
              <w:jc w:val="left"/>
              <w:rPr/>
            </w:pPr>
            <w:r>
              <w:rPr/>
              <w:t>tau (</w:t>
            </w:r>
            <w:r>
              <w:rPr>
                <w:rStyle w:val="SourceText"/>
              </w:rPr>
              <w:t>sampson_th</w:t>
            </w:r>
            <w:r>
              <w:rPr/>
              <w:t>)</w:t>
            </w:r>
          </w:p>
        </w:tc>
        <w:tc>
          <w:tcPr>
            <w:tcW w:w="1291" w:type="dxa"/>
            <w:tcBorders/>
            <w:vAlign w:val="center"/>
          </w:tcPr>
          <w:p>
            <w:pPr>
              <w:pStyle w:val="TableContents"/>
              <w:bidi w:val="0"/>
              <w:spacing w:before="0" w:after="283"/>
              <w:jc w:val="right"/>
              <w:rPr/>
            </w:pPr>
            <w:r>
              <w:rPr/>
              <w:t>3.0</w:t>
            </w:r>
          </w:p>
        </w:tc>
      </w:tr>
      <w:tr>
        <w:trPr/>
        <w:tc>
          <w:tcPr>
            <w:tcW w:w="3151" w:type="dxa"/>
            <w:tcBorders/>
            <w:vAlign w:val="center"/>
          </w:tcPr>
          <w:p>
            <w:pPr>
              <w:pStyle w:val="TableContents"/>
              <w:bidi w:val="0"/>
              <w:spacing w:before="0" w:after="283"/>
              <w:jc w:val="left"/>
              <w:rPr/>
            </w:pPr>
            <w:r>
              <w:rPr/>
              <w:t>Min track count to score</w:t>
            </w:r>
          </w:p>
        </w:tc>
        <w:tc>
          <w:tcPr>
            <w:tcW w:w="2446" w:type="dxa"/>
            <w:tcBorders/>
            <w:vAlign w:val="center"/>
          </w:tcPr>
          <w:p>
            <w:pPr>
              <w:pStyle w:val="TableContents"/>
              <w:bidi w:val="0"/>
              <w:spacing w:before="0" w:after="283"/>
              <w:jc w:val="left"/>
              <w:rPr/>
            </w:pPr>
            <w:r>
              <w:rPr>
                <w:rStyle w:val="SourceText"/>
              </w:rPr>
              <w:t>min_track_cnt</w:t>
            </w:r>
          </w:p>
        </w:tc>
        <w:tc>
          <w:tcPr>
            <w:tcW w:w="1291" w:type="dxa"/>
            <w:tcBorders/>
            <w:vAlign w:val="center"/>
          </w:tcPr>
          <w:p>
            <w:pPr>
              <w:pStyle w:val="TableContents"/>
              <w:bidi w:val="0"/>
              <w:spacing w:before="0" w:after="283"/>
              <w:jc w:val="right"/>
              <w:rPr/>
            </w:pPr>
            <w:r>
              <w:rPr/>
              <w:t>2</w:t>
            </w:r>
          </w:p>
        </w:tc>
      </w:tr>
      <w:tr>
        <w:trPr/>
        <w:tc>
          <w:tcPr>
            <w:tcW w:w="3151" w:type="dxa"/>
            <w:tcBorders/>
            <w:vAlign w:val="center"/>
          </w:tcPr>
          <w:p>
            <w:pPr>
              <w:pStyle w:val="TableContents"/>
              <w:bidi w:val="0"/>
              <w:spacing w:before="0" w:after="283"/>
              <w:jc w:val="left"/>
              <w:rPr/>
            </w:pPr>
            <w:r>
              <w:rPr/>
              <w:t>Min features kept</w:t>
            </w:r>
          </w:p>
        </w:tc>
        <w:tc>
          <w:tcPr>
            <w:tcW w:w="2446" w:type="dxa"/>
            <w:tcBorders/>
            <w:vAlign w:val="center"/>
          </w:tcPr>
          <w:p>
            <w:pPr>
              <w:pStyle w:val="TableContents"/>
              <w:bidi w:val="0"/>
              <w:spacing w:before="0" w:after="283"/>
              <w:jc w:val="left"/>
              <w:rPr/>
            </w:pPr>
            <w:r>
              <w:rPr>
                <w:rStyle w:val="SourceText"/>
              </w:rPr>
              <w:t>min_feature_num</w:t>
            </w:r>
          </w:p>
        </w:tc>
        <w:tc>
          <w:tcPr>
            <w:tcW w:w="1291" w:type="dxa"/>
            <w:tcBorders/>
            <w:vAlign w:val="center"/>
          </w:tcPr>
          <w:p>
            <w:pPr>
              <w:pStyle w:val="TableContents"/>
              <w:bidi w:val="0"/>
              <w:spacing w:before="0" w:after="283"/>
              <w:jc w:val="right"/>
              <w:rPr/>
            </w:pPr>
            <w:r>
              <w:rPr/>
              <w:t>40</w:t>
            </w:r>
          </w:p>
        </w:tc>
      </w:tr>
      <w:tr>
        <w:trPr/>
        <w:tc>
          <w:tcPr>
            <w:tcW w:w="3151" w:type="dxa"/>
            <w:tcBorders/>
            <w:vAlign w:val="center"/>
          </w:tcPr>
          <w:p>
            <w:pPr>
              <w:pStyle w:val="TableContents"/>
              <w:bidi w:val="0"/>
              <w:spacing w:before="0" w:after="283"/>
              <w:jc w:val="left"/>
              <w:rPr/>
            </w:pPr>
            <w:r>
              <w:rPr/>
              <w:t>Outlier-ratio EMA factor</w:t>
            </w:r>
          </w:p>
        </w:tc>
        <w:tc>
          <w:tcPr>
            <w:tcW w:w="2446" w:type="dxa"/>
            <w:tcBorders/>
            <w:vAlign w:val="center"/>
          </w:tcPr>
          <w:p>
            <w:pPr>
              <w:pStyle w:val="TableContents"/>
              <w:bidi w:val="0"/>
              <w:spacing w:before="0" w:after="283"/>
              <w:jc w:val="left"/>
              <w:rPr/>
            </w:pPr>
            <w:r>
              <w:rPr>
                <w:rStyle w:val="SourceText"/>
              </w:rPr>
              <w:t>activate_ema</w:t>
            </w:r>
          </w:p>
        </w:tc>
        <w:tc>
          <w:tcPr>
            <w:tcW w:w="1291" w:type="dxa"/>
            <w:tcBorders/>
            <w:vAlign w:val="center"/>
          </w:tcPr>
          <w:p>
            <w:pPr>
              <w:pStyle w:val="TableContents"/>
              <w:bidi w:val="0"/>
              <w:spacing w:before="0" w:after="283"/>
              <w:jc w:val="right"/>
              <w:rPr/>
            </w:pPr>
            <w:r>
              <w:rPr/>
              <w:t>0.15</w:t>
            </w:r>
          </w:p>
        </w:tc>
      </w:tr>
      <w:tr>
        <w:trPr/>
        <w:tc>
          <w:tcPr>
            <w:tcW w:w="3151" w:type="dxa"/>
            <w:tcBorders/>
            <w:vAlign w:val="center"/>
          </w:tcPr>
          <w:p>
            <w:pPr>
              <w:pStyle w:val="TableContents"/>
              <w:bidi w:val="0"/>
              <w:spacing w:before="0" w:after="283"/>
              <w:jc w:val="left"/>
              <w:rPr/>
            </w:pPr>
            <w:r>
              <w:rPr/>
              <w:t>Auto threshold multiplier</w:t>
            </w:r>
          </w:p>
        </w:tc>
        <w:tc>
          <w:tcPr>
            <w:tcW w:w="2446" w:type="dxa"/>
            <w:tcBorders/>
            <w:vAlign w:val="center"/>
          </w:tcPr>
          <w:p>
            <w:pPr>
              <w:pStyle w:val="TableContents"/>
              <w:bidi w:val="0"/>
              <w:spacing w:before="0" w:after="283"/>
              <w:jc w:val="left"/>
              <w:rPr/>
            </w:pPr>
            <w:r>
              <w:rPr>
                <w:rStyle w:val="SourceText"/>
              </w:rPr>
              <w:t>auto_mult</w:t>
            </w:r>
          </w:p>
        </w:tc>
        <w:tc>
          <w:tcPr>
            <w:tcW w:w="1291" w:type="dxa"/>
            <w:tcBorders/>
            <w:vAlign w:val="center"/>
          </w:tcPr>
          <w:p>
            <w:pPr>
              <w:pStyle w:val="TableContents"/>
              <w:bidi w:val="0"/>
              <w:spacing w:before="0" w:after="283"/>
              <w:jc w:val="right"/>
              <w:rPr/>
            </w:pPr>
            <w:r>
              <w:rPr/>
              <w:t>1.8</w:t>
            </w:r>
          </w:p>
        </w:tc>
      </w:tr>
      <w:tr>
        <w:trPr/>
        <w:tc>
          <w:tcPr>
            <w:tcW w:w="3151" w:type="dxa"/>
            <w:tcBorders/>
            <w:vAlign w:val="center"/>
          </w:tcPr>
          <w:p>
            <w:pPr>
              <w:pStyle w:val="TableContents"/>
              <w:bidi w:val="0"/>
              <w:spacing w:before="0" w:after="283"/>
              <w:jc w:val="left"/>
              <w:rPr/>
            </w:pPr>
            <w:r>
              <w:rPr/>
              <w:t>Auto threshold margin</w:t>
            </w:r>
          </w:p>
        </w:tc>
        <w:tc>
          <w:tcPr>
            <w:tcW w:w="2446" w:type="dxa"/>
            <w:tcBorders/>
            <w:vAlign w:val="center"/>
          </w:tcPr>
          <w:p>
            <w:pPr>
              <w:pStyle w:val="TableContents"/>
              <w:bidi w:val="0"/>
              <w:spacing w:before="0" w:after="283"/>
              <w:jc w:val="left"/>
              <w:rPr/>
            </w:pPr>
            <w:r>
              <w:rPr>
                <w:rStyle w:val="SourceText"/>
              </w:rPr>
              <w:t>auto_margin</w:t>
            </w:r>
          </w:p>
        </w:tc>
        <w:tc>
          <w:tcPr>
            <w:tcW w:w="1291" w:type="dxa"/>
            <w:tcBorders/>
            <w:vAlign w:val="center"/>
          </w:tcPr>
          <w:p>
            <w:pPr>
              <w:pStyle w:val="TableContents"/>
              <w:bidi w:val="0"/>
              <w:spacing w:before="0" w:after="283"/>
              <w:jc w:val="right"/>
              <w:rPr/>
            </w:pPr>
            <w:r>
              <w:rPr/>
              <w:t>0.05</w:t>
            </w:r>
          </w:p>
        </w:tc>
      </w:tr>
      <w:tr>
        <w:trPr/>
        <w:tc>
          <w:tcPr>
            <w:tcW w:w="3151" w:type="dxa"/>
            <w:tcBorders/>
            <w:vAlign w:val="center"/>
          </w:tcPr>
          <w:p>
            <w:pPr>
              <w:pStyle w:val="TableContents"/>
              <w:bidi w:val="0"/>
              <w:spacing w:before="0" w:after="283"/>
              <w:jc w:val="left"/>
              <w:rPr/>
            </w:pPr>
            <w:r>
              <w:rPr/>
              <w:t>Arm threshold clamp</w:t>
            </w:r>
          </w:p>
        </w:tc>
        <w:tc>
          <w:tcPr>
            <w:tcW w:w="2446" w:type="dxa"/>
            <w:tcBorders/>
            <w:vAlign w:val="center"/>
          </w:tcPr>
          <w:p>
            <w:pPr>
              <w:pStyle w:val="TableContents"/>
              <w:bidi w:val="0"/>
              <w:spacing w:before="0" w:after="283"/>
              <w:jc w:val="left"/>
              <w:rPr/>
            </w:pPr>
            <w:r>
              <w:rPr/>
              <w:t>rho_on range</w:t>
            </w:r>
          </w:p>
        </w:tc>
        <w:tc>
          <w:tcPr>
            <w:tcW w:w="1291" w:type="dxa"/>
            <w:tcBorders/>
            <w:vAlign w:val="center"/>
          </w:tcPr>
          <w:p>
            <w:pPr>
              <w:pStyle w:val="TableContents"/>
              <w:bidi w:val="0"/>
              <w:spacing w:before="0" w:after="283"/>
              <w:jc w:val="right"/>
              <w:rPr/>
            </w:pPr>
            <w:r>
              <w:rPr/>
              <w:t>[0.10, 0.40]</w:t>
            </w:r>
          </w:p>
        </w:tc>
      </w:tr>
      <w:tr>
        <w:trPr/>
        <w:tc>
          <w:tcPr>
            <w:tcW w:w="3151" w:type="dxa"/>
            <w:tcBorders/>
            <w:vAlign w:val="center"/>
          </w:tcPr>
          <w:p>
            <w:pPr>
              <w:pStyle w:val="TableContents"/>
              <w:bidi w:val="0"/>
              <w:spacing w:before="0" w:after="283"/>
              <w:jc w:val="left"/>
              <w:rPr/>
            </w:pPr>
            <w:r>
              <w:rPr/>
              <w:t>Floor adapt-down / up rate</w:t>
            </w:r>
          </w:p>
        </w:tc>
        <w:tc>
          <w:tcPr>
            <w:tcW w:w="2446" w:type="dxa"/>
            <w:tcBorders/>
            <w:vAlign w:val="center"/>
          </w:tcPr>
          <w:p>
            <w:pPr>
              <w:pStyle w:val="TableContents"/>
              <w:bidi w:val="0"/>
              <w:spacing w:before="0" w:after="283"/>
              <w:jc w:val="left"/>
              <w:rPr/>
            </w:pPr>
            <w:r>
              <w:rPr>
                <w:rStyle w:val="SourceText"/>
              </w:rPr>
              <w:t>floor_down</w:t>
            </w:r>
            <w:r>
              <w:rPr/>
              <w:t xml:space="preserve"> / </w:t>
            </w:r>
            <w:r>
              <w:rPr>
                <w:rStyle w:val="SourceText"/>
              </w:rPr>
              <w:t>floor_up</w:t>
            </w:r>
          </w:p>
        </w:tc>
        <w:tc>
          <w:tcPr>
            <w:tcW w:w="1291" w:type="dxa"/>
            <w:tcBorders/>
            <w:vAlign w:val="center"/>
          </w:tcPr>
          <w:p>
            <w:pPr>
              <w:pStyle w:val="TableContents"/>
              <w:bidi w:val="0"/>
              <w:spacing w:before="0" w:after="283"/>
              <w:jc w:val="right"/>
              <w:rPr/>
            </w:pPr>
            <w:r>
              <w:rPr/>
              <w:t>0.02 / 0.004</w:t>
            </w:r>
          </w:p>
        </w:tc>
      </w:tr>
      <w:tr>
        <w:trPr/>
        <w:tc>
          <w:tcPr>
            <w:tcW w:w="3151" w:type="dxa"/>
            <w:tcBorders/>
            <w:vAlign w:val="center"/>
          </w:tcPr>
          <w:p>
            <w:pPr>
              <w:pStyle w:val="TableContents"/>
              <w:bidi w:val="0"/>
              <w:spacing w:before="0" w:after="283"/>
              <w:jc w:val="left"/>
              <w:rPr/>
            </w:pPr>
            <w:r>
              <w:rPr/>
              <w:t>Disarm hysteresis fraction</w:t>
            </w:r>
          </w:p>
        </w:tc>
        <w:tc>
          <w:tcPr>
            <w:tcW w:w="2446" w:type="dxa"/>
            <w:tcBorders/>
            <w:vAlign w:val="center"/>
          </w:tcPr>
          <w:p>
            <w:pPr>
              <w:pStyle w:val="TableContents"/>
              <w:bidi w:val="0"/>
              <w:spacing w:before="0" w:after="283"/>
              <w:jc w:val="left"/>
              <w:rPr/>
            </w:pPr>
            <w:r>
              <w:rPr>
                <w:rStyle w:val="SourceText"/>
              </w:rPr>
              <w:t>deactivate_frac</w:t>
            </w:r>
          </w:p>
        </w:tc>
        <w:tc>
          <w:tcPr>
            <w:tcW w:w="1291" w:type="dxa"/>
            <w:tcBorders/>
            <w:vAlign w:val="center"/>
          </w:tcPr>
          <w:p>
            <w:pPr>
              <w:pStyle w:val="TableContents"/>
              <w:bidi w:val="0"/>
              <w:spacing w:before="0" w:after="283"/>
              <w:jc w:val="right"/>
              <w:rPr/>
            </w:pPr>
            <w:r>
              <w:rPr/>
              <w:t>0.6</w:t>
            </w:r>
          </w:p>
        </w:tc>
      </w:tr>
      <w:tr>
        <w:trPr/>
        <w:tc>
          <w:tcPr>
            <w:tcW w:w="3151" w:type="dxa"/>
            <w:tcBorders/>
            <w:vAlign w:val="center"/>
          </w:tcPr>
          <w:p>
            <w:pPr>
              <w:pStyle w:val="TableContents"/>
              <w:bidi w:val="0"/>
              <w:spacing w:before="0" w:after="283"/>
              <w:jc w:val="left"/>
              <w:rPr/>
            </w:pPr>
            <w:r>
              <w:rPr/>
              <w:t>Temporal voting frames</w:t>
            </w:r>
          </w:p>
        </w:tc>
        <w:tc>
          <w:tcPr>
            <w:tcW w:w="2446" w:type="dxa"/>
            <w:tcBorders/>
            <w:vAlign w:val="center"/>
          </w:tcPr>
          <w:p>
            <w:pPr>
              <w:pStyle w:val="TableContents"/>
              <w:bidi w:val="0"/>
              <w:spacing w:before="0" w:after="283"/>
              <w:jc w:val="left"/>
              <w:rPr/>
            </w:pPr>
            <w:r>
              <w:rPr/>
              <w:t>k (</w:t>
            </w:r>
            <w:r>
              <w:rPr>
                <w:rStyle w:val="SourceText"/>
              </w:rPr>
              <w:t>vote_frames</w:t>
            </w:r>
            <w:r>
              <w:rPr/>
              <w:t>)</w:t>
            </w:r>
          </w:p>
        </w:tc>
        <w:tc>
          <w:tcPr>
            <w:tcW w:w="1291" w:type="dxa"/>
            <w:tcBorders/>
            <w:vAlign w:val="center"/>
          </w:tcPr>
          <w:p>
            <w:pPr>
              <w:pStyle w:val="TableContents"/>
              <w:bidi w:val="0"/>
              <w:spacing w:before="0" w:after="283"/>
              <w:jc w:val="right"/>
              <w:rPr/>
            </w:pPr>
            <w:r>
              <w:rPr/>
              <w:t>2</w:t>
            </w:r>
          </w:p>
        </w:tc>
      </w:tr>
      <w:tr>
        <w:trPr/>
        <w:tc>
          <w:tcPr>
            <w:tcW w:w="3151" w:type="dxa"/>
            <w:tcBorders/>
            <w:vAlign w:val="center"/>
          </w:tcPr>
          <w:p>
            <w:pPr>
              <w:pStyle w:val="TableContents"/>
              <w:bidi w:val="0"/>
              <w:spacing w:before="0" w:after="283"/>
              <w:jc w:val="left"/>
              <w:rPr/>
            </w:pPr>
            <w:r>
              <w:rPr/>
              <w:t>Warm-up frames</w:t>
            </w:r>
          </w:p>
        </w:tc>
        <w:tc>
          <w:tcPr>
            <w:tcW w:w="2446" w:type="dxa"/>
            <w:tcBorders/>
            <w:vAlign w:val="center"/>
          </w:tcPr>
          <w:p>
            <w:pPr>
              <w:pStyle w:val="TableContents"/>
              <w:bidi w:val="0"/>
              <w:spacing w:before="0" w:after="283"/>
              <w:jc w:val="left"/>
              <w:rPr/>
            </w:pPr>
            <w:r>
              <w:rPr>
                <w:rStyle w:val="SourceText"/>
              </w:rPr>
              <w:t>warmup_frames</w:t>
            </w:r>
          </w:p>
        </w:tc>
        <w:tc>
          <w:tcPr>
            <w:tcW w:w="1291" w:type="dxa"/>
            <w:tcBorders/>
            <w:vAlign w:val="center"/>
          </w:tcPr>
          <w:p>
            <w:pPr>
              <w:pStyle w:val="TableContents"/>
              <w:bidi w:val="0"/>
              <w:spacing w:before="0" w:after="283"/>
              <w:jc w:val="right"/>
              <w:rPr/>
            </w:pPr>
            <w:r>
              <w:rPr/>
              <w:t>30</w:t>
            </w:r>
          </w:p>
        </w:tc>
      </w:tr>
      <w:tr>
        <w:trPr/>
        <w:tc>
          <w:tcPr>
            <w:tcW w:w="3151" w:type="dxa"/>
            <w:tcBorders/>
            <w:vAlign w:val="center"/>
          </w:tcPr>
          <w:p>
            <w:pPr>
              <w:pStyle w:val="TableContents"/>
              <w:bidi w:val="0"/>
              <w:spacing w:before="0" w:after="283"/>
              <w:jc w:val="left"/>
              <w:rPr/>
            </w:pPr>
            <w:r>
              <w:rPr/>
              <w:t>Max reject ratio (guard)</w:t>
            </w:r>
          </w:p>
        </w:tc>
        <w:tc>
          <w:tcPr>
            <w:tcW w:w="2446" w:type="dxa"/>
            <w:tcBorders/>
            <w:vAlign w:val="center"/>
          </w:tcPr>
          <w:p>
            <w:pPr>
              <w:pStyle w:val="TableContents"/>
              <w:bidi w:val="0"/>
              <w:spacing w:before="0" w:after="283"/>
              <w:jc w:val="left"/>
              <w:rPr/>
            </w:pPr>
            <w:r>
              <w:rPr>
                <w:rStyle w:val="SourceText"/>
              </w:rPr>
              <w:t>max_reject_ratio</w:t>
            </w:r>
          </w:p>
        </w:tc>
        <w:tc>
          <w:tcPr>
            <w:tcW w:w="1291" w:type="dxa"/>
            <w:tcBorders/>
            <w:vAlign w:val="center"/>
          </w:tcPr>
          <w:p>
            <w:pPr>
              <w:pStyle w:val="TableContents"/>
              <w:bidi w:val="0"/>
              <w:spacing w:before="0" w:after="283"/>
              <w:jc w:val="right"/>
              <w:rPr/>
            </w:pPr>
            <w:r>
              <w:rPr/>
              <w:t>0.40</w:t>
            </w:r>
          </w:p>
        </w:tc>
      </w:tr>
    </w:tbl>
    <w:p>
      <w:pPr>
        <w:pStyle w:val="Heading2"/>
        <w:bidi w:val="0"/>
        <w:jc w:val="left"/>
        <w:rPr/>
      </w:pPr>
      <w:r>
        <w:rPr/>
        <w:t>4. Experimental Setup</w:t>
      </w:r>
    </w:p>
    <w:p>
      <w:pPr>
        <w:pStyle w:val="TextBody"/>
        <w:bidi w:val="0"/>
        <w:spacing w:before="0" w:after="283"/>
        <w:jc w:val="left"/>
        <w:rPr/>
      </w:pPr>
      <w:r>
        <w:rPr/>
        <w:t>The method was evaluated on two datasets. EuRoC [3] was used as a static-scene safety test because it contains indoor stereo-inertial sequences with accurate ground truth. VIODE [4] was used as the dynamic-scene benchmark because it provides stereo-inertial data, trajectory ground truth, and segmentation masks for moving vehicles.</w:t>
      </w:r>
    </w:p>
    <w:p>
      <w:pPr>
        <w:pStyle w:val="Heading3"/>
        <w:bidi w:val="0"/>
        <w:jc w:val="left"/>
        <w:rPr/>
      </w:pPr>
      <w:r>
        <w:rPr/>
        <w:t>4.1 Datasets</w:t>
      </w:r>
    </w:p>
    <w:p>
      <w:pPr>
        <w:pStyle w:val="TextBody"/>
        <w:bidi w:val="0"/>
        <w:spacing w:before="0" w:after="283"/>
        <w:jc w:val="left"/>
        <w:rPr/>
      </w:pPr>
      <w:r>
        <w:rPr/>
        <w:t xml:space="preserve">The EuRoC evaluation used </w:t>
      </w:r>
      <w:r>
        <w:rPr>
          <w:rStyle w:val="SourceText"/>
        </w:rPr>
        <w:t>MH_01_easy</w:t>
      </w:r>
      <w:r>
        <w:rPr/>
        <w:t xml:space="preserve">, </w:t>
      </w:r>
      <w:r>
        <w:rPr>
          <w:rStyle w:val="SourceText"/>
        </w:rPr>
        <w:t>MH_02_easy</w:t>
      </w:r>
      <w:r>
        <w:rPr/>
        <w:t xml:space="preserve">, </w:t>
      </w:r>
      <w:r>
        <w:rPr>
          <w:rStyle w:val="SourceText"/>
        </w:rPr>
        <w:t>MH_03_medium</w:t>
      </w:r>
      <w:r>
        <w:rPr/>
        <w:t xml:space="preserve">, </w:t>
      </w:r>
      <w:r>
        <w:rPr>
          <w:rStyle w:val="SourceText"/>
        </w:rPr>
        <w:t>MH_04_difficult</w:t>
      </w:r>
      <w:r>
        <w:rPr/>
        <w:t xml:space="preserve">, and </w:t>
      </w:r>
      <w:r>
        <w:rPr>
          <w:rStyle w:val="SourceText"/>
        </w:rPr>
        <w:t>MH_05_difficult</w:t>
      </w:r>
      <w:r>
        <w:rPr/>
        <w:t xml:space="preserve">. The VIODE evaluation used three environments: </w:t>
      </w:r>
      <w:r>
        <w:rPr>
          <w:rStyle w:val="SourceText"/>
        </w:rPr>
        <w:t>city_day</w:t>
      </w:r>
      <w:r>
        <w:rPr/>
        <w:t xml:space="preserve">, </w:t>
      </w:r>
      <w:r>
        <w:rPr>
          <w:rStyle w:val="SourceText"/>
        </w:rPr>
        <w:t>city_night</w:t>
      </w:r>
      <w:r>
        <w:rPr/>
        <w:t xml:space="preserve">, and </w:t>
      </w:r>
      <w:r>
        <w:rPr>
          <w:rStyle w:val="SourceText"/>
        </w:rPr>
        <w:t>parking_lot</w:t>
      </w:r>
      <w:r>
        <w:rPr/>
        <w:t xml:space="preserve">. Each environment was evaluated under four dynamic levels: </w:t>
      </w:r>
      <w:r>
        <w:rPr>
          <w:rStyle w:val="SourceText"/>
        </w:rPr>
        <w:t>0_none</w:t>
      </w:r>
      <w:r>
        <w:rPr/>
        <w:t xml:space="preserve">, </w:t>
      </w:r>
      <w:r>
        <w:rPr>
          <w:rStyle w:val="SourceText"/>
        </w:rPr>
        <w:t>1_low</w:t>
      </w:r>
      <w:r>
        <w:rPr/>
        <w:t xml:space="preserve">, </w:t>
      </w:r>
      <w:r>
        <w:rPr>
          <w:rStyle w:val="SourceText"/>
        </w:rPr>
        <w:t>2_mid</w:t>
      </w:r>
      <w:r>
        <w:rPr/>
        <w:t xml:space="preserve">, and </w:t>
      </w:r>
      <w:r>
        <w:rPr>
          <w:rStyle w:val="SourceText"/>
        </w:rPr>
        <w:t>3_high</w:t>
      </w:r>
      <w:r>
        <w:rPr/>
        <w:t>.</w:t>
      </w:r>
    </w:p>
    <w:p>
      <w:pPr>
        <w:pStyle w:val="Heading3"/>
        <w:bidi w:val="0"/>
        <w:jc w:val="left"/>
        <w:rPr/>
      </w:pPr>
      <w:r>
        <w:rPr/>
        <w:t>4.2 Metrics</w:t>
      </w:r>
    </w:p>
    <w:p>
      <w:pPr>
        <w:pStyle w:val="TextBody"/>
        <w:bidi w:val="0"/>
        <w:spacing w:before="0" w:after="283"/>
        <w:jc w:val="left"/>
        <w:rPr/>
      </w:pPr>
      <w:r>
        <w:rPr/>
        <w:t xml:space="preserve">Trajectory accuracy was measured using ATE RMSE and RPE RMSE in metres, computed with the </w:t>
      </w:r>
      <w:r>
        <w:rPr>
          <w:rStyle w:val="SourceText"/>
        </w:rPr>
        <w:t>evo</w:t>
      </w:r>
      <w:r>
        <w:rPr/>
        <w:t xml:space="preserve"> evaluation toolkit [9] after SE(3) alignment to ground truth. For VIODE, each reported value is the mean and standard deviation over five runs within the same build. EuRoC static safety used repeated baseline and adaptive runs as summarized in the project artifacts.</w:t>
      </w:r>
    </w:p>
    <w:p>
      <w:pPr>
        <w:pStyle w:val="TextBody"/>
        <w:bidi w:val="0"/>
        <w:spacing w:before="0" w:after="283"/>
        <w:jc w:val="left"/>
        <w:rPr/>
      </w:pPr>
      <w:r>
        <w:rPr/>
        <w:t xml:space="preserve">Feature-level detection was evaluated by matching tracked feature coordinates to the nearest VIODE segmentation mask within 30 ms. A feature was labelled dynamic when it fell inside a </w:t>
      </w:r>
      <w:r>
        <w:rPr>
          <w:rStyle w:val="SourceText"/>
        </w:rPr>
        <w:t>vehicle_dynamic_*</w:t>
      </w:r>
      <w:r>
        <w:rPr/>
        <w:t xml:space="preserve"> mask. The main detection metrics were precision lift, recall, and static false-positive rate.</w:t>
      </w:r>
    </w:p>
    <w:p>
      <w:pPr>
        <w:pStyle w:val="Heading3"/>
        <w:bidi w:val="0"/>
        <w:jc w:val="left"/>
        <w:rPr/>
      </w:pPr>
      <w:r>
        <w:rPr/>
        <w:t>4.3 Implementation and Runtime Measurement</w:t>
      </w:r>
    </w:p>
    <w:p>
      <w:pPr>
        <w:pStyle w:val="TextBody"/>
        <w:bidi w:val="0"/>
        <w:spacing w:before="0" w:after="283"/>
        <w:jc w:val="left"/>
        <w:rPr/>
      </w:pPr>
      <w:r>
        <w:rPr/>
        <w:t>The method was implemented in C++ inside a VINS-Fusion style stereo-inertial pipeline (ROS 2). All experiments used a single consistent build. The per-frame cost of the GeoDF-Adaptive module was logged for every processed frame using the same in-pipeline timer (</w:t>
      </w:r>
      <w:r>
        <w:rPr>
          <w:rStyle w:val="SourceText"/>
        </w:rPr>
        <w:t>t_geo</w:t>
      </w:r>
      <w:r>
        <w:rPr/>
        <w:t>) so that the reported overhead reflects the deployed code path rather than a separate micro-benchmark. Runtime statistics were aggregated over all VIODE adaptive trials (60 runs, 74,994 logged frames). The host machine was an Intel Xeon W-11955M CPU (8 cores, 16 threads, 2.60 GHz) with 64 GB RAM, CPU-only, with no GPU acceleration used by the front-end.</w:t>
      </w:r>
    </w:p>
    <w:p>
      <w:pPr>
        <w:pStyle w:val="Heading2"/>
        <w:bidi w:val="0"/>
        <w:jc w:val="left"/>
        <w:rPr/>
      </w:pPr>
      <w:r>
        <w:rPr/>
        <w:t>5. Results and Discussion</w:t>
      </w:r>
    </w:p>
    <w:p>
      <w:pPr>
        <w:pStyle w:val="Heading3"/>
        <w:bidi w:val="0"/>
        <w:jc w:val="left"/>
        <w:rPr/>
      </w:pPr>
      <w:r>
        <w:rPr/>
        <w:t>5.1 VIODE Trajectory Results</w:t>
      </w:r>
    </w:p>
    <w:p>
      <w:pPr>
        <w:pStyle w:val="TextBody"/>
        <w:bidi w:val="0"/>
        <w:spacing w:before="0" w:after="283"/>
        <w:jc w:val="left"/>
        <w:rPr/>
      </w:pPr>
      <w:r>
        <w:rPr/>
        <w:t xml:space="preserve">Table 2 summarizes the VIODE ATE/RPE results. GeoDF-Adaptive improved ATE in 7 of 12 conditions under a +/-3% decision band. The strongest gains were observed in </w:t>
      </w:r>
      <w:r>
        <w:rPr>
          <w:rStyle w:val="SourceText"/>
        </w:rPr>
        <w:t>city_day/3_high</w:t>
      </w:r>
      <w:r>
        <w:rPr/>
        <w:t xml:space="preserve"> and </w:t>
      </w:r>
      <w:r>
        <w:rPr>
          <w:rStyle w:val="SourceText"/>
        </w:rPr>
        <w:t>city_night/0_none</w:t>
      </w:r>
      <w:r>
        <w:rPr/>
        <w:t>.</w:t>
      </w:r>
    </w:p>
    <w:p>
      <w:pPr>
        <w:pStyle w:val="Heading3"/>
        <w:bidi w:val="0"/>
        <w:jc w:val="left"/>
        <w:rPr/>
      </w:pPr>
      <w:r>
        <w:rPr/>
        <w:t>Table 2. VIODE N=5 Trajectory Summary</w:t>
      </w:r>
    </w:p>
    <w:tbl>
      <w:tblPr>
        <w:tblW w:w="6800" w:type="dxa"/>
        <w:jc w:val="left"/>
        <w:tblInd w:w="0" w:type="dxa"/>
        <w:tblLayout w:type="fixed"/>
        <w:tblCellMar>
          <w:top w:w="28" w:type="dxa"/>
          <w:left w:w="28" w:type="dxa"/>
          <w:bottom w:w="28" w:type="dxa"/>
          <w:right w:w="28" w:type="dxa"/>
        </w:tblCellMar>
      </w:tblPr>
      <w:tblGrid>
        <w:gridCol w:w="1396"/>
        <w:gridCol w:w="811"/>
        <w:gridCol w:w="1561"/>
        <w:gridCol w:w="1561"/>
        <w:gridCol w:w="1471"/>
      </w:tblGrid>
      <w:tr>
        <w:trPr>
          <w:tblHeader w:val="true"/>
        </w:trPr>
        <w:tc>
          <w:tcPr>
            <w:tcW w:w="1396" w:type="dxa"/>
            <w:tcBorders/>
            <w:vAlign w:val="center"/>
          </w:tcPr>
          <w:p>
            <w:pPr>
              <w:pStyle w:val="TableHeading"/>
              <w:suppressLineNumbers/>
              <w:shd w:fill="E8E8E8" w:val="clear"/>
              <w:bidi w:val="0"/>
              <w:spacing w:before="0" w:after="283"/>
              <w:jc w:val="center"/>
              <w:rPr/>
            </w:pPr>
            <w:r>
              <w:rPr/>
              <w:t>Environment</w:t>
            </w:r>
          </w:p>
        </w:tc>
        <w:tc>
          <w:tcPr>
            <w:tcW w:w="811" w:type="dxa"/>
            <w:tcBorders/>
            <w:vAlign w:val="center"/>
          </w:tcPr>
          <w:p>
            <w:pPr>
              <w:pStyle w:val="TableHeading"/>
              <w:suppressLineNumbers/>
              <w:shd w:fill="E8E8E8" w:val="clear"/>
              <w:bidi w:val="0"/>
              <w:spacing w:before="0" w:after="283"/>
              <w:jc w:val="center"/>
              <w:rPr/>
            </w:pPr>
            <w:r>
              <w:rPr/>
              <w:t>Level</w:t>
            </w:r>
          </w:p>
        </w:tc>
        <w:tc>
          <w:tcPr>
            <w:tcW w:w="1561" w:type="dxa"/>
            <w:tcBorders/>
            <w:vAlign w:val="center"/>
          </w:tcPr>
          <w:p>
            <w:pPr>
              <w:pStyle w:val="TableHeading"/>
              <w:bidi w:val="0"/>
              <w:spacing w:before="0" w:after="283"/>
              <w:jc w:val="right"/>
              <w:rPr/>
            </w:pPr>
            <w:r>
              <w:rPr/>
              <w:t>Baseline ATE</w:t>
            </w:r>
          </w:p>
        </w:tc>
        <w:tc>
          <w:tcPr>
            <w:tcW w:w="1561" w:type="dxa"/>
            <w:tcBorders/>
            <w:vAlign w:val="center"/>
          </w:tcPr>
          <w:p>
            <w:pPr>
              <w:pStyle w:val="TableHeading"/>
              <w:bidi w:val="0"/>
              <w:spacing w:before="0" w:after="283"/>
              <w:jc w:val="right"/>
              <w:rPr/>
            </w:pPr>
            <w:r>
              <w:rPr/>
              <w:t>Proposed ATE</w:t>
            </w:r>
          </w:p>
        </w:tc>
        <w:tc>
          <w:tcPr>
            <w:tcW w:w="1471" w:type="dxa"/>
            <w:tcBorders/>
            <w:vAlign w:val="center"/>
          </w:tcPr>
          <w:p>
            <w:pPr>
              <w:pStyle w:val="TableHeading"/>
              <w:bidi w:val="0"/>
              <w:spacing w:before="0" w:after="283"/>
              <w:jc w:val="right"/>
              <w:rPr/>
            </w:pPr>
            <w:r>
              <w:rPr/>
              <w:t>Improvement</w:t>
            </w:r>
          </w:p>
        </w:tc>
      </w:tr>
      <w:tr>
        <w:trPr/>
        <w:tc>
          <w:tcPr>
            <w:tcW w:w="1396" w:type="dxa"/>
            <w:tcBorders/>
            <w:vAlign w:val="center"/>
          </w:tcPr>
          <w:p>
            <w:pPr>
              <w:pStyle w:val="TableContents"/>
              <w:bidi w:val="0"/>
              <w:spacing w:before="0" w:after="283"/>
              <w:jc w:val="left"/>
              <w:rPr/>
            </w:pPr>
            <w:r>
              <w:rPr/>
              <w:t>city_day</w:t>
            </w:r>
          </w:p>
        </w:tc>
        <w:tc>
          <w:tcPr>
            <w:tcW w:w="811" w:type="dxa"/>
            <w:tcBorders/>
            <w:vAlign w:val="center"/>
          </w:tcPr>
          <w:p>
            <w:pPr>
              <w:pStyle w:val="TableContents"/>
              <w:bidi w:val="0"/>
              <w:spacing w:before="0" w:after="283"/>
              <w:jc w:val="left"/>
              <w:rPr/>
            </w:pPr>
            <w:r>
              <w:rPr/>
              <w:t>0_none</w:t>
            </w:r>
          </w:p>
        </w:tc>
        <w:tc>
          <w:tcPr>
            <w:tcW w:w="1561" w:type="dxa"/>
            <w:tcBorders/>
            <w:vAlign w:val="center"/>
          </w:tcPr>
          <w:p>
            <w:pPr>
              <w:pStyle w:val="TableContents"/>
              <w:bidi w:val="0"/>
              <w:spacing w:before="0" w:after="283"/>
              <w:jc w:val="right"/>
              <w:rPr/>
            </w:pPr>
            <w:r>
              <w:rPr/>
              <w:t>0.110 +/- 0.001</w:t>
            </w:r>
          </w:p>
        </w:tc>
        <w:tc>
          <w:tcPr>
            <w:tcW w:w="1561" w:type="dxa"/>
            <w:tcBorders/>
            <w:vAlign w:val="center"/>
          </w:tcPr>
          <w:p>
            <w:pPr>
              <w:pStyle w:val="TableContents"/>
              <w:bidi w:val="0"/>
              <w:spacing w:before="0" w:after="283"/>
              <w:jc w:val="right"/>
              <w:rPr/>
            </w:pPr>
            <w:r>
              <w:rPr/>
              <w:t>0.120 +/- 0.000</w:t>
            </w:r>
          </w:p>
        </w:tc>
        <w:tc>
          <w:tcPr>
            <w:tcW w:w="1471" w:type="dxa"/>
            <w:tcBorders/>
            <w:vAlign w:val="center"/>
          </w:tcPr>
          <w:p>
            <w:pPr>
              <w:pStyle w:val="TableContents"/>
              <w:bidi w:val="0"/>
              <w:spacing w:before="0" w:after="283"/>
              <w:jc w:val="right"/>
              <w:rPr/>
            </w:pPr>
            <w:r>
              <w:rPr/>
              <w:t>-9.7%</w:t>
            </w:r>
          </w:p>
        </w:tc>
      </w:tr>
      <w:tr>
        <w:trPr/>
        <w:tc>
          <w:tcPr>
            <w:tcW w:w="1396" w:type="dxa"/>
            <w:tcBorders/>
            <w:vAlign w:val="center"/>
          </w:tcPr>
          <w:p>
            <w:pPr>
              <w:pStyle w:val="TableContents"/>
              <w:bidi w:val="0"/>
              <w:spacing w:before="0" w:after="283"/>
              <w:jc w:val="left"/>
              <w:rPr/>
            </w:pPr>
            <w:r>
              <w:rPr/>
              <w:t>city_day</w:t>
            </w:r>
          </w:p>
        </w:tc>
        <w:tc>
          <w:tcPr>
            <w:tcW w:w="811" w:type="dxa"/>
            <w:tcBorders/>
            <w:vAlign w:val="center"/>
          </w:tcPr>
          <w:p>
            <w:pPr>
              <w:pStyle w:val="TableContents"/>
              <w:bidi w:val="0"/>
              <w:spacing w:before="0" w:after="283"/>
              <w:jc w:val="left"/>
              <w:rPr/>
            </w:pPr>
            <w:r>
              <w:rPr/>
              <w:t>1_low</w:t>
            </w:r>
          </w:p>
        </w:tc>
        <w:tc>
          <w:tcPr>
            <w:tcW w:w="1561" w:type="dxa"/>
            <w:tcBorders/>
            <w:vAlign w:val="center"/>
          </w:tcPr>
          <w:p>
            <w:pPr>
              <w:pStyle w:val="TableContents"/>
              <w:bidi w:val="0"/>
              <w:spacing w:before="0" w:after="283"/>
              <w:jc w:val="right"/>
              <w:rPr/>
            </w:pPr>
            <w:r>
              <w:rPr/>
              <w:t>0.138 +/- 0.001</w:t>
            </w:r>
          </w:p>
        </w:tc>
        <w:tc>
          <w:tcPr>
            <w:tcW w:w="1561" w:type="dxa"/>
            <w:tcBorders/>
            <w:vAlign w:val="center"/>
          </w:tcPr>
          <w:p>
            <w:pPr>
              <w:pStyle w:val="TableContents"/>
              <w:bidi w:val="0"/>
              <w:spacing w:before="0" w:after="283"/>
              <w:jc w:val="right"/>
              <w:rPr/>
            </w:pPr>
            <w:r>
              <w:rPr/>
              <w:t>0.148 +/- 0.014</w:t>
            </w:r>
          </w:p>
        </w:tc>
        <w:tc>
          <w:tcPr>
            <w:tcW w:w="1471" w:type="dxa"/>
            <w:tcBorders/>
            <w:vAlign w:val="center"/>
          </w:tcPr>
          <w:p>
            <w:pPr>
              <w:pStyle w:val="TableContents"/>
              <w:bidi w:val="0"/>
              <w:spacing w:before="0" w:after="283"/>
              <w:jc w:val="right"/>
              <w:rPr/>
            </w:pPr>
            <w:r>
              <w:rPr/>
              <w:t>-6.8%</w:t>
            </w:r>
          </w:p>
        </w:tc>
      </w:tr>
      <w:tr>
        <w:trPr/>
        <w:tc>
          <w:tcPr>
            <w:tcW w:w="1396" w:type="dxa"/>
            <w:tcBorders/>
            <w:vAlign w:val="center"/>
          </w:tcPr>
          <w:p>
            <w:pPr>
              <w:pStyle w:val="TableContents"/>
              <w:bidi w:val="0"/>
              <w:spacing w:before="0" w:after="283"/>
              <w:jc w:val="left"/>
              <w:rPr/>
            </w:pPr>
            <w:r>
              <w:rPr/>
              <w:t>city_day</w:t>
            </w:r>
          </w:p>
        </w:tc>
        <w:tc>
          <w:tcPr>
            <w:tcW w:w="811" w:type="dxa"/>
            <w:tcBorders/>
            <w:vAlign w:val="center"/>
          </w:tcPr>
          <w:p>
            <w:pPr>
              <w:pStyle w:val="TableContents"/>
              <w:bidi w:val="0"/>
              <w:spacing w:before="0" w:after="283"/>
              <w:jc w:val="left"/>
              <w:rPr/>
            </w:pPr>
            <w:r>
              <w:rPr/>
              <w:t>2_mid</w:t>
            </w:r>
          </w:p>
        </w:tc>
        <w:tc>
          <w:tcPr>
            <w:tcW w:w="1561" w:type="dxa"/>
            <w:tcBorders/>
            <w:vAlign w:val="center"/>
          </w:tcPr>
          <w:p>
            <w:pPr>
              <w:pStyle w:val="TableContents"/>
              <w:bidi w:val="0"/>
              <w:spacing w:before="0" w:after="283"/>
              <w:jc w:val="right"/>
              <w:rPr/>
            </w:pPr>
            <w:r>
              <w:rPr/>
              <w:t>0.166 +/- 0.000</w:t>
            </w:r>
          </w:p>
        </w:tc>
        <w:tc>
          <w:tcPr>
            <w:tcW w:w="1561" w:type="dxa"/>
            <w:tcBorders/>
            <w:vAlign w:val="center"/>
          </w:tcPr>
          <w:p>
            <w:pPr>
              <w:pStyle w:val="TableContents"/>
              <w:bidi w:val="0"/>
              <w:spacing w:before="0" w:after="283"/>
              <w:jc w:val="right"/>
              <w:rPr/>
            </w:pPr>
            <w:r>
              <w:rPr/>
              <w:t>0.152 +/- 0.009</w:t>
            </w:r>
          </w:p>
        </w:tc>
        <w:tc>
          <w:tcPr>
            <w:tcW w:w="1471" w:type="dxa"/>
            <w:tcBorders/>
            <w:vAlign w:val="center"/>
          </w:tcPr>
          <w:p>
            <w:pPr>
              <w:pStyle w:val="TableContents"/>
              <w:bidi w:val="0"/>
              <w:spacing w:before="0" w:after="283"/>
              <w:jc w:val="right"/>
              <w:rPr/>
            </w:pPr>
            <w:r>
              <w:rPr/>
              <w:t>+8.1%</w:t>
            </w:r>
          </w:p>
        </w:tc>
      </w:tr>
      <w:tr>
        <w:trPr/>
        <w:tc>
          <w:tcPr>
            <w:tcW w:w="1396" w:type="dxa"/>
            <w:tcBorders/>
            <w:vAlign w:val="center"/>
          </w:tcPr>
          <w:p>
            <w:pPr>
              <w:pStyle w:val="TableContents"/>
              <w:bidi w:val="0"/>
              <w:spacing w:before="0" w:after="283"/>
              <w:jc w:val="left"/>
              <w:rPr/>
            </w:pPr>
            <w:r>
              <w:rPr/>
              <w:t>city_day</w:t>
            </w:r>
          </w:p>
        </w:tc>
        <w:tc>
          <w:tcPr>
            <w:tcW w:w="811" w:type="dxa"/>
            <w:tcBorders/>
            <w:vAlign w:val="center"/>
          </w:tcPr>
          <w:p>
            <w:pPr>
              <w:pStyle w:val="TableContents"/>
              <w:bidi w:val="0"/>
              <w:spacing w:before="0" w:after="283"/>
              <w:jc w:val="left"/>
              <w:rPr/>
            </w:pPr>
            <w:r>
              <w:rPr/>
              <w:t>3_high</w:t>
            </w:r>
          </w:p>
        </w:tc>
        <w:tc>
          <w:tcPr>
            <w:tcW w:w="1561" w:type="dxa"/>
            <w:tcBorders/>
            <w:vAlign w:val="center"/>
          </w:tcPr>
          <w:p>
            <w:pPr>
              <w:pStyle w:val="TableContents"/>
              <w:bidi w:val="0"/>
              <w:spacing w:before="0" w:after="283"/>
              <w:jc w:val="right"/>
              <w:rPr/>
            </w:pPr>
            <w:r>
              <w:rPr/>
              <w:t>0.409 +/- 0.052</w:t>
            </w:r>
          </w:p>
        </w:tc>
        <w:tc>
          <w:tcPr>
            <w:tcW w:w="1561" w:type="dxa"/>
            <w:tcBorders/>
            <w:vAlign w:val="center"/>
          </w:tcPr>
          <w:p>
            <w:pPr>
              <w:pStyle w:val="TableContents"/>
              <w:bidi w:val="0"/>
              <w:spacing w:before="0" w:after="283"/>
              <w:jc w:val="right"/>
              <w:rPr/>
            </w:pPr>
            <w:r>
              <w:rPr/>
              <w:t>0.309 +/- 0.000</w:t>
            </w:r>
          </w:p>
        </w:tc>
        <w:tc>
          <w:tcPr>
            <w:tcW w:w="1471" w:type="dxa"/>
            <w:tcBorders/>
            <w:vAlign w:val="center"/>
          </w:tcPr>
          <w:p>
            <w:pPr>
              <w:pStyle w:val="TableContents"/>
              <w:bidi w:val="0"/>
              <w:spacing w:before="0" w:after="283"/>
              <w:jc w:val="right"/>
              <w:rPr/>
            </w:pPr>
            <w:r>
              <w:rPr/>
              <w:t>+24.5%</w:t>
            </w:r>
          </w:p>
        </w:tc>
      </w:tr>
      <w:tr>
        <w:trPr/>
        <w:tc>
          <w:tcPr>
            <w:tcW w:w="1396" w:type="dxa"/>
            <w:tcBorders/>
            <w:vAlign w:val="center"/>
          </w:tcPr>
          <w:p>
            <w:pPr>
              <w:pStyle w:val="TableContents"/>
              <w:bidi w:val="0"/>
              <w:spacing w:before="0" w:after="283"/>
              <w:jc w:val="left"/>
              <w:rPr/>
            </w:pPr>
            <w:r>
              <w:rPr/>
              <w:t>city_night</w:t>
            </w:r>
          </w:p>
        </w:tc>
        <w:tc>
          <w:tcPr>
            <w:tcW w:w="811" w:type="dxa"/>
            <w:tcBorders/>
            <w:vAlign w:val="center"/>
          </w:tcPr>
          <w:p>
            <w:pPr>
              <w:pStyle w:val="TableContents"/>
              <w:bidi w:val="0"/>
              <w:spacing w:before="0" w:after="283"/>
              <w:jc w:val="left"/>
              <w:rPr/>
            </w:pPr>
            <w:r>
              <w:rPr/>
              <w:t>0_none</w:t>
            </w:r>
          </w:p>
        </w:tc>
        <w:tc>
          <w:tcPr>
            <w:tcW w:w="1561" w:type="dxa"/>
            <w:tcBorders/>
            <w:vAlign w:val="center"/>
          </w:tcPr>
          <w:p>
            <w:pPr>
              <w:pStyle w:val="TableContents"/>
              <w:bidi w:val="0"/>
              <w:spacing w:before="0" w:after="283"/>
              <w:jc w:val="right"/>
              <w:rPr/>
            </w:pPr>
            <w:r>
              <w:rPr/>
              <w:t>0.420 +/- 0.002</w:t>
            </w:r>
          </w:p>
        </w:tc>
        <w:tc>
          <w:tcPr>
            <w:tcW w:w="1561" w:type="dxa"/>
            <w:tcBorders/>
            <w:vAlign w:val="center"/>
          </w:tcPr>
          <w:p>
            <w:pPr>
              <w:pStyle w:val="TableContents"/>
              <w:bidi w:val="0"/>
              <w:spacing w:before="0" w:after="283"/>
              <w:jc w:val="right"/>
              <w:rPr/>
            </w:pPr>
            <w:r>
              <w:rPr/>
              <w:t>0.246 +/- 0.000</w:t>
            </w:r>
          </w:p>
        </w:tc>
        <w:tc>
          <w:tcPr>
            <w:tcW w:w="1471" w:type="dxa"/>
            <w:tcBorders/>
            <w:vAlign w:val="center"/>
          </w:tcPr>
          <w:p>
            <w:pPr>
              <w:pStyle w:val="TableContents"/>
              <w:bidi w:val="0"/>
              <w:spacing w:before="0" w:after="283"/>
              <w:jc w:val="right"/>
              <w:rPr/>
            </w:pPr>
            <w:r>
              <w:rPr/>
              <w:t>+41.3%</w:t>
            </w:r>
          </w:p>
        </w:tc>
      </w:tr>
      <w:tr>
        <w:trPr/>
        <w:tc>
          <w:tcPr>
            <w:tcW w:w="1396" w:type="dxa"/>
            <w:tcBorders/>
            <w:vAlign w:val="center"/>
          </w:tcPr>
          <w:p>
            <w:pPr>
              <w:pStyle w:val="TableContents"/>
              <w:bidi w:val="0"/>
              <w:spacing w:before="0" w:after="283"/>
              <w:jc w:val="left"/>
              <w:rPr/>
            </w:pPr>
            <w:r>
              <w:rPr/>
              <w:t>city_night</w:t>
            </w:r>
          </w:p>
        </w:tc>
        <w:tc>
          <w:tcPr>
            <w:tcW w:w="811" w:type="dxa"/>
            <w:tcBorders/>
            <w:vAlign w:val="center"/>
          </w:tcPr>
          <w:p>
            <w:pPr>
              <w:pStyle w:val="TableContents"/>
              <w:bidi w:val="0"/>
              <w:spacing w:before="0" w:after="283"/>
              <w:jc w:val="left"/>
              <w:rPr/>
            </w:pPr>
            <w:r>
              <w:rPr/>
              <w:t>1_low</w:t>
            </w:r>
          </w:p>
        </w:tc>
        <w:tc>
          <w:tcPr>
            <w:tcW w:w="1561" w:type="dxa"/>
            <w:tcBorders/>
            <w:vAlign w:val="center"/>
          </w:tcPr>
          <w:p>
            <w:pPr>
              <w:pStyle w:val="TableContents"/>
              <w:bidi w:val="0"/>
              <w:spacing w:before="0" w:after="283"/>
              <w:jc w:val="right"/>
              <w:rPr/>
            </w:pPr>
            <w:r>
              <w:rPr/>
              <w:t>0.504 +/- 0.009</w:t>
            </w:r>
          </w:p>
        </w:tc>
        <w:tc>
          <w:tcPr>
            <w:tcW w:w="1561" w:type="dxa"/>
            <w:tcBorders/>
            <w:vAlign w:val="center"/>
          </w:tcPr>
          <w:p>
            <w:pPr>
              <w:pStyle w:val="TableContents"/>
              <w:bidi w:val="0"/>
              <w:spacing w:before="0" w:after="283"/>
              <w:jc w:val="right"/>
              <w:rPr/>
            </w:pPr>
            <w:r>
              <w:rPr/>
              <w:t>0.538 +/- 0.036</w:t>
            </w:r>
          </w:p>
        </w:tc>
        <w:tc>
          <w:tcPr>
            <w:tcW w:w="1471" w:type="dxa"/>
            <w:tcBorders/>
            <w:vAlign w:val="center"/>
          </w:tcPr>
          <w:p>
            <w:pPr>
              <w:pStyle w:val="TableContents"/>
              <w:bidi w:val="0"/>
              <w:spacing w:before="0" w:after="283"/>
              <w:jc w:val="right"/>
              <w:rPr/>
            </w:pPr>
            <w:r>
              <w:rPr/>
              <w:t>-6.7%</w:t>
            </w:r>
          </w:p>
        </w:tc>
      </w:tr>
      <w:tr>
        <w:trPr/>
        <w:tc>
          <w:tcPr>
            <w:tcW w:w="1396" w:type="dxa"/>
            <w:tcBorders/>
            <w:vAlign w:val="center"/>
          </w:tcPr>
          <w:p>
            <w:pPr>
              <w:pStyle w:val="TableContents"/>
              <w:bidi w:val="0"/>
              <w:spacing w:before="0" w:after="283"/>
              <w:jc w:val="left"/>
              <w:rPr/>
            </w:pPr>
            <w:r>
              <w:rPr/>
              <w:t>city_night</w:t>
            </w:r>
          </w:p>
        </w:tc>
        <w:tc>
          <w:tcPr>
            <w:tcW w:w="811" w:type="dxa"/>
            <w:tcBorders/>
            <w:vAlign w:val="center"/>
          </w:tcPr>
          <w:p>
            <w:pPr>
              <w:pStyle w:val="TableContents"/>
              <w:bidi w:val="0"/>
              <w:spacing w:before="0" w:after="283"/>
              <w:jc w:val="left"/>
              <w:rPr/>
            </w:pPr>
            <w:r>
              <w:rPr/>
              <w:t>2_mid</w:t>
            </w:r>
          </w:p>
        </w:tc>
        <w:tc>
          <w:tcPr>
            <w:tcW w:w="1561" w:type="dxa"/>
            <w:tcBorders/>
            <w:vAlign w:val="center"/>
          </w:tcPr>
          <w:p>
            <w:pPr>
              <w:pStyle w:val="TableContents"/>
              <w:bidi w:val="0"/>
              <w:spacing w:before="0" w:after="283"/>
              <w:jc w:val="right"/>
              <w:rPr/>
            </w:pPr>
            <w:r>
              <w:rPr/>
              <w:t>0.502 +/- 0.010</w:t>
            </w:r>
          </w:p>
        </w:tc>
        <w:tc>
          <w:tcPr>
            <w:tcW w:w="1561" w:type="dxa"/>
            <w:tcBorders/>
            <w:vAlign w:val="center"/>
          </w:tcPr>
          <w:p>
            <w:pPr>
              <w:pStyle w:val="TableContents"/>
              <w:bidi w:val="0"/>
              <w:spacing w:before="0" w:after="283"/>
              <w:jc w:val="right"/>
              <w:rPr/>
            </w:pPr>
            <w:r>
              <w:rPr/>
              <w:t>0.460 +/- 0.000</w:t>
            </w:r>
          </w:p>
        </w:tc>
        <w:tc>
          <w:tcPr>
            <w:tcW w:w="1471" w:type="dxa"/>
            <w:tcBorders/>
            <w:vAlign w:val="center"/>
          </w:tcPr>
          <w:p>
            <w:pPr>
              <w:pStyle w:val="TableContents"/>
              <w:bidi w:val="0"/>
              <w:spacing w:before="0" w:after="283"/>
              <w:jc w:val="right"/>
              <w:rPr/>
            </w:pPr>
            <w:r>
              <w:rPr/>
              <w:t>+8.5%</w:t>
            </w:r>
          </w:p>
        </w:tc>
      </w:tr>
      <w:tr>
        <w:trPr/>
        <w:tc>
          <w:tcPr>
            <w:tcW w:w="1396" w:type="dxa"/>
            <w:tcBorders/>
            <w:vAlign w:val="center"/>
          </w:tcPr>
          <w:p>
            <w:pPr>
              <w:pStyle w:val="TableContents"/>
              <w:bidi w:val="0"/>
              <w:spacing w:before="0" w:after="283"/>
              <w:jc w:val="left"/>
              <w:rPr/>
            </w:pPr>
            <w:r>
              <w:rPr/>
              <w:t>city_night</w:t>
            </w:r>
          </w:p>
        </w:tc>
        <w:tc>
          <w:tcPr>
            <w:tcW w:w="811" w:type="dxa"/>
            <w:tcBorders/>
            <w:vAlign w:val="center"/>
          </w:tcPr>
          <w:p>
            <w:pPr>
              <w:pStyle w:val="TableContents"/>
              <w:bidi w:val="0"/>
              <w:spacing w:before="0" w:after="283"/>
              <w:jc w:val="left"/>
              <w:rPr/>
            </w:pPr>
            <w:r>
              <w:rPr/>
              <w:t>3_high</w:t>
            </w:r>
          </w:p>
        </w:tc>
        <w:tc>
          <w:tcPr>
            <w:tcW w:w="1561" w:type="dxa"/>
            <w:tcBorders/>
            <w:vAlign w:val="center"/>
          </w:tcPr>
          <w:p>
            <w:pPr>
              <w:pStyle w:val="TableContents"/>
              <w:bidi w:val="0"/>
              <w:spacing w:before="0" w:after="283"/>
              <w:jc w:val="right"/>
              <w:rPr/>
            </w:pPr>
            <w:r>
              <w:rPr/>
              <w:t>0.875 +/- 0.018</w:t>
            </w:r>
          </w:p>
        </w:tc>
        <w:tc>
          <w:tcPr>
            <w:tcW w:w="1561" w:type="dxa"/>
            <w:tcBorders/>
            <w:vAlign w:val="center"/>
          </w:tcPr>
          <w:p>
            <w:pPr>
              <w:pStyle w:val="TableContents"/>
              <w:bidi w:val="0"/>
              <w:spacing w:before="0" w:after="283"/>
              <w:jc w:val="right"/>
              <w:rPr/>
            </w:pPr>
            <w:r>
              <w:rPr/>
              <w:t>0.835 +/- 0.026</w:t>
            </w:r>
          </w:p>
        </w:tc>
        <w:tc>
          <w:tcPr>
            <w:tcW w:w="1471" w:type="dxa"/>
            <w:tcBorders/>
            <w:vAlign w:val="center"/>
          </w:tcPr>
          <w:p>
            <w:pPr>
              <w:pStyle w:val="TableContents"/>
              <w:bidi w:val="0"/>
              <w:spacing w:before="0" w:after="283"/>
              <w:jc w:val="right"/>
              <w:rPr/>
            </w:pPr>
            <w:r>
              <w:rPr/>
              <w:t>+4.6%</w:t>
            </w:r>
          </w:p>
        </w:tc>
      </w:tr>
      <w:tr>
        <w:trPr/>
        <w:tc>
          <w:tcPr>
            <w:tcW w:w="1396" w:type="dxa"/>
            <w:tcBorders/>
            <w:vAlign w:val="center"/>
          </w:tcPr>
          <w:p>
            <w:pPr>
              <w:pStyle w:val="TableContents"/>
              <w:bidi w:val="0"/>
              <w:spacing w:before="0" w:after="283"/>
              <w:jc w:val="left"/>
              <w:rPr/>
            </w:pPr>
            <w:r>
              <w:rPr/>
              <w:t>parking_lot</w:t>
            </w:r>
          </w:p>
        </w:tc>
        <w:tc>
          <w:tcPr>
            <w:tcW w:w="811" w:type="dxa"/>
            <w:tcBorders/>
            <w:vAlign w:val="center"/>
          </w:tcPr>
          <w:p>
            <w:pPr>
              <w:pStyle w:val="TableContents"/>
              <w:bidi w:val="0"/>
              <w:spacing w:before="0" w:after="283"/>
              <w:jc w:val="left"/>
              <w:rPr/>
            </w:pPr>
            <w:r>
              <w:rPr/>
              <w:t>0_none</w:t>
            </w:r>
          </w:p>
        </w:tc>
        <w:tc>
          <w:tcPr>
            <w:tcW w:w="1561" w:type="dxa"/>
            <w:tcBorders/>
            <w:vAlign w:val="center"/>
          </w:tcPr>
          <w:p>
            <w:pPr>
              <w:pStyle w:val="TableContents"/>
              <w:bidi w:val="0"/>
              <w:spacing w:before="0" w:after="283"/>
              <w:jc w:val="right"/>
              <w:rPr/>
            </w:pPr>
            <w:r>
              <w:rPr/>
              <w:t>0.167 +/- 0.000</w:t>
            </w:r>
          </w:p>
        </w:tc>
        <w:tc>
          <w:tcPr>
            <w:tcW w:w="1561" w:type="dxa"/>
            <w:tcBorders/>
            <w:vAlign w:val="center"/>
          </w:tcPr>
          <w:p>
            <w:pPr>
              <w:pStyle w:val="TableContents"/>
              <w:bidi w:val="0"/>
              <w:spacing w:before="0" w:after="283"/>
              <w:jc w:val="right"/>
              <w:rPr/>
            </w:pPr>
            <w:r>
              <w:rPr/>
              <w:t>0.147 +/- 0.003</w:t>
            </w:r>
          </w:p>
        </w:tc>
        <w:tc>
          <w:tcPr>
            <w:tcW w:w="1471" w:type="dxa"/>
            <w:tcBorders/>
            <w:vAlign w:val="center"/>
          </w:tcPr>
          <w:p>
            <w:pPr>
              <w:pStyle w:val="TableContents"/>
              <w:bidi w:val="0"/>
              <w:spacing w:before="0" w:after="283"/>
              <w:jc w:val="right"/>
              <w:rPr/>
            </w:pPr>
            <w:r>
              <w:rPr/>
              <w:t>+12.1%</w:t>
            </w:r>
          </w:p>
        </w:tc>
      </w:tr>
      <w:tr>
        <w:trPr/>
        <w:tc>
          <w:tcPr>
            <w:tcW w:w="1396" w:type="dxa"/>
            <w:tcBorders/>
            <w:vAlign w:val="center"/>
          </w:tcPr>
          <w:p>
            <w:pPr>
              <w:pStyle w:val="TableContents"/>
              <w:bidi w:val="0"/>
              <w:spacing w:before="0" w:after="283"/>
              <w:jc w:val="left"/>
              <w:rPr/>
            </w:pPr>
            <w:r>
              <w:rPr/>
              <w:t>parking_lot</w:t>
            </w:r>
          </w:p>
        </w:tc>
        <w:tc>
          <w:tcPr>
            <w:tcW w:w="811" w:type="dxa"/>
            <w:tcBorders/>
            <w:vAlign w:val="center"/>
          </w:tcPr>
          <w:p>
            <w:pPr>
              <w:pStyle w:val="TableContents"/>
              <w:bidi w:val="0"/>
              <w:spacing w:before="0" w:after="283"/>
              <w:jc w:val="left"/>
              <w:rPr/>
            </w:pPr>
            <w:r>
              <w:rPr/>
              <w:t>1_low</w:t>
            </w:r>
          </w:p>
        </w:tc>
        <w:tc>
          <w:tcPr>
            <w:tcW w:w="1561" w:type="dxa"/>
            <w:tcBorders/>
            <w:vAlign w:val="center"/>
          </w:tcPr>
          <w:p>
            <w:pPr>
              <w:pStyle w:val="TableContents"/>
              <w:bidi w:val="0"/>
              <w:spacing w:before="0" w:after="283"/>
              <w:jc w:val="right"/>
              <w:rPr/>
            </w:pPr>
            <w:r>
              <w:rPr/>
              <w:t>0.118 +/- 0.000</w:t>
            </w:r>
          </w:p>
        </w:tc>
        <w:tc>
          <w:tcPr>
            <w:tcW w:w="1561" w:type="dxa"/>
            <w:tcBorders/>
            <w:vAlign w:val="center"/>
          </w:tcPr>
          <w:p>
            <w:pPr>
              <w:pStyle w:val="TableContents"/>
              <w:bidi w:val="0"/>
              <w:spacing w:before="0" w:after="283"/>
              <w:jc w:val="right"/>
              <w:rPr/>
            </w:pPr>
            <w:r>
              <w:rPr/>
              <w:t>0.106 +/- 0.000</w:t>
            </w:r>
          </w:p>
        </w:tc>
        <w:tc>
          <w:tcPr>
            <w:tcW w:w="1471" w:type="dxa"/>
            <w:tcBorders/>
            <w:vAlign w:val="center"/>
          </w:tcPr>
          <w:p>
            <w:pPr>
              <w:pStyle w:val="TableContents"/>
              <w:bidi w:val="0"/>
              <w:spacing w:before="0" w:after="283"/>
              <w:jc w:val="right"/>
              <w:rPr/>
            </w:pPr>
            <w:r>
              <w:rPr/>
              <w:t>+9.7%</w:t>
            </w:r>
          </w:p>
        </w:tc>
      </w:tr>
      <w:tr>
        <w:trPr/>
        <w:tc>
          <w:tcPr>
            <w:tcW w:w="1396" w:type="dxa"/>
            <w:tcBorders/>
            <w:vAlign w:val="center"/>
          </w:tcPr>
          <w:p>
            <w:pPr>
              <w:pStyle w:val="TableContents"/>
              <w:bidi w:val="0"/>
              <w:spacing w:before="0" w:after="283"/>
              <w:jc w:val="left"/>
              <w:rPr/>
            </w:pPr>
            <w:r>
              <w:rPr/>
              <w:t>parking_lot</w:t>
            </w:r>
          </w:p>
        </w:tc>
        <w:tc>
          <w:tcPr>
            <w:tcW w:w="811" w:type="dxa"/>
            <w:tcBorders/>
            <w:vAlign w:val="center"/>
          </w:tcPr>
          <w:p>
            <w:pPr>
              <w:pStyle w:val="TableContents"/>
              <w:bidi w:val="0"/>
              <w:spacing w:before="0" w:after="283"/>
              <w:jc w:val="left"/>
              <w:rPr/>
            </w:pPr>
            <w:r>
              <w:rPr/>
              <w:t>2_mid</w:t>
            </w:r>
          </w:p>
        </w:tc>
        <w:tc>
          <w:tcPr>
            <w:tcW w:w="1561" w:type="dxa"/>
            <w:tcBorders/>
            <w:vAlign w:val="center"/>
          </w:tcPr>
          <w:p>
            <w:pPr>
              <w:pStyle w:val="TableContents"/>
              <w:bidi w:val="0"/>
              <w:spacing w:before="0" w:after="283"/>
              <w:jc w:val="right"/>
              <w:rPr/>
            </w:pPr>
            <w:r>
              <w:rPr/>
              <w:t>0.144 +/- 0.000</w:t>
            </w:r>
          </w:p>
        </w:tc>
        <w:tc>
          <w:tcPr>
            <w:tcW w:w="1561" w:type="dxa"/>
            <w:tcBorders/>
            <w:vAlign w:val="center"/>
          </w:tcPr>
          <w:p>
            <w:pPr>
              <w:pStyle w:val="TableContents"/>
              <w:bidi w:val="0"/>
              <w:spacing w:before="0" w:after="283"/>
              <w:jc w:val="right"/>
              <w:rPr/>
            </w:pPr>
            <w:r>
              <w:rPr/>
              <w:t>0.197 +/- 0.013</w:t>
            </w:r>
          </w:p>
        </w:tc>
        <w:tc>
          <w:tcPr>
            <w:tcW w:w="1471" w:type="dxa"/>
            <w:tcBorders/>
            <w:vAlign w:val="center"/>
          </w:tcPr>
          <w:p>
            <w:pPr>
              <w:pStyle w:val="TableContents"/>
              <w:bidi w:val="0"/>
              <w:spacing w:before="0" w:after="283"/>
              <w:jc w:val="right"/>
              <w:rPr/>
            </w:pPr>
            <w:r>
              <w:rPr/>
              <w:t>-36.4%</w:t>
            </w:r>
          </w:p>
        </w:tc>
      </w:tr>
      <w:tr>
        <w:trPr/>
        <w:tc>
          <w:tcPr>
            <w:tcW w:w="1396" w:type="dxa"/>
            <w:tcBorders/>
            <w:vAlign w:val="center"/>
          </w:tcPr>
          <w:p>
            <w:pPr>
              <w:pStyle w:val="TableContents"/>
              <w:bidi w:val="0"/>
              <w:spacing w:before="0" w:after="283"/>
              <w:jc w:val="left"/>
              <w:rPr/>
            </w:pPr>
            <w:r>
              <w:rPr/>
              <w:t>parking_lot</w:t>
            </w:r>
          </w:p>
        </w:tc>
        <w:tc>
          <w:tcPr>
            <w:tcW w:w="811" w:type="dxa"/>
            <w:tcBorders/>
            <w:vAlign w:val="center"/>
          </w:tcPr>
          <w:p>
            <w:pPr>
              <w:pStyle w:val="TableContents"/>
              <w:bidi w:val="0"/>
              <w:spacing w:before="0" w:after="283"/>
              <w:jc w:val="left"/>
              <w:rPr/>
            </w:pPr>
            <w:r>
              <w:rPr/>
              <w:t>3_high</w:t>
            </w:r>
          </w:p>
        </w:tc>
        <w:tc>
          <w:tcPr>
            <w:tcW w:w="1561" w:type="dxa"/>
            <w:tcBorders/>
            <w:vAlign w:val="center"/>
          </w:tcPr>
          <w:p>
            <w:pPr>
              <w:pStyle w:val="TableContents"/>
              <w:bidi w:val="0"/>
              <w:spacing w:before="0" w:after="283"/>
              <w:jc w:val="right"/>
              <w:rPr/>
            </w:pPr>
            <w:r>
              <w:rPr/>
              <w:t>0.119 +/- 0.000</w:t>
            </w:r>
          </w:p>
        </w:tc>
        <w:tc>
          <w:tcPr>
            <w:tcW w:w="1561" w:type="dxa"/>
            <w:tcBorders/>
            <w:vAlign w:val="center"/>
          </w:tcPr>
          <w:p>
            <w:pPr>
              <w:pStyle w:val="TableContents"/>
              <w:bidi w:val="0"/>
              <w:spacing w:before="0" w:after="283"/>
              <w:jc w:val="right"/>
              <w:rPr/>
            </w:pPr>
            <w:r>
              <w:rPr/>
              <w:t>0.172 +/- 0.000</w:t>
            </w:r>
          </w:p>
        </w:tc>
        <w:tc>
          <w:tcPr>
            <w:tcW w:w="1471" w:type="dxa"/>
            <w:tcBorders/>
            <w:vAlign w:val="center"/>
          </w:tcPr>
          <w:p>
            <w:pPr>
              <w:pStyle w:val="TableContents"/>
              <w:bidi w:val="0"/>
              <w:spacing w:before="0" w:after="283"/>
              <w:jc w:val="right"/>
              <w:rPr/>
            </w:pPr>
            <w:r>
              <w:rPr/>
              <w:t>-44.3%</w:t>
            </w:r>
          </w:p>
        </w:tc>
      </w:tr>
    </w:tbl>
    <w:p>
      <w:pPr>
        <w:pStyle w:val="TextBody"/>
        <w:bidi w:val="0"/>
        <w:spacing w:before="0" w:after="283"/>
        <w:jc w:val="left"/>
        <w:rPr/>
      </w:pPr>
      <w:r>
        <w:rPr/>
        <w:t>These results show that the method is conditionally effective rather than universally superior. It helps when dynamic features produce clear geometric inconsistency and do not dominate the image. It can degrade when the dynamic object density is high enough to contaminate the fundamental matrix estimate. Figure 2 visualizes the per-condition ATE change against the +/-3% decision band.</w:t>
      </w:r>
    </w:p>
    <w:p>
      <w:pPr>
        <w:pStyle w:val="TextBody"/>
        <w:bidi w:val="0"/>
        <w:spacing w:before="0" w:after="283"/>
        <w:jc w:val="left"/>
        <w:rPr/>
      </w:pPr>
      <w:r>
        <w:rPr/>
        <w:drawing>
          <wp:inline distT="0" distB="0" distL="0" distR="0">
            <wp:extent cx="5818505" cy="294703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818505" cy="2947035"/>
                    </a:xfrm>
                    <a:prstGeom prst="rect">
                      <a:avLst/>
                    </a:prstGeom>
                  </pic:spPr>
                </pic:pic>
              </a:graphicData>
            </a:graphic>
          </wp:inline>
        </w:drawing>
      </w:r>
    </w:p>
    <w:p>
      <w:pPr>
        <w:pStyle w:val="TextBody"/>
        <w:bidi w:val="0"/>
        <w:spacing w:before="0" w:after="283"/>
        <w:jc w:val="left"/>
        <w:rPr/>
      </w:pPr>
      <w:r>
        <w:rPr>
          <w:rStyle w:val="StrongEmphasis"/>
        </w:rPr>
        <w:t>Figure 2.</w:t>
      </w:r>
      <w:r>
        <w:rPr/>
        <w:t xml:space="preserve"> VIODE N=5 ATE improvement of GeoDF-Adaptive over the baseline (CD = city_day, CN = city_night, PL = parking_lot; 0-3 dynamic levels).</w:t>
      </w:r>
    </w:p>
    <w:p>
      <w:pPr>
        <w:pStyle w:val="Heading3"/>
        <w:bidi w:val="0"/>
        <w:jc w:val="left"/>
        <w:rPr/>
      </w:pPr>
      <w:r>
        <w:rPr/>
        <w:t>5.2 EuRoC Static Safety</w:t>
      </w:r>
    </w:p>
    <w:p>
      <w:pPr>
        <w:pStyle w:val="TextBody"/>
        <w:bidi w:val="0"/>
        <w:spacing w:before="0" w:after="283"/>
        <w:jc w:val="left"/>
        <w:rPr/>
      </w:pPr>
      <w:r>
        <w:rPr/>
        <w:t>Static-scene safety is important because a dynamic-feature filter should not harm odometry in environments where dynamic objects are absent. On EuRoC, GeoDF-Adaptive improved all five tested sequences by 2.0% to 6.2%, indicating that scene-aware activation did not introduce a static-scene regression.</w:t>
      </w:r>
    </w:p>
    <w:p>
      <w:pPr>
        <w:pStyle w:val="Heading3"/>
        <w:bidi w:val="0"/>
        <w:jc w:val="left"/>
        <w:rPr/>
      </w:pPr>
      <w:r>
        <w:rPr/>
        <w:t>Table 3. EuRoC Static Safety</w:t>
      </w:r>
    </w:p>
    <w:tbl>
      <w:tblPr>
        <w:tblW w:w="6319" w:type="dxa"/>
        <w:jc w:val="left"/>
        <w:tblInd w:w="0" w:type="dxa"/>
        <w:tblLayout w:type="fixed"/>
        <w:tblCellMar>
          <w:top w:w="28" w:type="dxa"/>
          <w:left w:w="28" w:type="dxa"/>
          <w:bottom w:w="28" w:type="dxa"/>
          <w:right w:w="28" w:type="dxa"/>
        </w:tblCellMar>
      </w:tblPr>
      <w:tblGrid>
        <w:gridCol w:w="1726"/>
        <w:gridCol w:w="1561"/>
        <w:gridCol w:w="1561"/>
        <w:gridCol w:w="1471"/>
      </w:tblGrid>
      <w:tr>
        <w:trPr>
          <w:tblHeader w:val="true"/>
        </w:trPr>
        <w:tc>
          <w:tcPr>
            <w:tcW w:w="1726" w:type="dxa"/>
            <w:tcBorders/>
            <w:vAlign w:val="center"/>
          </w:tcPr>
          <w:p>
            <w:pPr>
              <w:pStyle w:val="TableHeading"/>
              <w:suppressLineNumbers/>
              <w:shd w:fill="E8E8E8" w:val="clear"/>
              <w:bidi w:val="0"/>
              <w:spacing w:before="0" w:after="283"/>
              <w:jc w:val="center"/>
              <w:rPr/>
            </w:pPr>
            <w:r>
              <w:rPr/>
              <w:t>Sequence</w:t>
            </w:r>
          </w:p>
        </w:tc>
        <w:tc>
          <w:tcPr>
            <w:tcW w:w="1561" w:type="dxa"/>
            <w:tcBorders/>
            <w:vAlign w:val="center"/>
          </w:tcPr>
          <w:p>
            <w:pPr>
              <w:pStyle w:val="TableHeading"/>
              <w:bidi w:val="0"/>
              <w:spacing w:before="0" w:after="283"/>
              <w:jc w:val="right"/>
              <w:rPr/>
            </w:pPr>
            <w:r>
              <w:rPr/>
              <w:t>Baseline ATE</w:t>
            </w:r>
          </w:p>
        </w:tc>
        <w:tc>
          <w:tcPr>
            <w:tcW w:w="1561" w:type="dxa"/>
            <w:tcBorders/>
            <w:vAlign w:val="center"/>
          </w:tcPr>
          <w:p>
            <w:pPr>
              <w:pStyle w:val="TableHeading"/>
              <w:bidi w:val="0"/>
              <w:spacing w:before="0" w:after="283"/>
              <w:jc w:val="right"/>
              <w:rPr/>
            </w:pPr>
            <w:r>
              <w:rPr/>
              <w:t>Proposed ATE</w:t>
            </w:r>
          </w:p>
        </w:tc>
        <w:tc>
          <w:tcPr>
            <w:tcW w:w="1471" w:type="dxa"/>
            <w:tcBorders/>
            <w:vAlign w:val="center"/>
          </w:tcPr>
          <w:p>
            <w:pPr>
              <w:pStyle w:val="TableHeading"/>
              <w:bidi w:val="0"/>
              <w:spacing w:before="0" w:after="283"/>
              <w:jc w:val="right"/>
              <w:rPr/>
            </w:pPr>
            <w:r>
              <w:rPr/>
              <w:t>Improvement</w:t>
            </w:r>
          </w:p>
        </w:tc>
      </w:tr>
      <w:tr>
        <w:trPr/>
        <w:tc>
          <w:tcPr>
            <w:tcW w:w="1726" w:type="dxa"/>
            <w:tcBorders/>
            <w:vAlign w:val="center"/>
          </w:tcPr>
          <w:p>
            <w:pPr>
              <w:pStyle w:val="TableContents"/>
              <w:bidi w:val="0"/>
              <w:spacing w:before="0" w:after="283"/>
              <w:jc w:val="left"/>
              <w:rPr/>
            </w:pPr>
            <w:r>
              <w:rPr/>
              <w:t>MH_01_easy</w:t>
            </w:r>
          </w:p>
        </w:tc>
        <w:tc>
          <w:tcPr>
            <w:tcW w:w="1561" w:type="dxa"/>
            <w:tcBorders/>
            <w:vAlign w:val="center"/>
          </w:tcPr>
          <w:p>
            <w:pPr>
              <w:pStyle w:val="TableContents"/>
              <w:bidi w:val="0"/>
              <w:spacing w:before="0" w:after="283"/>
              <w:jc w:val="right"/>
              <w:rPr/>
            </w:pPr>
            <w:r>
              <w:rPr/>
              <w:t>0.185 +/- 0.007</w:t>
            </w:r>
          </w:p>
        </w:tc>
        <w:tc>
          <w:tcPr>
            <w:tcW w:w="1561" w:type="dxa"/>
            <w:tcBorders/>
            <w:vAlign w:val="center"/>
          </w:tcPr>
          <w:p>
            <w:pPr>
              <w:pStyle w:val="TableContents"/>
              <w:bidi w:val="0"/>
              <w:spacing w:before="0" w:after="283"/>
              <w:jc w:val="right"/>
              <w:rPr/>
            </w:pPr>
            <w:r>
              <w:rPr/>
              <w:t>0.177 +/- 0.000</w:t>
            </w:r>
          </w:p>
        </w:tc>
        <w:tc>
          <w:tcPr>
            <w:tcW w:w="1471" w:type="dxa"/>
            <w:tcBorders/>
            <w:vAlign w:val="center"/>
          </w:tcPr>
          <w:p>
            <w:pPr>
              <w:pStyle w:val="TableContents"/>
              <w:bidi w:val="0"/>
              <w:spacing w:before="0" w:after="283"/>
              <w:jc w:val="right"/>
              <w:rPr/>
            </w:pPr>
            <w:r>
              <w:rPr/>
              <w:t>+4.3%</w:t>
            </w:r>
          </w:p>
        </w:tc>
      </w:tr>
      <w:tr>
        <w:trPr/>
        <w:tc>
          <w:tcPr>
            <w:tcW w:w="1726" w:type="dxa"/>
            <w:tcBorders/>
            <w:vAlign w:val="center"/>
          </w:tcPr>
          <w:p>
            <w:pPr>
              <w:pStyle w:val="TableContents"/>
              <w:bidi w:val="0"/>
              <w:spacing w:before="0" w:after="283"/>
              <w:jc w:val="left"/>
              <w:rPr/>
            </w:pPr>
            <w:r>
              <w:rPr/>
              <w:t>MH_02_easy</w:t>
            </w:r>
          </w:p>
        </w:tc>
        <w:tc>
          <w:tcPr>
            <w:tcW w:w="1561" w:type="dxa"/>
            <w:tcBorders/>
            <w:vAlign w:val="center"/>
          </w:tcPr>
          <w:p>
            <w:pPr>
              <w:pStyle w:val="TableContents"/>
              <w:bidi w:val="0"/>
              <w:spacing w:before="0" w:after="283"/>
              <w:jc w:val="right"/>
              <w:rPr/>
            </w:pPr>
            <w:r>
              <w:rPr/>
              <w:t>0.169 +/- 0.000</w:t>
            </w:r>
          </w:p>
        </w:tc>
        <w:tc>
          <w:tcPr>
            <w:tcW w:w="1561" w:type="dxa"/>
            <w:tcBorders/>
            <w:vAlign w:val="center"/>
          </w:tcPr>
          <w:p>
            <w:pPr>
              <w:pStyle w:val="TableContents"/>
              <w:bidi w:val="0"/>
              <w:spacing w:before="0" w:after="283"/>
              <w:jc w:val="right"/>
              <w:rPr/>
            </w:pPr>
            <w:r>
              <w:rPr/>
              <w:t>0.165 +/- 0.005</w:t>
            </w:r>
          </w:p>
        </w:tc>
        <w:tc>
          <w:tcPr>
            <w:tcW w:w="1471" w:type="dxa"/>
            <w:tcBorders/>
            <w:vAlign w:val="center"/>
          </w:tcPr>
          <w:p>
            <w:pPr>
              <w:pStyle w:val="TableContents"/>
              <w:bidi w:val="0"/>
              <w:spacing w:before="0" w:after="283"/>
              <w:jc w:val="right"/>
              <w:rPr/>
            </w:pPr>
            <w:r>
              <w:rPr/>
              <w:t>+2.0%</w:t>
            </w:r>
          </w:p>
        </w:tc>
      </w:tr>
      <w:tr>
        <w:trPr/>
        <w:tc>
          <w:tcPr>
            <w:tcW w:w="1726" w:type="dxa"/>
            <w:tcBorders/>
            <w:vAlign w:val="center"/>
          </w:tcPr>
          <w:p>
            <w:pPr>
              <w:pStyle w:val="TableContents"/>
              <w:bidi w:val="0"/>
              <w:spacing w:before="0" w:after="283"/>
              <w:jc w:val="left"/>
              <w:rPr/>
            </w:pPr>
            <w:r>
              <w:rPr/>
              <w:t>MH_03_medium</w:t>
            </w:r>
          </w:p>
        </w:tc>
        <w:tc>
          <w:tcPr>
            <w:tcW w:w="1561" w:type="dxa"/>
            <w:tcBorders/>
            <w:vAlign w:val="center"/>
          </w:tcPr>
          <w:p>
            <w:pPr>
              <w:pStyle w:val="TableContents"/>
              <w:bidi w:val="0"/>
              <w:spacing w:before="0" w:after="283"/>
              <w:jc w:val="right"/>
              <w:rPr/>
            </w:pPr>
            <w:r>
              <w:rPr/>
              <w:t>0.292 +/- 0.000</w:t>
            </w:r>
          </w:p>
        </w:tc>
        <w:tc>
          <w:tcPr>
            <w:tcW w:w="1561" w:type="dxa"/>
            <w:tcBorders/>
            <w:vAlign w:val="center"/>
          </w:tcPr>
          <w:p>
            <w:pPr>
              <w:pStyle w:val="TableContents"/>
              <w:bidi w:val="0"/>
              <w:spacing w:before="0" w:after="283"/>
              <w:jc w:val="right"/>
              <w:rPr/>
            </w:pPr>
            <w:r>
              <w:rPr/>
              <w:t>0.274 +/- 0.000</w:t>
            </w:r>
          </w:p>
        </w:tc>
        <w:tc>
          <w:tcPr>
            <w:tcW w:w="1471" w:type="dxa"/>
            <w:tcBorders/>
            <w:vAlign w:val="center"/>
          </w:tcPr>
          <w:p>
            <w:pPr>
              <w:pStyle w:val="TableContents"/>
              <w:bidi w:val="0"/>
              <w:spacing w:before="0" w:after="283"/>
              <w:jc w:val="right"/>
              <w:rPr/>
            </w:pPr>
            <w:r>
              <w:rPr/>
              <w:t>+6.2%</w:t>
            </w:r>
          </w:p>
        </w:tc>
      </w:tr>
      <w:tr>
        <w:trPr/>
        <w:tc>
          <w:tcPr>
            <w:tcW w:w="1726" w:type="dxa"/>
            <w:tcBorders/>
            <w:vAlign w:val="center"/>
          </w:tcPr>
          <w:p>
            <w:pPr>
              <w:pStyle w:val="TableContents"/>
              <w:bidi w:val="0"/>
              <w:spacing w:before="0" w:after="283"/>
              <w:jc w:val="left"/>
              <w:rPr/>
            </w:pPr>
            <w:r>
              <w:rPr/>
              <w:t>MH_04_difficult</w:t>
            </w:r>
          </w:p>
        </w:tc>
        <w:tc>
          <w:tcPr>
            <w:tcW w:w="1561" w:type="dxa"/>
            <w:tcBorders/>
            <w:vAlign w:val="center"/>
          </w:tcPr>
          <w:p>
            <w:pPr>
              <w:pStyle w:val="TableContents"/>
              <w:bidi w:val="0"/>
              <w:spacing w:before="0" w:after="283"/>
              <w:jc w:val="right"/>
              <w:rPr/>
            </w:pPr>
            <w:r>
              <w:rPr/>
              <w:t>0.447 +/- 0.000</w:t>
            </w:r>
          </w:p>
        </w:tc>
        <w:tc>
          <w:tcPr>
            <w:tcW w:w="1561" w:type="dxa"/>
            <w:tcBorders/>
            <w:vAlign w:val="center"/>
          </w:tcPr>
          <w:p>
            <w:pPr>
              <w:pStyle w:val="TableContents"/>
              <w:bidi w:val="0"/>
              <w:spacing w:before="0" w:after="283"/>
              <w:jc w:val="right"/>
              <w:rPr/>
            </w:pPr>
            <w:r>
              <w:rPr/>
              <w:t>0.436 +/- 0.007</w:t>
            </w:r>
          </w:p>
        </w:tc>
        <w:tc>
          <w:tcPr>
            <w:tcW w:w="1471" w:type="dxa"/>
            <w:tcBorders/>
            <w:vAlign w:val="center"/>
          </w:tcPr>
          <w:p>
            <w:pPr>
              <w:pStyle w:val="TableContents"/>
              <w:bidi w:val="0"/>
              <w:spacing w:before="0" w:after="283"/>
              <w:jc w:val="right"/>
              <w:rPr/>
            </w:pPr>
            <w:r>
              <w:rPr/>
              <w:t>+2.3%</w:t>
            </w:r>
          </w:p>
        </w:tc>
      </w:tr>
      <w:tr>
        <w:trPr/>
        <w:tc>
          <w:tcPr>
            <w:tcW w:w="1726" w:type="dxa"/>
            <w:tcBorders/>
            <w:vAlign w:val="center"/>
          </w:tcPr>
          <w:p>
            <w:pPr>
              <w:pStyle w:val="TableContents"/>
              <w:bidi w:val="0"/>
              <w:spacing w:before="0" w:after="283"/>
              <w:jc w:val="left"/>
              <w:rPr/>
            </w:pPr>
            <w:r>
              <w:rPr/>
              <w:t>MH_05_difficult</w:t>
            </w:r>
          </w:p>
        </w:tc>
        <w:tc>
          <w:tcPr>
            <w:tcW w:w="1561" w:type="dxa"/>
            <w:tcBorders/>
            <w:vAlign w:val="center"/>
          </w:tcPr>
          <w:p>
            <w:pPr>
              <w:pStyle w:val="TableContents"/>
              <w:bidi w:val="0"/>
              <w:spacing w:before="0" w:after="283"/>
              <w:jc w:val="right"/>
              <w:rPr/>
            </w:pPr>
            <w:r>
              <w:rPr/>
              <w:t>0.298 +/- 0.000</w:t>
            </w:r>
          </w:p>
        </w:tc>
        <w:tc>
          <w:tcPr>
            <w:tcW w:w="1561" w:type="dxa"/>
            <w:tcBorders/>
            <w:vAlign w:val="center"/>
          </w:tcPr>
          <w:p>
            <w:pPr>
              <w:pStyle w:val="TableContents"/>
              <w:bidi w:val="0"/>
              <w:spacing w:before="0" w:after="283"/>
              <w:jc w:val="right"/>
              <w:rPr/>
            </w:pPr>
            <w:r>
              <w:rPr/>
              <w:t>0.290 +/- 0.009</w:t>
            </w:r>
          </w:p>
        </w:tc>
        <w:tc>
          <w:tcPr>
            <w:tcW w:w="1471" w:type="dxa"/>
            <w:tcBorders/>
            <w:vAlign w:val="center"/>
          </w:tcPr>
          <w:p>
            <w:pPr>
              <w:pStyle w:val="TableContents"/>
              <w:bidi w:val="0"/>
              <w:spacing w:before="0" w:after="283"/>
              <w:jc w:val="right"/>
              <w:rPr/>
            </w:pPr>
            <w:r>
              <w:rPr/>
              <w:t>+2.6%</w:t>
            </w:r>
          </w:p>
        </w:tc>
      </w:tr>
    </w:tbl>
    <w:p>
      <w:pPr>
        <w:pStyle w:val="Heading3"/>
        <w:bidi w:val="0"/>
        <w:jc w:val="left"/>
        <w:rPr/>
      </w:pPr>
      <w:r>
        <w:rPr/>
        <w:t>5.3 Feature-Level Dynamic Detection</w:t>
      </w:r>
    </w:p>
    <w:p>
      <w:pPr>
        <w:pStyle w:val="TextBody"/>
        <w:bidi w:val="0"/>
        <w:spacing w:before="0" w:after="283"/>
        <w:jc w:val="left"/>
        <w:rPr/>
      </w:pPr>
      <w:r>
        <w:rPr/>
        <w:t xml:space="preserve">Trajectory metrics alone cannot prove that a filter is removing dynamic-object features. Therefore, the rejected features were compared against VIODE moving-vehicle segmentation masks. On </w:t>
      </w:r>
      <w:r>
        <w:rPr>
          <w:rStyle w:val="SourceText"/>
        </w:rPr>
        <w:t>city_day</w:t>
      </w:r>
      <w:r>
        <w:rPr/>
        <w:t>, rejected features were 8.33x to 31.72x more likely to fall on moving vehicles than randomly selected tracked features, while the static false-positive rate stayed below 1%.</w:t>
      </w:r>
    </w:p>
    <w:p>
      <w:pPr>
        <w:pStyle w:val="Heading3"/>
        <w:bidi w:val="0"/>
        <w:jc w:val="left"/>
        <w:rPr/>
      </w:pPr>
      <w:r>
        <w:rPr/>
        <w:t>Table 4. VIODE Dynamic Feature Detection</w:t>
      </w:r>
    </w:p>
    <w:tbl>
      <w:tblPr>
        <w:tblW w:w="6635" w:type="dxa"/>
        <w:jc w:val="left"/>
        <w:tblInd w:w="0" w:type="dxa"/>
        <w:tblLayout w:type="fixed"/>
        <w:tblCellMar>
          <w:top w:w="28" w:type="dxa"/>
          <w:left w:w="28" w:type="dxa"/>
          <w:bottom w:w="28" w:type="dxa"/>
          <w:right w:w="28" w:type="dxa"/>
        </w:tblCellMar>
      </w:tblPr>
      <w:tblGrid>
        <w:gridCol w:w="1396"/>
        <w:gridCol w:w="766"/>
        <w:gridCol w:w="1936"/>
        <w:gridCol w:w="1336"/>
        <w:gridCol w:w="1201"/>
      </w:tblGrid>
      <w:tr>
        <w:trPr>
          <w:tblHeader w:val="true"/>
        </w:trPr>
        <w:tc>
          <w:tcPr>
            <w:tcW w:w="1396" w:type="dxa"/>
            <w:tcBorders/>
            <w:vAlign w:val="center"/>
          </w:tcPr>
          <w:p>
            <w:pPr>
              <w:pStyle w:val="TableHeading"/>
              <w:suppressLineNumbers/>
              <w:shd w:fill="E8E8E8" w:val="clear"/>
              <w:bidi w:val="0"/>
              <w:spacing w:before="0" w:after="283"/>
              <w:jc w:val="center"/>
              <w:rPr/>
            </w:pPr>
            <w:r>
              <w:rPr/>
              <w:t>Environment</w:t>
            </w:r>
          </w:p>
        </w:tc>
        <w:tc>
          <w:tcPr>
            <w:tcW w:w="766" w:type="dxa"/>
            <w:tcBorders/>
            <w:vAlign w:val="center"/>
          </w:tcPr>
          <w:p>
            <w:pPr>
              <w:pStyle w:val="TableHeading"/>
              <w:suppressLineNumbers/>
              <w:shd w:fill="E8E8E8" w:val="clear"/>
              <w:bidi w:val="0"/>
              <w:spacing w:before="0" w:after="283"/>
              <w:jc w:val="center"/>
              <w:rPr/>
            </w:pPr>
            <w:r>
              <w:rPr/>
              <w:t>Level</w:t>
            </w:r>
          </w:p>
        </w:tc>
        <w:tc>
          <w:tcPr>
            <w:tcW w:w="1936" w:type="dxa"/>
            <w:tcBorders/>
            <w:vAlign w:val="center"/>
          </w:tcPr>
          <w:p>
            <w:pPr>
              <w:pStyle w:val="TableHeading"/>
              <w:bidi w:val="0"/>
              <w:spacing w:before="0" w:after="283"/>
              <w:jc w:val="right"/>
              <w:rPr/>
            </w:pPr>
            <w:r>
              <w:rPr/>
              <w:t>Dynamic base rate</w:t>
            </w:r>
          </w:p>
        </w:tc>
        <w:tc>
          <w:tcPr>
            <w:tcW w:w="1336" w:type="dxa"/>
            <w:tcBorders/>
            <w:vAlign w:val="center"/>
          </w:tcPr>
          <w:p>
            <w:pPr>
              <w:pStyle w:val="TableHeading"/>
              <w:bidi w:val="0"/>
              <w:spacing w:before="0" w:after="283"/>
              <w:jc w:val="right"/>
              <w:rPr/>
            </w:pPr>
            <w:r>
              <w:rPr/>
              <w:t>Precision lift</w:t>
            </w:r>
          </w:p>
        </w:tc>
        <w:tc>
          <w:tcPr>
            <w:tcW w:w="1201" w:type="dxa"/>
            <w:tcBorders/>
            <w:vAlign w:val="center"/>
          </w:tcPr>
          <w:p>
            <w:pPr>
              <w:pStyle w:val="TableHeading"/>
              <w:bidi w:val="0"/>
              <w:spacing w:before="0" w:after="283"/>
              <w:jc w:val="right"/>
              <w:rPr/>
            </w:pPr>
            <w:r>
              <w:rPr/>
              <w:t>Static FPR</w:t>
            </w:r>
          </w:p>
        </w:tc>
      </w:tr>
      <w:tr>
        <w:trPr/>
        <w:tc>
          <w:tcPr>
            <w:tcW w:w="1396" w:type="dxa"/>
            <w:tcBorders/>
            <w:vAlign w:val="center"/>
          </w:tcPr>
          <w:p>
            <w:pPr>
              <w:pStyle w:val="TableContents"/>
              <w:bidi w:val="0"/>
              <w:spacing w:before="0" w:after="283"/>
              <w:jc w:val="left"/>
              <w:rPr/>
            </w:pPr>
            <w:r>
              <w:rPr/>
              <w:t>city_day</w:t>
            </w:r>
          </w:p>
        </w:tc>
        <w:tc>
          <w:tcPr>
            <w:tcW w:w="766" w:type="dxa"/>
            <w:tcBorders/>
            <w:vAlign w:val="center"/>
          </w:tcPr>
          <w:p>
            <w:pPr>
              <w:pStyle w:val="TableContents"/>
              <w:bidi w:val="0"/>
              <w:spacing w:before="0" w:after="283"/>
              <w:jc w:val="left"/>
              <w:rPr/>
            </w:pPr>
            <w:r>
              <w:rPr/>
              <w:t>1_low</w:t>
            </w:r>
          </w:p>
        </w:tc>
        <w:tc>
          <w:tcPr>
            <w:tcW w:w="1936" w:type="dxa"/>
            <w:tcBorders/>
            <w:vAlign w:val="center"/>
          </w:tcPr>
          <w:p>
            <w:pPr>
              <w:pStyle w:val="TableContents"/>
              <w:bidi w:val="0"/>
              <w:spacing w:before="0" w:after="283"/>
              <w:jc w:val="right"/>
              <w:rPr/>
            </w:pPr>
            <w:r>
              <w:rPr/>
              <w:t>0.08%</w:t>
            </w:r>
          </w:p>
        </w:tc>
        <w:tc>
          <w:tcPr>
            <w:tcW w:w="1336" w:type="dxa"/>
            <w:tcBorders/>
            <w:vAlign w:val="center"/>
          </w:tcPr>
          <w:p>
            <w:pPr>
              <w:pStyle w:val="TableContents"/>
              <w:bidi w:val="0"/>
              <w:spacing w:before="0" w:after="283"/>
              <w:jc w:val="right"/>
              <w:rPr/>
            </w:pPr>
            <w:r>
              <w:rPr/>
              <w:t>31.72x</w:t>
            </w:r>
          </w:p>
        </w:tc>
        <w:tc>
          <w:tcPr>
            <w:tcW w:w="1201" w:type="dxa"/>
            <w:tcBorders/>
            <w:vAlign w:val="center"/>
          </w:tcPr>
          <w:p>
            <w:pPr>
              <w:pStyle w:val="TableContents"/>
              <w:bidi w:val="0"/>
              <w:spacing w:before="0" w:after="283"/>
              <w:jc w:val="right"/>
              <w:rPr/>
            </w:pPr>
            <w:r>
              <w:rPr/>
              <w:t>0.59%</w:t>
            </w:r>
          </w:p>
        </w:tc>
      </w:tr>
      <w:tr>
        <w:trPr/>
        <w:tc>
          <w:tcPr>
            <w:tcW w:w="1396" w:type="dxa"/>
            <w:tcBorders/>
            <w:vAlign w:val="center"/>
          </w:tcPr>
          <w:p>
            <w:pPr>
              <w:pStyle w:val="TableContents"/>
              <w:bidi w:val="0"/>
              <w:spacing w:before="0" w:after="283"/>
              <w:jc w:val="left"/>
              <w:rPr/>
            </w:pPr>
            <w:r>
              <w:rPr/>
              <w:t>city_day</w:t>
            </w:r>
          </w:p>
        </w:tc>
        <w:tc>
          <w:tcPr>
            <w:tcW w:w="766" w:type="dxa"/>
            <w:tcBorders/>
            <w:vAlign w:val="center"/>
          </w:tcPr>
          <w:p>
            <w:pPr>
              <w:pStyle w:val="TableContents"/>
              <w:bidi w:val="0"/>
              <w:spacing w:before="0" w:after="283"/>
              <w:jc w:val="left"/>
              <w:rPr/>
            </w:pPr>
            <w:r>
              <w:rPr/>
              <w:t>2_mid</w:t>
            </w:r>
          </w:p>
        </w:tc>
        <w:tc>
          <w:tcPr>
            <w:tcW w:w="1936" w:type="dxa"/>
            <w:tcBorders/>
            <w:vAlign w:val="center"/>
          </w:tcPr>
          <w:p>
            <w:pPr>
              <w:pStyle w:val="TableContents"/>
              <w:bidi w:val="0"/>
              <w:spacing w:before="0" w:after="283"/>
              <w:jc w:val="right"/>
              <w:rPr/>
            </w:pPr>
            <w:r>
              <w:rPr/>
              <w:t>1.24%</w:t>
            </w:r>
          </w:p>
        </w:tc>
        <w:tc>
          <w:tcPr>
            <w:tcW w:w="1336" w:type="dxa"/>
            <w:tcBorders/>
            <w:vAlign w:val="center"/>
          </w:tcPr>
          <w:p>
            <w:pPr>
              <w:pStyle w:val="TableContents"/>
              <w:bidi w:val="0"/>
              <w:spacing w:before="0" w:after="283"/>
              <w:jc w:val="right"/>
              <w:rPr/>
            </w:pPr>
            <w:r>
              <w:rPr/>
              <w:t>12.14x</w:t>
            </w:r>
          </w:p>
        </w:tc>
        <w:tc>
          <w:tcPr>
            <w:tcW w:w="1201" w:type="dxa"/>
            <w:tcBorders/>
            <w:vAlign w:val="center"/>
          </w:tcPr>
          <w:p>
            <w:pPr>
              <w:pStyle w:val="TableContents"/>
              <w:bidi w:val="0"/>
              <w:spacing w:before="0" w:after="283"/>
              <w:jc w:val="right"/>
              <w:rPr/>
            </w:pPr>
            <w:r>
              <w:rPr/>
              <w:t>0.59%</w:t>
            </w:r>
          </w:p>
        </w:tc>
      </w:tr>
      <w:tr>
        <w:trPr/>
        <w:tc>
          <w:tcPr>
            <w:tcW w:w="1396" w:type="dxa"/>
            <w:tcBorders/>
            <w:vAlign w:val="center"/>
          </w:tcPr>
          <w:p>
            <w:pPr>
              <w:pStyle w:val="TableContents"/>
              <w:bidi w:val="0"/>
              <w:spacing w:before="0" w:after="283"/>
              <w:jc w:val="left"/>
              <w:rPr/>
            </w:pPr>
            <w:r>
              <w:rPr/>
              <w:t>city_day</w:t>
            </w:r>
          </w:p>
        </w:tc>
        <w:tc>
          <w:tcPr>
            <w:tcW w:w="766" w:type="dxa"/>
            <w:tcBorders/>
            <w:vAlign w:val="center"/>
          </w:tcPr>
          <w:p>
            <w:pPr>
              <w:pStyle w:val="TableContents"/>
              <w:bidi w:val="0"/>
              <w:spacing w:before="0" w:after="283"/>
              <w:jc w:val="left"/>
              <w:rPr/>
            </w:pPr>
            <w:r>
              <w:rPr/>
              <w:t>3_high</w:t>
            </w:r>
          </w:p>
        </w:tc>
        <w:tc>
          <w:tcPr>
            <w:tcW w:w="1936" w:type="dxa"/>
            <w:tcBorders/>
            <w:vAlign w:val="center"/>
          </w:tcPr>
          <w:p>
            <w:pPr>
              <w:pStyle w:val="TableContents"/>
              <w:bidi w:val="0"/>
              <w:spacing w:before="0" w:after="283"/>
              <w:jc w:val="right"/>
              <w:rPr/>
            </w:pPr>
            <w:r>
              <w:rPr/>
              <w:t>4.10%</w:t>
            </w:r>
          </w:p>
        </w:tc>
        <w:tc>
          <w:tcPr>
            <w:tcW w:w="1336" w:type="dxa"/>
            <w:tcBorders/>
            <w:vAlign w:val="center"/>
          </w:tcPr>
          <w:p>
            <w:pPr>
              <w:pStyle w:val="TableContents"/>
              <w:bidi w:val="0"/>
              <w:spacing w:before="0" w:after="283"/>
              <w:jc w:val="right"/>
              <w:rPr/>
            </w:pPr>
            <w:r>
              <w:rPr/>
              <w:t>8.33x</w:t>
            </w:r>
          </w:p>
        </w:tc>
        <w:tc>
          <w:tcPr>
            <w:tcW w:w="1201" w:type="dxa"/>
            <w:tcBorders/>
            <w:vAlign w:val="center"/>
          </w:tcPr>
          <w:p>
            <w:pPr>
              <w:pStyle w:val="TableContents"/>
              <w:bidi w:val="0"/>
              <w:spacing w:before="0" w:after="283"/>
              <w:jc w:val="right"/>
              <w:rPr/>
            </w:pPr>
            <w:r>
              <w:rPr/>
              <w:t>0.71%</w:t>
            </w:r>
          </w:p>
        </w:tc>
      </w:tr>
      <w:tr>
        <w:trPr/>
        <w:tc>
          <w:tcPr>
            <w:tcW w:w="1396" w:type="dxa"/>
            <w:tcBorders/>
            <w:vAlign w:val="center"/>
          </w:tcPr>
          <w:p>
            <w:pPr>
              <w:pStyle w:val="TableContents"/>
              <w:bidi w:val="0"/>
              <w:spacing w:before="0" w:after="283"/>
              <w:jc w:val="left"/>
              <w:rPr/>
            </w:pPr>
            <w:r>
              <w:rPr/>
              <w:t>city_night</w:t>
            </w:r>
          </w:p>
        </w:tc>
        <w:tc>
          <w:tcPr>
            <w:tcW w:w="766" w:type="dxa"/>
            <w:tcBorders/>
            <w:vAlign w:val="center"/>
          </w:tcPr>
          <w:p>
            <w:pPr>
              <w:pStyle w:val="TableContents"/>
              <w:bidi w:val="0"/>
              <w:spacing w:before="0" w:after="283"/>
              <w:jc w:val="left"/>
              <w:rPr/>
            </w:pPr>
            <w:r>
              <w:rPr/>
              <w:t>2_mid</w:t>
            </w:r>
          </w:p>
        </w:tc>
        <w:tc>
          <w:tcPr>
            <w:tcW w:w="1936" w:type="dxa"/>
            <w:tcBorders/>
            <w:vAlign w:val="center"/>
          </w:tcPr>
          <w:p>
            <w:pPr>
              <w:pStyle w:val="TableContents"/>
              <w:bidi w:val="0"/>
              <w:spacing w:before="0" w:after="283"/>
              <w:jc w:val="right"/>
              <w:rPr/>
            </w:pPr>
            <w:r>
              <w:rPr/>
              <w:t>2.0%</w:t>
            </w:r>
          </w:p>
        </w:tc>
        <w:tc>
          <w:tcPr>
            <w:tcW w:w="1336" w:type="dxa"/>
            <w:tcBorders/>
            <w:vAlign w:val="center"/>
          </w:tcPr>
          <w:p>
            <w:pPr>
              <w:pStyle w:val="TableContents"/>
              <w:bidi w:val="0"/>
              <w:spacing w:before="0" w:after="283"/>
              <w:jc w:val="right"/>
              <w:rPr/>
            </w:pPr>
            <w:r>
              <w:rPr/>
              <w:t>3.02x</w:t>
            </w:r>
          </w:p>
        </w:tc>
        <w:tc>
          <w:tcPr>
            <w:tcW w:w="1201" w:type="dxa"/>
            <w:tcBorders/>
            <w:vAlign w:val="center"/>
          </w:tcPr>
          <w:p>
            <w:pPr>
              <w:pStyle w:val="TableContents"/>
              <w:bidi w:val="0"/>
              <w:spacing w:before="0" w:after="283"/>
              <w:jc w:val="right"/>
              <w:rPr/>
            </w:pPr>
            <w:r>
              <w:rPr/>
              <w:t>0.8%</w:t>
            </w:r>
          </w:p>
        </w:tc>
      </w:tr>
      <w:tr>
        <w:trPr/>
        <w:tc>
          <w:tcPr>
            <w:tcW w:w="1396" w:type="dxa"/>
            <w:tcBorders/>
            <w:vAlign w:val="center"/>
          </w:tcPr>
          <w:p>
            <w:pPr>
              <w:pStyle w:val="TableContents"/>
              <w:bidi w:val="0"/>
              <w:spacing w:before="0" w:after="283"/>
              <w:jc w:val="left"/>
              <w:rPr/>
            </w:pPr>
            <w:r>
              <w:rPr/>
              <w:t>city_night</w:t>
            </w:r>
          </w:p>
        </w:tc>
        <w:tc>
          <w:tcPr>
            <w:tcW w:w="766" w:type="dxa"/>
            <w:tcBorders/>
            <w:vAlign w:val="center"/>
          </w:tcPr>
          <w:p>
            <w:pPr>
              <w:pStyle w:val="TableContents"/>
              <w:bidi w:val="0"/>
              <w:spacing w:before="0" w:after="283"/>
              <w:jc w:val="left"/>
              <w:rPr/>
            </w:pPr>
            <w:r>
              <w:rPr/>
              <w:t>3_high</w:t>
            </w:r>
          </w:p>
        </w:tc>
        <w:tc>
          <w:tcPr>
            <w:tcW w:w="1936" w:type="dxa"/>
            <w:tcBorders/>
            <w:vAlign w:val="center"/>
          </w:tcPr>
          <w:p>
            <w:pPr>
              <w:pStyle w:val="TableContents"/>
              <w:bidi w:val="0"/>
              <w:spacing w:before="0" w:after="283"/>
              <w:jc w:val="right"/>
              <w:rPr/>
            </w:pPr>
            <w:r>
              <w:rPr/>
              <w:t>4.9%</w:t>
            </w:r>
          </w:p>
        </w:tc>
        <w:tc>
          <w:tcPr>
            <w:tcW w:w="1336" w:type="dxa"/>
            <w:tcBorders/>
            <w:vAlign w:val="center"/>
          </w:tcPr>
          <w:p>
            <w:pPr>
              <w:pStyle w:val="TableContents"/>
              <w:bidi w:val="0"/>
              <w:spacing w:before="0" w:after="283"/>
              <w:jc w:val="right"/>
              <w:rPr/>
            </w:pPr>
            <w:r>
              <w:rPr/>
              <w:t>2.89x</w:t>
            </w:r>
          </w:p>
        </w:tc>
        <w:tc>
          <w:tcPr>
            <w:tcW w:w="1201" w:type="dxa"/>
            <w:tcBorders/>
            <w:vAlign w:val="center"/>
          </w:tcPr>
          <w:p>
            <w:pPr>
              <w:pStyle w:val="TableContents"/>
              <w:bidi w:val="0"/>
              <w:spacing w:before="0" w:after="283"/>
              <w:jc w:val="right"/>
              <w:rPr/>
            </w:pPr>
            <w:r>
              <w:rPr/>
              <w:t>0.7%</w:t>
            </w:r>
          </w:p>
        </w:tc>
      </w:tr>
      <w:tr>
        <w:trPr/>
        <w:tc>
          <w:tcPr>
            <w:tcW w:w="1396" w:type="dxa"/>
            <w:tcBorders/>
            <w:vAlign w:val="center"/>
          </w:tcPr>
          <w:p>
            <w:pPr>
              <w:pStyle w:val="TableContents"/>
              <w:bidi w:val="0"/>
              <w:spacing w:before="0" w:after="283"/>
              <w:jc w:val="left"/>
              <w:rPr/>
            </w:pPr>
            <w:r>
              <w:rPr/>
              <w:t>parking_lot</w:t>
            </w:r>
          </w:p>
        </w:tc>
        <w:tc>
          <w:tcPr>
            <w:tcW w:w="766" w:type="dxa"/>
            <w:tcBorders/>
            <w:vAlign w:val="center"/>
          </w:tcPr>
          <w:p>
            <w:pPr>
              <w:pStyle w:val="TableContents"/>
              <w:bidi w:val="0"/>
              <w:spacing w:before="0" w:after="283"/>
              <w:jc w:val="left"/>
              <w:rPr/>
            </w:pPr>
            <w:r>
              <w:rPr/>
              <w:t>2_mid</w:t>
            </w:r>
          </w:p>
        </w:tc>
        <w:tc>
          <w:tcPr>
            <w:tcW w:w="1936" w:type="dxa"/>
            <w:tcBorders/>
            <w:vAlign w:val="center"/>
          </w:tcPr>
          <w:p>
            <w:pPr>
              <w:pStyle w:val="TableContents"/>
              <w:bidi w:val="0"/>
              <w:spacing w:before="0" w:after="283"/>
              <w:jc w:val="right"/>
              <w:rPr/>
            </w:pPr>
            <w:r>
              <w:rPr/>
              <w:t>10.7%</w:t>
            </w:r>
          </w:p>
        </w:tc>
        <w:tc>
          <w:tcPr>
            <w:tcW w:w="1336" w:type="dxa"/>
            <w:tcBorders/>
            <w:vAlign w:val="center"/>
          </w:tcPr>
          <w:p>
            <w:pPr>
              <w:pStyle w:val="TableContents"/>
              <w:bidi w:val="0"/>
              <w:spacing w:before="0" w:after="283"/>
              <w:jc w:val="right"/>
              <w:rPr/>
            </w:pPr>
            <w:r>
              <w:rPr/>
              <w:t>1.48x</w:t>
            </w:r>
          </w:p>
        </w:tc>
        <w:tc>
          <w:tcPr>
            <w:tcW w:w="1201" w:type="dxa"/>
            <w:tcBorders/>
            <w:vAlign w:val="center"/>
          </w:tcPr>
          <w:p>
            <w:pPr>
              <w:pStyle w:val="TableContents"/>
              <w:bidi w:val="0"/>
              <w:spacing w:before="0" w:after="283"/>
              <w:jc w:val="right"/>
              <w:rPr/>
            </w:pPr>
            <w:r>
              <w:rPr/>
              <w:t>2.8%</w:t>
            </w:r>
          </w:p>
        </w:tc>
      </w:tr>
      <w:tr>
        <w:trPr/>
        <w:tc>
          <w:tcPr>
            <w:tcW w:w="1396" w:type="dxa"/>
            <w:tcBorders/>
            <w:vAlign w:val="center"/>
          </w:tcPr>
          <w:p>
            <w:pPr>
              <w:pStyle w:val="TableContents"/>
              <w:bidi w:val="0"/>
              <w:spacing w:before="0" w:after="283"/>
              <w:jc w:val="left"/>
              <w:rPr/>
            </w:pPr>
            <w:r>
              <w:rPr/>
              <w:t>parking_lot</w:t>
            </w:r>
          </w:p>
        </w:tc>
        <w:tc>
          <w:tcPr>
            <w:tcW w:w="766" w:type="dxa"/>
            <w:tcBorders/>
            <w:vAlign w:val="center"/>
          </w:tcPr>
          <w:p>
            <w:pPr>
              <w:pStyle w:val="TableContents"/>
              <w:bidi w:val="0"/>
              <w:spacing w:before="0" w:after="283"/>
              <w:jc w:val="left"/>
              <w:rPr/>
            </w:pPr>
            <w:r>
              <w:rPr/>
              <w:t>3_high</w:t>
            </w:r>
          </w:p>
        </w:tc>
        <w:tc>
          <w:tcPr>
            <w:tcW w:w="1936" w:type="dxa"/>
            <w:tcBorders/>
            <w:vAlign w:val="center"/>
          </w:tcPr>
          <w:p>
            <w:pPr>
              <w:pStyle w:val="TableContents"/>
              <w:bidi w:val="0"/>
              <w:spacing w:before="0" w:after="283"/>
              <w:jc w:val="right"/>
              <w:rPr/>
            </w:pPr>
            <w:r>
              <w:rPr/>
              <w:t>14.0%</w:t>
            </w:r>
          </w:p>
        </w:tc>
        <w:tc>
          <w:tcPr>
            <w:tcW w:w="1336" w:type="dxa"/>
            <w:tcBorders/>
            <w:vAlign w:val="center"/>
          </w:tcPr>
          <w:p>
            <w:pPr>
              <w:pStyle w:val="TableContents"/>
              <w:bidi w:val="0"/>
              <w:spacing w:before="0" w:after="283"/>
              <w:jc w:val="right"/>
              <w:rPr/>
            </w:pPr>
            <w:r>
              <w:rPr/>
              <w:t>1.42x</w:t>
            </w:r>
          </w:p>
        </w:tc>
        <w:tc>
          <w:tcPr>
            <w:tcW w:w="1201" w:type="dxa"/>
            <w:tcBorders/>
            <w:vAlign w:val="center"/>
          </w:tcPr>
          <w:p>
            <w:pPr>
              <w:pStyle w:val="TableContents"/>
              <w:bidi w:val="0"/>
              <w:spacing w:before="0" w:after="283"/>
              <w:jc w:val="right"/>
              <w:rPr/>
            </w:pPr>
            <w:r>
              <w:rPr/>
              <w:t>3.0%</w:t>
            </w:r>
          </w:p>
        </w:tc>
      </w:tr>
    </w:tbl>
    <w:p>
      <w:pPr>
        <w:pStyle w:val="TextBody"/>
        <w:bidi w:val="0"/>
        <w:spacing w:before="0" w:after="283"/>
        <w:jc w:val="left"/>
        <w:rPr/>
      </w:pPr>
      <w:r>
        <w:rPr/>
        <w:drawing>
          <wp:inline distT="0" distB="0" distL="0" distR="0">
            <wp:extent cx="5711825" cy="29470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11825" cy="2947035"/>
                    </a:xfrm>
                    <a:prstGeom prst="rect">
                      <a:avLst/>
                    </a:prstGeom>
                  </pic:spPr>
                </pic:pic>
              </a:graphicData>
            </a:graphic>
          </wp:inline>
        </w:drawing>
      </w:r>
    </w:p>
    <w:p>
      <w:pPr>
        <w:pStyle w:val="TextBody"/>
        <w:bidi w:val="0"/>
        <w:spacing w:before="0" w:after="283"/>
        <w:jc w:val="left"/>
        <w:rPr/>
      </w:pPr>
      <w:r>
        <w:rPr>
          <w:rStyle w:val="StrongEmphasis"/>
        </w:rPr>
        <w:t>Figure 3.</w:t>
      </w:r>
      <w:r>
        <w:rPr/>
        <w:t xml:space="preserve"> Dynamic-feature detection lift on VIODE moving-vehicle masks. A lift of 1x equals random sampling; higher is better.</w:t>
      </w:r>
    </w:p>
    <w:p>
      <w:pPr>
        <w:pStyle w:val="TextBody"/>
        <w:bidi w:val="0"/>
        <w:spacing w:before="0" w:after="283"/>
        <w:jc w:val="left"/>
        <w:rPr/>
      </w:pPr>
      <w:r>
        <w:rPr/>
        <w:t xml:space="preserve">The detection results explain both the success and the failure cases. In </w:t>
      </w:r>
      <w:r>
        <w:rPr>
          <w:rStyle w:val="SourceText"/>
        </w:rPr>
        <w:t>city_day</w:t>
      </w:r>
      <w:r>
        <w:rPr/>
        <w:t xml:space="preserve">, the filter strongly concentrates rejections on moving vehicles. In </w:t>
      </w:r>
      <w:r>
        <w:rPr>
          <w:rStyle w:val="SourceText"/>
        </w:rPr>
        <w:t>parking_lot</w:t>
      </w:r>
      <w:r>
        <w:rPr/>
        <w:t>, the dynamic base rate is much higher and the lift drops to about 1.4x. This indicates that the geometric separation between static and dynamic features becomes weak when large moving regions affect the fundamental matrix.</w:t>
      </w:r>
    </w:p>
    <w:p>
      <w:pPr>
        <w:pStyle w:val="Heading3"/>
        <w:bidi w:val="0"/>
        <w:jc w:val="left"/>
        <w:rPr/>
      </w:pPr>
      <w:r>
        <w:rPr/>
        <w:t>5.4 Computational Overhead</w:t>
      </w:r>
    </w:p>
    <w:p>
      <w:pPr>
        <w:pStyle w:val="TextBody"/>
        <w:bidi w:val="0"/>
        <w:spacing w:before="0" w:after="283"/>
        <w:jc w:val="left"/>
        <w:rPr/>
      </w:pPr>
      <w:r>
        <w:rPr/>
        <w:t>Because the module is intended as a lightweight front-end addition, its runtime cost was measured directly in the deployed pipeline. Over 74,994 logged frames across all VIODE adaptive trials, the GeoDF-Adaptive step took a mean of 0.28 ms per frame (median 0.24 ms, 95th percentile 0.53 ms, 99th percentile 0.83 ms). At the 20 Hz image rate of the evaluated sequences, this corresponds to about 0.56% of the 50 ms per-frame budget. The scene-aware gate kept the hard-rejection path active on only 10.3% of frames, so on static or low-dynamic stretches the dominant cost is a single fundamental matrix estimation and Sampson scoring pass, while full rejection and temporal voting run only when the smoothed outlier signal arms the module. These measurements support describing GeoDF-Adaptive as a low-overhead, CPU-only front-end module rather than relying on a qualitative claim.</w:t>
      </w:r>
    </w:p>
    <w:p>
      <w:pPr>
        <w:pStyle w:val="Heading3"/>
        <w:bidi w:val="0"/>
        <w:jc w:val="left"/>
        <w:rPr/>
      </w:pPr>
      <w:r>
        <w:rPr/>
        <w:t>Table 5. Measured GeoDF-Adaptive Runtime (VIODE, CPU-only)</w:t>
      </w:r>
    </w:p>
    <w:tbl>
      <w:tblPr>
        <w:tblW w:w="5027" w:type="dxa"/>
        <w:jc w:val="left"/>
        <w:tblInd w:w="0" w:type="dxa"/>
        <w:tblLayout w:type="fixed"/>
        <w:tblCellMar>
          <w:top w:w="28" w:type="dxa"/>
          <w:left w:w="28" w:type="dxa"/>
          <w:bottom w:w="28" w:type="dxa"/>
          <w:right w:w="28" w:type="dxa"/>
        </w:tblCellMar>
      </w:tblPr>
      <w:tblGrid>
        <w:gridCol w:w="3256"/>
        <w:gridCol w:w="1771"/>
      </w:tblGrid>
      <w:tr>
        <w:trPr>
          <w:tblHeader w:val="true"/>
        </w:trPr>
        <w:tc>
          <w:tcPr>
            <w:tcW w:w="3256" w:type="dxa"/>
            <w:tcBorders/>
            <w:vAlign w:val="center"/>
          </w:tcPr>
          <w:p>
            <w:pPr>
              <w:pStyle w:val="TableHeading"/>
              <w:suppressLineNumbers/>
              <w:shd w:fill="E8E8E8" w:val="clear"/>
              <w:bidi w:val="0"/>
              <w:spacing w:before="0" w:after="283"/>
              <w:jc w:val="center"/>
              <w:rPr/>
            </w:pPr>
            <w:r>
              <w:rPr/>
              <w:t>Metric</w:t>
            </w:r>
          </w:p>
        </w:tc>
        <w:tc>
          <w:tcPr>
            <w:tcW w:w="1771" w:type="dxa"/>
            <w:tcBorders/>
            <w:vAlign w:val="center"/>
          </w:tcPr>
          <w:p>
            <w:pPr>
              <w:pStyle w:val="TableHeading"/>
              <w:bidi w:val="0"/>
              <w:spacing w:before="0" w:after="283"/>
              <w:jc w:val="right"/>
              <w:rPr/>
            </w:pPr>
            <w:r>
              <w:rPr/>
              <w:t>Value</w:t>
            </w:r>
          </w:p>
        </w:tc>
      </w:tr>
      <w:tr>
        <w:trPr/>
        <w:tc>
          <w:tcPr>
            <w:tcW w:w="3256" w:type="dxa"/>
            <w:tcBorders/>
            <w:vAlign w:val="center"/>
          </w:tcPr>
          <w:p>
            <w:pPr>
              <w:pStyle w:val="TableContents"/>
              <w:bidi w:val="0"/>
              <w:spacing w:before="0" w:after="283"/>
              <w:jc w:val="left"/>
              <w:rPr/>
            </w:pPr>
            <w:r>
              <w:rPr/>
              <w:t>Mean per-frame cost</w:t>
            </w:r>
          </w:p>
        </w:tc>
        <w:tc>
          <w:tcPr>
            <w:tcW w:w="1771" w:type="dxa"/>
            <w:tcBorders/>
            <w:vAlign w:val="center"/>
          </w:tcPr>
          <w:p>
            <w:pPr>
              <w:pStyle w:val="TableContents"/>
              <w:bidi w:val="0"/>
              <w:spacing w:before="0" w:after="283"/>
              <w:jc w:val="right"/>
              <w:rPr/>
            </w:pPr>
            <w:r>
              <w:rPr/>
              <w:t>0.28 ms</w:t>
            </w:r>
          </w:p>
        </w:tc>
      </w:tr>
      <w:tr>
        <w:trPr/>
        <w:tc>
          <w:tcPr>
            <w:tcW w:w="3256" w:type="dxa"/>
            <w:tcBorders/>
            <w:vAlign w:val="center"/>
          </w:tcPr>
          <w:p>
            <w:pPr>
              <w:pStyle w:val="TableContents"/>
              <w:bidi w:val="0"/>
              <w:spacing w:before="0" w:after="283"/>
              <w:jc w:val="left"/>
              <w:rPr/>
            </w:pPr>
            <w:r>
              <w:rPr/>
              <w:t>Median per-frame cost</w:t>
            </w:r>
          </w:p>
        </w:tc>
        <w:tc>
          <w:tcPr>
            <w:tcW w:w="1771" w:type="dxa"/>
            <w:tcBorders/>
            <w:vAlign w:val="center"/>
          </w:tcPr>
          <w:p>
            <w:pPr>
              <w:pStyle w:val="TableContents"/>
              <w:bidi w:val="0"/>
              <w:spacing w:before="0" w:after="283"/>
              <w:jc w:val="right"/>
              <w:rPr/>
            </w:pPr>
            <w:r>
              <w:rPr/>
              <w:t>0.24 ms</w:t>
            </w:r>
          </w:p>
        </w:tc>
      </w:tr>
      <w:tr>
        <w:trPr/>
        <w:tc>
          <w:tcPr>
            <w:tcW w:w="3256" w:type="dxa"/>
            <w:tcBorders/>
            <w:vAlign w:val="center"/>
          </w:tcPr>
          <w:p>
            <w:pPr>
              <w:pStyle w:val="TableContents"/>
              <w:bidi w:val="0"/>
              <w:spacing w:before="0" w:after="283"/>
              <w:jc w:val="left"/>
              <w:rPr/>
            </w:pPr>
            <w:r>
              <w:rPr/>
              <w:t>95th percentile</w:t>
            </w:r>
          </w:p>
        </w:tc>
        <w:tc>
          <w:tcPr>
            <w:tcW w:w="1771" w:type="dxa"/>
            <w:tcBorders/>
            <w:vAlign w:val="center"/>
          </w:tcPr>
          <w:p>
            <w:pPr>
              <w:pStyle w:val="TableContents"/>
              <w:bidi w:val="0"/>
              <w:spacing w:before="0" w:after="283"/>
              <w:jc w:val="right"/>
              <w:rPr/>
            </w:pPr>
            <w:r>
              <w:rPr/>
              <w:t>0.53 ms</w:t>
            </w:r>
          </w:p>
        </w:tc>
      </w:tr>
      <w:tr>
        <w:trPr/>
        <w:tc>
          <w:tcPr>
            <w:tcW w:w="3256" w:type="dxa"/>
            <w:tcBorders/>
            <w:vAlign w:val="center"/>
          </w:tcPr>
          <w:p>
            <w:pPr>
              <w:pStyle w:val="TableContents"/>
              <w:bidi w:val="0"/>
              <w:spacing w:before="0" w:after="283"/>
              <w:jc w:val="left"/>
              <w:rPr/>
            </w:pPr>
            <w:r>
              <w:rPr/>
              <w:t>99th percentile</w:t>
            </w:r>
          </w:p>
        </w:tc>
        <w:tc>
          <w:tcPr>
            <w:tcW w:w="1771" w:type="dxa"/>
            <w:tcBorders/>
            <w:vAlign w:val="center"/>
          </w:tcPr>
          <w:p>
            <w:pPr>
              <w:pStyle w:val="TableContents"/>
              <w:bidi w:val="0"/>
              <w:spacing w:before="0" w:after="283"/>
              <w:jc w:val="right"/>
              <w:rPr/>
            </w:pPr>
            <w:r>
              <w:rPr/>
              <w:t>0.83 ms</w:t>
            </w:r>
          </w:p>
        </w:tc>
      </w:tr>
      <w:tr>
        <w:trPr/>
        <w:tc>
          <w:tcPr>
            <w:tcW w:w="3256" w:type="dxa"/>
            <w:tcBorders/>
            <w:vAlign w:val="center"/>
          </w:tcPr>
          <w:p>
            <w:pPr>
              <w:pStyle w:val="TableContents"/>
              <w:bidi w:val="0"/>
              <w:spacing w:before="0" w:after="283"/>
              <w:jc w:val="left"/>
              <w:rPr/>
            </w:pPr>
            <w:r>
              <w:rPr/>
              <w:t>Fraction of 50 ms (20 Hz) budget</w:t>
            </w:r>
          </w:p>
        </w:tc>
        <w:tc>
          <w:tcPr>
            <w:tcW w:w="1771" w:type="dxa"/>
            <w:tcBorders/>
            <w:vAlign w:val="center"/>
          </w:tcPr>
          <w:p>
            <w:pPr>
              <w:pStyle w:val="TableContents"/>
              <w:bidi w:val="0"/>
              <w:spacing w:before="0" w:after="283"/>
              <w:jc w:val="right"/>
              <w:rPr/>
            </w:pPr>
            <w:r>
              <w:rPr/>
              <w:t>0.56%</w:t>
            </w:r>
          </w:p>
        </w:tc>
      </w:tr>
      <w:tr>
        <w:trPr/>
        <w:tc>
          <w:tcPr>
            <w:tcW w:w="3256" w:type="dxa"/>
            <w:tcBorders/>
            <w:vAlign w:val="center"/>
          </w:tcPr>
          <w:p>
            <w:pPr>
              <w:pStyle w:val="TableContents"/>
              <w:bidi w:val="0"/>
              <w:spacing w:before="0" w:after="283"/>
              <w:jc w:val="left"/>
              <w:rPr/>
            </w:pPr>
            <w:r>
              <w:rPr/>
              <w:t>Frames with rejection armed</w:t>
            </w:r>
          </w:p>
        </w:tc>
        <w:tc>
          <w:tcPr>
            <w:tcW w:w="1771" w:type="dxa"/>
            <w:tcBorders/>
            <w:vAlign w:val="center"/>
          </w:tcPr>
          <w:p>
            <w:pPr>
              <w:pStyle w:val="TableContents"/>
              <w:bidi w:val="0"/>
              <w:spacing w:before="0" w:after="283"/>
              <w:jc w:val="right"/>
              <w:rPr/>
            </w:pPr>
            <w:r>
              <w:rPr/>
              <w:t>10.3%</w:t>
            </w:r>
          </w:p>
        </w:tc>
      </w:tr>
      <w:tr>
        <w:trPr/>
        <w:tc>
          <w:tcPr>
            <w:tcW w:w="3256" w:type="dxa"/>
            <w:tcBorders/>
            <w:vAlign w:val="center"/>
          </w:tcPr>
          <w:p>
            <w:pPr>
              <w:pStyle w:val="TableContents"/>
              <w:bidi w:val="0"/>
              <w:spacing w:before="0" w:after="283"/>
              <w:jc w:val="left"/>
              <w:rPr/>
            </w:pPr>
            <w:r>
              <w:rPr/>
              <w:t>Logged frames</w:t>
            </w:r>
          </w:p>
        </w:tc>
        <w:tc>
          <w:tcPr>
            <w:tcW w:w="1771" w:type="dxa"/>
            <w:tcBorders/>
            <w:vAlign w:val="center"/>
          </w:tcPr>
          <w:p>
            <w:pPr>
              <w:pStyle w:val="TableContents"/>
              <w:bidi w:val="0"/>
              <w:spacing w:before="0" w:after="283"/>
              <w:jc w:val="right"/>
              <w:rPr/>
            </w:pPr>
            <w:r>
              <w:rPr/>
              <w:t>74,994 (60 trials)</w:t>
            </w:r>
          </w:p>
        </w:tc>
      </w:tr>
    </w:tbl>
    <w:p>
      <w:pPr>
        <w:pStyle w:val="Heading3"/>
        <w:bidi w:val="0"/>
        <w:jc w:val="left"/>
        <w:rPr/>
      </w:pPr>
      <w:r>
        <w:rPr/>
        <w:t>5.5 Limitation Analysis</w:t>
      </w:r>
    </w:p>
    <w:p>
      <w:pPr>
        <w:pStyle w:val="TextBody"/>
        <w:bidi w:val="0"/>
        <w:spacing w:before="0" w:after="283"/>
        <w:jc w:val="left"/>
        <w:rPr/>
      </w:pPr>
      <w:r>
        <w:rPr/>
        <w:t xml:space="preserve">The main limitation is the majority-rigid assumption behind fundamental matrix estimation. If dynamic features occupy large regions of the image, the estimated model can be biased toward moving objects. In this case, the dual gate may delete useful static features or fail to identify the correct dynamic set. The </w:t>
      </w:r>
      <w:r>
        <w:rPr>
          <w:rStyle w:val="SourceText"/>
        </w:rPr>
        <w:t>parking_lot</w:t>
      </w:r>
      <w:r>
        <w:rPr/>
        <w:t xml:space="preserve"> results confirm this limitation. Future work should combine the current scene-aware activation with IMU-compensated epipolar scoring, progressive or weighted fundamental matrix estimation, and scene-adaptive hard/soft rejection.</w:t>
      </w:r>
    </w:p>
    <w:p>
      <w:pPr>
        <w:pStyle w:val="Heading2"/>
        <w:bidi w:val="0"/>
        <w:jc w:val="left"/>
        <w:rPr/>
      </w:pPr>
      <w:r>
        <w:rPr/>
        <w:t>6. Conclusion</w:t>
      </w:r>
    </w:p>
    <w:p>
      <w:pPr>
        <w:pStyle w:val="TextBody"/>
        <w:bidi w:val="0"/>
        <w:spacing w:before="0" w:after="283"/>
        <w:jc w:val="left"/>
        <w:rPr/>
      </w:pPr>
      <w:r>
        <w:rPr/>
        <w:t>This paper presented GeoDF-Adaptive, a geometry-only dynamic feature rejection method for stereo-inertial visual odometry. The method combines temporal epipolar consistency, Sampson residual gating, scene-aware activation, auto-calibrated thresholding, and track-level temporal voting. Experiments on EuRoC and VIODE show that the method preserves static-scene performance and improves several moderate-dynamic VIODE cases. Feature-level evaluation using VIODE moving-vehicle masks confirms that rejected features are substantially more likely to belong to moving objects in favourable scenes. The method is not universal, and high dynamic-density parking-lot scenes remain a limitation. The results support GeoDF-Adaptive as a reproducible geometry-only baseline for applied dynamic-scene VIO research.</w:t>
      </w:r>
    </w:p>
    <w:p>
      <w:pPr>
        <w:pStyle w:val="Heading2"/>
        <w:bidi w:val="0"/>
        <w:jc w:val="left"/>
        <w:rPr/>
      </w:pPr>
      <w:r>
        <w:rPr/>
        <w:t>References</w:t>
      </w:r>
    </w:p>
    <w:p>
      <w:pPr>
        <w:pStyle w:val="TextBody"/>
        <w:bidi w:val="0"/>
        <w:spacing w:before="0" w:after="283"/>
        <w:jc w:val="left"/>
        <w:rPr/>
      </w:pPr>
      <w:r>
        <w:rPr/>
        <w:t xml:space="preserve">(IEEE numbered style, as used by AECE. DOIs verified; format the final list in the AECE </w:t>
      </w:r>
      <w:r>
        <w:rPr>
          <w:rStyle w:val="SourceText"/>
        </w:rPr>
        <w:t>.doc</w:t>
      </w:r>
      <w:r>
        <w:rPr/>
        <w:t xml:space="preserve"> template. The </w:t>
      </w:r>
      <w:r>
        <w:rPr>
          <w:rStyle w:val="SourceText"/>
        </w:rPr>
        <w:t>evo</w:t>
      </w:r>
      <w:r>
        <w:rPr/>
        <w:t xml:space="preserve"> tool [9] has no DOI and is cited as a software repository.)</w:t>
      </w:r>
    </w:p>
    <w:p>
      <w:pPr>
        <w:pStyle w:val="TextBody"/>
        <w:bidi w:val="0"/>
        <w:spacing w:before="0" w:after="283"/>
        <w:jc w:val="left"/>
        <w:rPr/>
      </w:pPr>
      <w:r>
        <w:rPr/>
        <w:t xml:space="preserve">[1] T. Qin, P. Li, and S. Shen, "VINS-Mono: A robust and versatile monocular visual-inertial state estimator," </w:t>
      </w:r>
      <w:r>
        <w:rPr>
          <w:rStyle w:val="Emphasis"/>
        </w:rPr>
        <w:t>IEEE Transactions on Robotics</w:t>
      </w:r>
      <w:r>
        <w:rPr/>
        <w:t>, vol. 34, no. 4, pp. 1004-1020, 2018. DOI: 10.1109/TRO.2018.2853729</w:t>
      </w:r>
    </w:p>
    <w:p>
      <w:pPr>
        <w:pStyle w:val="TextBody"/>
        <w:bidi w:val="0"/>
        <w:spacing w:before="0" w:after="283"/>
        <w:jc w:val="left"/>
        <w:rPr/>
      </w:pPr>
      <w:r>
        <w:rPr/>
        <w:t xml:space="preserve">[2] T. Qin, J. Pan, S. Cao, and S. Shen, "A general optimization-based framework for local odometry estimation with multiple sensors," </w:t>
      </w:r>
      <w:r>
        <w:rPr>
          <w:rStyle w:val="Emphasis"/>
        </w:rPr>
        <w:t>arXiv preprint</w:t>
      </w:r>
      <w:r>
        <w:rPr/>
        <w:t xml:space="preserve"> arXiv:1901.03638, 2019.</w:t>
      </w:r>
    </w:p>
    <w:p>
      <w:pPr>
        <w:pStyle w:val="TextBody"/>
        <w:bidi w:val="0"/>
        <w:spacing w:before="0" w:after="283"/>
        <w:jc w:val="left"/>
        <w:rPr/>
      </w:pPr>
      <w:r>
        <w:rPr/>
        <w:t xml:space="preserve">[3] M. Burri, J. Nikolic, P. Gohl, T. Schneider, J. Rehder, S. Omari, M. W. Achtelik, and R. Siegwart, "The EuRoC micro aerial vehicle datasets," </w:t>
      </w:r>
      <w:r>
        <w:rPr>
          <w:rStyle w:val="Emphasis"/>
        </w:rPr>
        <w:t>The International Journal of Robotics Research</w:t>
      </w:r>
      <w:r>
        <w:rPr/>
        <w:t>, vol. 35, no. 10, pp. 1157-1163, 2016. DOI: 10.1177/0278364915620033</w:t>
      </w:r>
    </w:p>
    <w:p>
      <w:pPr>
        <w:pStyle w:val="TextBody"/>
        <w:bidi w:val="0"/>
        <w:spacing w:before="0" w:after="283"/>
        <w:jc w:val="left"/>
        <w:rPr/>
      </w:pPr>
      <w:r>
        <w:rPr/>
        <w:t xml:space="preserve">[4] K. Minoda, F. Schilling, V. Wuest, D. Floreano, and T. Yairi, "VIODE: A simulated dataset to address the challenges of visual-inertial odometry in dynamic environments," </w:t>
      </w:r>
      <w:r>
        <w:rPr>
          <w:rStyle w:val="Emphasis"/>
        </w:rPr>
        <w:t>IEEE Robotics and Automation Letters</w:t>
      </w:r>
      <w:r>
        <w:rPr/>
        <w:t>, vol. 6, no. 2, pp. 1343-1350, 2021. DOI: 10.1109/LRA.2021.3058073</w:t>
      </w:r>
    </w:p>
    <w:p>
      <w:pPr>
        <w:pStyle w:val="TextBody"/>
        <w:bidi w:val="0"/>
        <w:spacing w:before="0" w:after="283"/>
        <w:jc w:val="left"/>
        <w:rPr/>
      </w:pPr>
      <w:r>
        <w:rPr/>
        <w:t xml:space="preserve">[5] B. Bescos, J. M. Facil, J. Civera, and J. Neira, "DynaSLAM: Tracking, mapping, and inpainting in dynamic scenes," </w:t>
      </w:r>
      <w:r>
        <w:rPr>
          <w:rStyle w:val="Emphasis"/>
        </w:rPr>
        <w:t>IEEE Robotics and Automation Letters</w:t>
      </w:r>
      <w:r>
        <w:rPr/>
        <w:t>, vol. 3, no. 4, pp. 4076-4083, 2018. DOI: 10.1109/LRA.2018.2860039</w:t>
      </w:r>
    </w:p>
    <w:p>
      <w:pPr>
        <w:pStyle w:val="TextBody"/>
        <w:bidi w:val="0"/>
        <w:spacing w:before="0" w:after="283"/>
        <w:jc w:val="left"/>
        <w:rPr/>
      </w:pPr>
      <w:r>
        <w:rPr/>
        <w:t xml:space="preserve">[6] S. Song, H. Lim, A. J. Lee, and H. Myung, "DynaVINS: A visual-inertial SLAM for dynamic environments," </w:t>
      </w:r>
      <w:r>
        <w:rPr>
          <w:rStyle w:val="Emphasis"/>
        </w:rPr>
        <w:t>IEEE Robotics and Automation Letters</w:t>
      </w:r>
      <w:r>
        <w:rPr/>
        <w:t>, vol. 7, no. 4, pp. 11523-11530, 2022. DOI: 10.1109/LRA.2022.3203231</w:t>
      </w:r>
    </w:p>
    <w:p>
      <w:pPr>
        <w:pStyle w:val="TextBody"/>
        <w:bidi w:val="0"/>
        <w:spacing w:before="0" w:after="283"/>
        <w:jc w:val="left"/>
        <w:rPr/>
      </w:pPr>
      <w:r>
        <w:rPr/>
        <w:t xml:space="preserve">[7] M. A. Fischler and R. C. Bolles, "Random sample consensus: A paradigm for model fitting with applications to image analysis and automated cartography," </w:t>
      </w:r>
      <w:r>
        <w:rPr>
          <w:rStyle w:val="Emphasis"/>
        </w:rPr>
        <w:t>Communications of the ACM</w:t>
      </w:r>
      <w:r>
        <w:rPr/>
        <w:t>, vol. 24, no. 6, pp. 381-395, 1981. DOI: 10.1145/358669.358692</w:t>
      </w:r>
    </w:p>
    <w:p>
      <w:pPr>
        <w:pStyle w:val="TextBody"/>
        <w:bidi w:val="0"/>
        <w:spacing w:before="0" w:after="283"/>
        <w:jc w:val="left"/>
        <w:rPr/>
      </w:pPr>
      <w:r>
        <w:rPr/>
        <w:t xml:space="preserve">[8] R. Hartley and A. Zisserman, </w:t>
      </w:r>
      <w:r>
        <w:rPr>
          <w:rStyle w:val="Emphasis"/>
        </w:rPr>
        <w:t>Multiple View Geometry in Computer Vision</w:t>
      </w:r>
      <w:r>
        <w:rPr/>
        <w:t>, 2nd ed. Cambridge, U.K.: Cambridge Univ. Press, 2004. DOI: 10.1017/CBO9780511811685</w:t>
      </w:r>
    </w:p>
    <w:p>
      <w:pPr>
        <w:pStyle w:val="TextBody"/>
        <w:bidi w:val="0"/>
        <w:spacing w:before="0" w:after="283"/>
        <w:jc w:val="left"/>
        <w:rPr/>
      </w:pPr>
      <w:r>
        <w:rPr/>
        <w:t>[9] M. Grupp, "evo: Python package for the evaluation of odometry and SLAM," 2017. [Online]. Available: https://github.com/MichaelGrupp/evo</w:t>
      </w:r>
    </w:p>
    <w:p>
      <w:pPr>
        <w:pStyle w:val="TextBody"/>
        <w:bidi w:val="0"/>
        <w:spacing w:before="0" w:after="283"/>
        <w:jc w:val="left"/>
        <w:rPr/>
      </w:pPr>
      <w:r>
        <w:rPr/>
        <w:t xml:space="preserve">[10] J. Shi and C. Tomasi, "Good features to track," in </w:t>
      </w:r>
      <w:r>
        <w:rPr>
          <w:rStyle w:val="Emphasis"/>
        </w:rPr>
        <w:t>Proc. IEEE Conf. Computer Vision and Pattern Recognition (CVPR)</w:t>
      </w:r>
      <w:r>
        <w:rPr/>
        <w:t>, 1994, pp. 593-600. DOI: 10.1109/CVPR.1994.323794</w:t>
      </w:r>
    </w:p>
    <w:p>
      <w:pPr>
        <w:pStyle w:val="Heading2"/>
        <w:bidi w:val="0"/>
        <w:jc w:val="left"/>
        <w:rPr/>
      </w:pPr>
      <w:r>
        <w:rPr/>
        <w:t>AECE Finalization Checklist</w:t>
      </w:r>
    </w:p>
    <w:p>
      <w:pPr>
        <w:pStyle w:val="TextBody"/>
        <w:bidi w:val="0"/>
        <w:spacing w:before="0" w:after="283"/>
        <w:jc w:val="left"/>
        <w:rPr/>
      </w:pPr>
      <w:r>
        <w:rPr/>
        <w:t>Done:</w:t>
      </w:r>
    </w:p>
    <w:p>
      <w:pPr>
        <w:pStyle w:val="TextBody"/>
        <w:numPr>
          <w:ilvl w:val="0"/>
          <w:numId w:val="3"/>
        </w:numPr>
        <w:tabs>
          <w:tab w:val="clear" w:pos="1134"/>
          <w:tab w:val="left" w:pos="709" w:leader="none"/>
        </w:tabs>
        <w:bidi w:val="0"/>
        <w:spacing w:before="0" w:after="0"/>
        <w:ind w:left="709" w:hanging="283"/>
        <w:jc w:val="left"/>
        <w:rPr/>
      </w:pPr>
      <w:r>
        <w:rPr/>
        <w:t xml:space="preserve">[x] References added with verified DOIs (Section References). </w:t>
      </w:r>
    </w:p>
    <w:p>
      <w:pPr>
        <w:pStyle w:val="TextBody"/>
        <w:numPr>
          <w:ilvl w:val="0"/>
          <w:numId w:val="3"/>
        </w:numPr>
        <w:tabs>
          <w:tab w:val="clear" w:pos="1134"/>
          <w:tab w:val="left" w:pos="709" w:leader="none"/>
        </w:tabs>
        <w:bidi w:val="0"/>
        <w:spacing w:before="0" w:after="0"/>
        <w:ind w:left="709" w:hanging="283"/>
        <w:jc w:val="left"/>
        <w:rPr/>
      </w:pPr>
      <w:r>
        <w:rPr/>
        <w:t xml:space="preserve">[x] Runtime/overhead measured in-pipeline (Section 5.4, Table 5) — supports the low-overhead claim with data instead of qualitative wording. </w:t>
      </w:r>
    </w:p>
    <w:p>
      <w:pPr>
        <w:pStyle w:val="TextBody"/>
        <w:numPr>
          <w:ilvl w:val="0"/>
          <w:numId w:val="3"/>
        </w:numPr>
        <w:tabs>
          <w:tab w:val="clear" w:pos="1134"/>
          <w:tab w:val="left" w:pos="709" w:leader="none"/>
        </w:tabs>
        <w:bidi w:val="0"/>
        <w:ind w:left="709" w:hanging="283"/>
        <w:jc w:val="left"/>
        <w:rPr/>
      </w:pPr>
      <w:r>
        <w:rPr/>
        <w:t xml:space="preserve">[x] Related Work positioning table cites baselines and prior work. </w:t>
      </w:r>
    </w:p>
    <w:p>
      <w:pPr>
        <w:pStyle w:val="TextBody"/>
        <w:bidi w:val="0"/>
        <w:jc w:val="left"/>
        <w:rPr/>
      </w:pPr>
      <w:r>
        <w:rPr/>
        <w:t>Remaining:</w:t>
      </w:r>
    </w:p>
    <w:p>
      <w:pPr>
        <w:pStyle w:val="TextBody"/>
        <w:numPr>
          <w:ilvl w:val="0"/>
          <w:numId w:val="4"/>
        </w:numPr>
        <w:tabs>
          <w:tab w:val="clear" w:pos="1134"/>
          <w:tab w:val="left" w:pos="709" w:leader="none"/>
        </w:tabs>
        <w:bidi w:val="0"/>
        <w:spacing w:before="0" w:after="0"/>
        <w:ind w:left="709" w:hanging="283"/>
        <w:jc w:val="left"/>
        <w:rPr/>
      </w:pPr>
      <w:r>
        <w:rPr/>
        <w:t xml:space="preserve">[ ] Convert this draft to the official AECE </w:t>
      </w:r>
      <w:r>
        <w:rPr>
          <w:rStyle w:val="SourceText"/>
        </w:rPr>
        <w:t>.doc</w:t>
      </w:r>
      <w:r>
        <w:rPr/>
        <w:t xml:space="preserve"> template (a generated </w:t>
      </w:r>
      <w:r>
        <w:rPr>
          <w:rStyle w:val="SourceText"/>
        </w:rPr>
        <w:t>.docx</w:t>
      </w:r>
      <w:r>
        <w:rPr/>
        <w:t xml:space="preserve"> is available at </w:t>
      </w:r>
      <w:r>
        <w:rPr>
          <w:rStyle w:val="SourceText"/>
        </w:rPr>
        <w:t>docs/MANUSCRIPT_GeoDF-VINS-AECE.docx</w:t>
      </w:r>
      <w:r>
        <w:rPr/>
        <w:t xml:space="preserve"> to copy from). </w:t>
      </w:r>
    </w:p>
    <w:p>
      <w:pPr>
        <w:pStyle w:val="TextBody"/>
        <w:numPr>
          <w:ilvl w:val="0"/>
          <w:numId w:val="4"/>
        </w:numPr>
        <w:tabs>
          <w:tab w:val="clear" w:pos="1134"/>
          <w:tab w:val="left" w:pos="709" w:leader="none"/>
        </w:tabs>
        <w:bidi w:val="0"/>
        <w:spacing w:before="0" w:after="0"/>
        <w:ind w:left="709" w:hanging="283"/>
        <w:jc w:val="left"/>
        <w:rPr/>
      </w:pPr>
      <w:r>
        <w:rPr/>
        <w:t xml:space="preserve">[x] Pipeline figure rendered (Figure 1): </w:t>
      </w:r>
      <w:r>
        <w:rPr>
          <w:rStyle w:val="SourceText"/>
        </w:rPr>
        <w:t>results/geodf_evaluation/figures/pipeline_geodf_adaptive.{svg,pdf,png}</w:t>
      </w:r>
      <w:r>
        <w:rPr/>
        <w:t xml:space="preserve"> (vector + 300 dpi, grayscale-safe). </w:t>
      </w:r>
    </w:p>
    <w:p>
      <w:pPr>
        <w:pStyle w:val="TextBody"/>
        <w:numPr>
          <w:ilvl w:val="0"/>
          <w:numId w:val="4"/>
        </w:numPr>
        <w:tabs>
          <w:tab w:val="clear" w:pos="1134"/>
          <w:tab w:val="left" w:pos="709" w:leader="none"/>
        </w:tabs>
        <w:bidi w:val="0"/>
        <w:spacing w:before="0" w:after="0"/>
        <w:ind w:left="709" w:hanging="283"/>
        <w:jc w:val="left"/>
        <w:rPr/>
      </w:pPr>
      <w:r>
        <w:rPr/>
        <w:t xml:space="preserve">[ ] Keep the manuscript at 8 pages if possible; otherwise use 10 pages and budget 25 EUR per extra page. </w:t>
      </w:r>
    </w:p>
    <w:p>
      <w:pPr>
        <w:pStyle w:val="TextBody"/>
        <w:numPr>
          <w:ilvl w:val="0"/>
          <w:numId w:val="4"/>
        </w:numPr>
        <w:tabs>
          <w:tab w:val="clear" w:pos="1134"/>
          <w:tab w:val="left" w:pos="709" w:leader="none"/>
        </w:tabs>
        <w:bidi w:val="0"/>
        <w:spacing w:before="0" w:after="0"/>
        <w:ind w:left="709" w:hanging="283"/>
        <w:jc w:val="left"/>
        <w:rPr/>
      </w:pPr>
      <w:r>
        <w:rPr/>
        <w:t xml:space="preserve">[ ] Confirm five keywords match/approach the AECE keyword list. </w:t>
      </w:r>
    </w:p>
    <w:p>
      <w:pPr>
        <w:pStyle w:val="TextBody"/>
        <w:numPr>
          <w:ilvl w:val="0"/>
          <w:numId w:val="4"/>
        </w:numPr>
        <w:tabs>
          <w:tab w:val="clear" w:pos="1134"/>
          <w:tab w:val="left" w:pos="709" w:leader="none"/>
        </w:tabs>
        <w:bidi w:val="0"/>
        <w:spacing w:before="0" w:after="0"/>
        <w:ind w:left="709" w:hanging="283"/>
        <w:jc w:val="left"/>
        <w:rPr/>
      </w:pPr>
      <w:r>
        <w:rPr/>
        <w:t xml:space="preserve">[ ] Prepare the copyright transfer / author's guarantee form. </w:t>
      </w:r>
    </w:p>
    <w:p>
      <w:pPr>
        <w:pStyle w:val="TextBody"/>
        <w:numPr>
          <w:ilvl w:val="0"/>
          <w:numId w:val="4"/>
        </w:numPr>
        <w:tabs>
          <w:tab w:val="clear" w:pos="1134"/>
          <w:tab w:val="left" w:pos="709" w:leader="none"/>
        </w:tabs>
        <w:bidi w:val="0"/>
        <w:ind w:left="709" w:hanging="283"/>
        <w:jc w:val="left"/>
        <w:rPr/>
      </w:pPr>
      <w:r>
        <w:rPr/>
        <w:t xml:space="preserve">[ ] Check plagiarism/originality before submission. </w:t>
      </w:r>
    </w:p>
    <w:p>
      <w:pPr>
        <w:pStyle w:val="Heading2"/>
        <w:bidi w:val="0"/>
        <w:jc w:val="left"/>
        <w:rPr/>
      </w:pPr>
      <w:r>
        <w:rPr/>
        <w:t>Figure and Build Artifacts</w:t>
      </w:r>
    </w:p>
    <w:p>
      <w:pPr>
        <w:pStyle w:val="TextBody"/>
        <w:numPr>
          <w:ilvl w:val="0"/>
          <w:numId w:val="5"/>
        </w:numPr>
        <w:tabs>
          <w:tab w:val="clear" w:pos="1134"/>
          <w:tab w:val="left" w:pos="709" w:leader="none"/>
        </w:tabs>
        <w:bidi w:val="0"/>
        <w:spacing w:before="0" w:after="0"/>
        <w:ind w:left="709" w:hanging="283"/>
        <w:jc w:val="left"/>
        <w:rPr/>
      </w:pPr>
      <w:r>
        <w:rPr/>
        <w:t xml:space="preserve">Figure 1 (pipeline): </w:t>
      </w:r>
      <w:r>
        <w:rPr>
          <w:rStyle w:val="SourceText"/>
        </w:rPr>
        <w:t>results/geodf_evaluation/figures/pipeline_geodf_adaptive.svg</w:t>
      </w:r>
      <w:r>
        <w:rPr/>
        <w:t xml:space="preserve"> / </w:t>
      </w:r>
      <w:r>
        <w:rPr>
          <w:rStyle w:val="SourceText"/>
        </w:rPr>
        <w:t>.pdf</w:t>
      </w:r>
      <w:r>
        <w:rPr/>
        <w:t xml:space="preserve"> / </w:t>
      </w:r>
      <w:r>
        <w:rPr>
          <w:rStyle w:val="SourceText"/>
        </w:rPr>
        <w:t>.png</w:t>
      </w:r>
      <w:r>
        <w:rPr/>
        <w:t xml:space="preserve">, regenerated by </w:t>
      </w:r>
      <w:r>
        <w:rPr>
          <w:rStyle w:val="SourceText"/>
        </w:rPr>
        <w:t>scripts/make_pipeline_figure.py</w:t>
      </w:r>
      <w:r>
        <w:rPr/>
        <w:t xml:space="preserve">. </w:t>
      </w:r>
    </w:p>
    <w:p>
      <w:pPr>
        <w:pStyle w:val="TextBody"/>
        <w:numPr>
          <w:ilvl w:val="0"/>
          <w:numId w:val="5"/>
        </w:numPr>
        <w:tabs>
          <w:tab w:val="clear" w:pos="1134"/>
          <w:tab w:val="left" w:pos="709" w:leader="none"/>
        </w:tabs>
        <w:bidi w:val="0"/>
        <w:spacing w:before="0" w:after="0"/>
        <w:ind w:left="709" w:hanging="283"/>
        <w:jc w:val="left"/>
        <w:rPr/>
      </w:pPr>
      <w:r>
        <w:rPr/>
        <w:t xml:space="preserve">Result figures: </w:t>
      </w:r>
      <w:r>
        <w:rPr>
          <w:rStyle w:val="SourceText"/>
        </w:rPr>
        <w:t>results/geodf_evaluation/figures/viode_ate_delta_n5.svg</w:t>
      </w:r>
      <w:r>
        <w:rPr/>
        <w:t xml:space="preserve">, </w:t>
      </w:r>
      <w:r>
        <w:rPr>
          <w:rStyle w:val="SourceText"/>
        </w:rPr>
        <w:t>viode_detection_lift.svg</w:t>
      </w:r>
      <w:r>
        <w:rPr/>
        <w:t xml:space="preserve">. </w:t>
      </w:r>
    </w:p>
    <w:p>
      <w:pPr>
        <w:pStyle w:val="TextBody"/>
        <w:numPr>
          <w:ilvl w:val="0"/>
          <w:numId w:val="5"/>
        </w:numPr>
        <w:tabs>
          <w:tab w:val="clear" w:pos="1134"/>
          <w:tab w:val="left" w:pos="709" w:leader="none"/>
        </w:tabs>
        <w:bidi w:val="0"/>
        <w:spacing w:before="0" w:after="283"/>
        <w:ind w:left="709" w:hanging="283"/>
        <w:jc w:val="left"/>
        <w:rPr/>
      </w:pPr>
      <w:r>
        <w:rPr/>
        <w:t xml:space="preserve">Word export: </w:t>
      </w:r>
      <w:r>
        <w:rPr>
          <w:rStyle w:val="SourceText"/>
        </w:rPr>
        <w:t>docs/MANUSCRIPT_GeoDF-VINS-AECE.docx</w:t>
      </w:r>
      <w:r>
        <w:rPr/>
        <w:t xml:space="preserve">, regenerated by </w:t>
      </w:r>
      <w:r>
        <w:rPr>
          <w:rStyle w:val="SourceText"/>
        </w:rPr>
        <w:t>scripts/build_manuscript_docx.sh</w:t>
      </w:r>
      <w:r>
        <w:rPr/>
        <w:t xml:space="preserve">. </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Unicode MS">
    <w:charset w:val="01"/>
    <w:family w:val="auto"/>
    <w:pitch w:val="variable"/>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Times New Roman;serif" w:hAnsi="Times New Roman;serif" w:eastAsia="Times New Roman;serif" w:cs="Times New Roman;serif"/>
      <w:color w:val="auto"/>
      <w:sz w:val="22"/>
      <w:szCs w:val="22"/>
      <w:lang w:val="en-US" w:eastAsia="zh-CN" w:bidi="hi-IN"/>
    </w:rPr>
  </w:style>
  <w:style w:type="paragraph" w:styleId="Heading1">
    <w:name w:val="Heading 1"/>
    <w:basedOn w:val="Heading"/>
    <w:next w:val="TextBody"/>
    <w:qFormat/>
    <w:pPr/>
    <w:rPr>
      <w:rFonts w:ascii="Liberation Sans Unicode MS" w:hAnsi="Liberation Sans Unicode MS"/>
      <w:b/>
      <w:bCs/>
      <w:sz w:val="34"/>
      <w:szCs w:val="34"/>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26"/>
      <w:szCs w:val="2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3"/>
      <w:szCs w:val="23"/>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Courier New;monospace" w:hAnsi="Courier New;monospace" w:eastAsia="Courier New;monospace" w:cs="Courier New;monospace"/>
      <w:sz w:val="20"/>
      <w:szCs w:val="20"/>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5" w:color="CCCCCC"/>
        <w:left w:val="single" w:sz="2" w:space="5" w:color="CCCCCC"/>
        <w:bottom w:val="single" w:sz="2" w:space="5" w:color="CCCCCC"/>
        <w:right w:val="single" w:sz="2" w:space="5" w:color="CCCCCC"/>
      </w:pBdr>
      <w:shd w:fill="F4F4F4" w:val="clear"/>
      <w:spacing w:before="0" w:after="0"/>
    </w:pPr>
    <w:rPr>
      <w:rFonts w:ascii="Courier New;monospace" w:hAnsi="Courier New;monospace" w:eastAsia="Courier New;monospace" w:cs="Courier New;monospace"/>
      <w:sz w:val="20"/>
      <w:szCs w:val="20"/>
    </w:rPr>
  </w:style>
  <w:style w:type="paragraph" w:styleId="TableHeading">
    <w:name w:val="Table Heading"/>
    <w:basedOn w:val="TableContents"/>
    <w:qFormat/>
    <w:pPr>
      <w:suppressLineNumbers/>
      <w:shd w:fill="E8E8E8"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