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LÊ QUANG DŨNG</w:t>
        <w:br/>
      </w:r>
      <w:r>
        <w:rPr>
          <w:b/>
          <w:color w:val="A2ACB8"/>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a2acb8"/>
        </w:pBdr>
      </w:pPr>
      <w:r>
        <w:rPr>
          <w:b/>
          <w:color w:val="A2ACB8"/>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a2acb8"/>
        </w:pBdr>
      </w:pPr>
      <w:r>
        <w:rPr>
          <w:b/>
          <w:color w:val="A2ACB8"/>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a2acb8"/>
        </w:pBdr>
      </w:pPr>
      <w:r>
        <w:rPr>
          <w:b/>
          <w:color w:val="A2ACB8"/>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a2acb8"/>
        </w:pBdr>
      </w:pPr>
      <w:r>
        <w:rPr>
          <w:b/>
          <w:color w:val="A2ACB8"/>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a2acb8"/>
        </w:pBdr>
      </w:pPr>
      <w:r>
        <w:rPr>
          <w:b/>
          <w:color w:val="A2ACB8"/>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