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240"/>
        <w:jc w:val="center"/>
      </w:pPr>
      <w:r>
        <w:rPr>
          <w:rFonts w:ascii="Times New Roman" w:hAnsi="Times New Roman" w:eastAsia="Times New Roman"/>
          <w:b/>
          <w:i w:val="0"/>
          <w:sz w:val="30"/>
        </w:rPr>
        <w:t>BÁO CÁO PHÂN LOẠI ẢNH X-QUANG NGỰC SỬ DỤNG VGG19 VÀ RESNET50-FCSSAM</w:t>
      </w:r>
    </w:p>
    <w:p>
      <w:pPr>
        <w:spacing w:line="312" w:lineRule="auto" w:before="160" w:after="120"/>
      </w:pPr>
      <w:r>
        <w:rPr>
          <w:rFonts w:ascii="Times New Roman" w:hAnsi="Times New Roman" w:eastAsia="Times New Roman"/>
          <w:b/>
          <w:i w:val="0"/>
          <w:sz w:val="26"/>
        </w:rPr>
        <w:t>1. Giới thiệu</w:t>
      </w:r>
    </w:p>
    <w:p>
      <w:pPr>
        <w:spacing w:line="312" w:lineRule="auto" w:before="0" w:after="120"/>
        <w:jc w:val="both"/>
      </w:pPr>
      <w:r>
        <w:rPr>
          <w:rFonts w:ascii="Times New Roman" w:hAnsi="Times New Roman" w:eastAsia="Times New Roman"/>
          <w:b w:val="0"/>
          <w:i w:val="0"/>
          <w:sz w:val="26"/>
        </w:rPr>
        <w:t>Ảnh X-quang ngực là phương tiện chẩn đoán hình ảnh được sử dụng rộng rãi trong phát hiện các bệnh lý hô hấp. Trong thực tế, các dấu hiệu của viêm phổi và tràn dịch màng phổi có thể xuất hiện dưới dạng các vùng mờ, vùng tăng sáng bất thường hoặc sự thay đổi cấu trúc trong phổi. Việc nhận diện các biểu hiện này phụ thuộc nhiều vào kinh nghiệm của bác sĩ, chất lượng ảnh và mức độ rõ ràng của tổn thương. Vì vậy, việc xây dựng mô hình học sâu nhằm hỗ trợ phân loại ảnh X-quang ngực có ý nghĩa trong việc hỗ trợ sàng lọc và cung cấp thêm căn cứ tham khảo cho quá trình chẩn đoán.</w:t>
      </w:r>
    </w:p>
    <w:p>
      <w:pPr>
        <w:spacing w:line="312" w:lineRule="auto" w:before="0" w:after="120"/>
        <w:jc w:val="both"/>
      </w:pPr>
      <w:r>
        <w:rPr>
          <w:rFonts w:ascii="Times New Roman" w:hAnsi="Times New Roman" w:eastAsia="Times New Roman"/>
          <w:b w:val="0"/>
          <w:i w:val="0"/>
          <w:sz w:val="26"/>
        </w:rPr>
        <w:t>Đề tài tập trung vào bài toán phân loại ảnh X-quang ngực thành ba nhóm: ảnh bình thường, ảnh có viêm phổi và ảnh có tràn dịch màng phổi. Hai mô hình được xây dựng và so sánh gồm VGG19 kết hợp lớp gộp trung bình toàn cục và ResNet50 kết hợp mô-đun chú ý chọn lọc kênh mờ FCSSAM. Mô hình VGG19 được phát triển dựa trên hướng tiếp cận của bài báo JIKI về phân loại tràn dịch màng phổi bằng mạng nơ-ron tích chập. Mô hình ResNet50-FCSSAM được tham khảo từ bài báo năm 2024 về FA-Net cho phát hiện viêm phổi trên ảnh X-quang ngực.</w:t>
      </w:r>
    </w:p>
    <w:p>
      <w:pPr>
        <w:spacing w:line="312" w:lineRule="auto" w:before="0" w:after="120"/>
        <w:jc w:val="both"/>
      </w:pPr>
      <w:r>
        <w:rPr>
          <w:rFonts w:ascii="Times New Roman" w:hAnsi="Times New Roman" w:eastAsia="Times New Roman"/>
          <w:b w:val="0"/>
          <w:i w:val="0"/>
          <w:sz w:val="26"/>
        </w:rPr>
        <w:t>Mục tiêu của báo cáo là trình bày cơ sở lý thuyết, các nghiên cứu liên quan, phương pháp thực hiện, kết quả thực nghiệm và kết luận. Báo cáo ưu tiên sử dụng thuật ngữ tiếng Việt, đồng thời các công thức được trình bày ở dạng toán học rõ ràng để phù hợp với văn phong báo cáo khoa học.</w:t>
      </w:r>
    </w:p>
    <w:p>
      <w:pPr>
        <w:spacing w:line="312" w:lineRule="auto" w:before="0" w:after="120"/>
        <w:jc w:val="center"/>
      </w:pPr>
      <w:r>
        <w:rPr>
          <w:rFonts w:ascii="Times New Roman" w:hAnsi="Times New Roman" w:eastAsia="Times New Roman"/>
          <w:b/>
          <w:i/>
          <w:sz w:val="26"/>
        </w:rPr>
        <w:t>[CHÈN HÌNH 1: Ví dụ ảnh X-quang của ba nhóm: bình thường, viêm phổi và tràn dịch màng phổi]</w:t>
      </w:r>
    </w:p>
    <w:p>
      <w:pPr>
        <w:spacing w:line="312" w:lineRule="auto" w:before="160" w:after="120"/>
      </w:pPr>
      <w:r>
        <w:rPr>
          <w:rFonts w:ascii="Times New Roman" w:hAnsi="Times New Roman" w:eastAsia="Times New Roman"/>
          <w:b/>
          <w:i w:val="0"/>
          <w:sz w:val="26"/>
        </w:rPr>
        <w:t>2. Các nghiên cứu/phương pháp liên quan</w:t>
      </w:r>
    </w:p>
    <w:p>
      <w:pPr>
        <w:spacing w:line="312" w:lineRule="auto" w:before="0" w:after="120"/>
        <w:jc w:val="both"/>
      </w:pPr>
      <w:r>
        <w:rPr>
          <w:rFonts w:ascii="Times New Roman" w:hAnsi="Times New Roman" w:eastAsia="Times New Roman"/>
          <w:b w:val="0"/>
          <w:i w:val="0"/>
          <w:sz w:val="26"/>
        </w:rPr>
        <w:t>Bài báo JIKI với tiêu đề “Pleural Effusion Classification Based on Chest X-Ray Images using Convolutional Neural Network” nghiên cứu bài toán phát hiện tràn dịch màng phổi trên ảnh X-quang ngực. Nghiên cứu sử dụng mạng nơ-ron tích chập, trong đó VGG19 được dùng làm mô hình nền đã được huấn luyện trước trên tập ảnh ImageNet. Ý tưởng chính của nghiên cứu là tận dụng khả năng trích xuất đặc trưng ảnh của VGG19, sau đó điều chỉnh phần phân loại phía trên để phù hợp với bài toán y khoa.</w:t>
      </w:r>
    </w:p>
    <w:p>
      <w:pPr>
        <w:spacing w:line="312" w:lineRule="auto" w:before="0" w:after="120"/>
        <w:jc w:val="both"/>
      </w:pPr>
      <w:r>
        <w:rPr>
          <w:rFonts w:ascii="Times New Roman" w:hAnsi="Times New Roman" w:eastAsia="Times New Roman"/>
          <w:b w:val="0"/>
          <w:i w:val="0"/>
          <w:sz w:val="26"/>
        </w:rPr>
        <w:t>Mạng nơ-ron tích chập là phương pháp học sâu phù hợp với dữ liệu ảnh. Thành phần quan trọng nhất của mạng là phép tích chập. Với ảnh đầu vào hoặc bản đồ đặc trưng ký hiệu là X, bộ lọc ký hiệu là K và độ lệch là b, đầu ra tại vị trí (i, j) được tính như sau:</w:t>
      </w:r>
    </w:p>
    <w:p>
      <w:pPr>
        <w:spacing w:line="312" w:lineRule="auto" w:before="0" w:after="160"/>
        <w:jc w:val="center"/>
      </w:pPr>
      <w:r>
        <w:rPr>
          <w:rFonts w:ascii="Cambria Math" w:hAnsi="Cambria Math" w:eastAsia="Cambria Math"/>
          <w:b w:val="0"/>
          <w:i w:val="0"/>
          <w:sz w:val="26"/>
        </w:rPr>
        <w:t>Y(i,j) = ∑ₘ ∑ₙ X(i+m,j+n) · K(m,n) + b        (1)</w:t>
      </w:r>
    </w:p>
    <w:p>
      <w:pPr>
        <w:spacing w:line="312" w:lineRule="auto" w:before="0" w:after="120"/>
        <w:jc w:val="both"/>
      </w:pPr>
      <w:r>
        <w:rPr>
          <w:rFonts w:ascii="Times New Roman" w:hAnsi="Times New Roman" w:eastAsia="Times New Roman"/>
          <w:b w:val="0"/>
          <w:i w:val="0"/>
          <w:sz w:val="26"/>
        </w:rPr>
        <w:t>Trong công thức (1), Y(i,j) là giá trị sau tích chập tại vị trí (i, j). Bộ lọc K di chuyển trên ảnh để phát hiện các đặc trưng cục bộ như biên, vùng sáng tối, kết cấu mô phổi hoặc các vùng bất thường trên ảnh X-quang.</w:t>
      </w:r>
    </w:p>
    <w:p>
      <w:pPr>
        <w:spacing w:line="312" w:lineRule="auto" w:before="0" w:after="120"/>
        <w:jc w:val="both"/>
      </w:pPr>
      <w:r>
        <w:rPr>
          <w:rFonts w:ascii="Times New Roman" w:hAnsi="Times New Roman" w:eastAsia="Times New Roman"/>
          <w:b w:val="0"/>
          <w:i w:val="0"/>
          <w:sz w:val="26"/>
        </w:rPr>
        <w:t>Sau phép tích chập, hàm kích hoạt ReLU thường được sử dụng để tạo tính phi tuyến cho mô hình:</w:t>
      </w:r>
    </w:p>
    <w:p>
      <w:pPr>
        <w:spacing w:line="312" w:lineRule="auto" w:before="0" w:after="160"/>
        <w:jc w:val="center"/>
      </w:pPr>
      <w:r>
        <w:rPr>
          <w:rFonts w:ascii="Cambria Math" w:hAnsi="Cambria Math" w:eastAsia="Cambria Math"/>
          <w:b w:val="0"/>
          <w:i w:val="0"/>
          <w:sz w:val="26"/>
        </w:rPr>
        <w:t>f(x) = max(0, x)        (2)</w:t>
      </w:r>
    </w:p>
    <w:p>
      <w:pPr>
        <w:spacing w:line="312" w:lineRule="auto" w:before="0" w:after="120"/>
        <w:jc w:val="both"/>
      </w:pPr>
      <w:r>
        <w:rPr>
          <w:rFonts w:ascii="Times New Roman" w:hAnsi="Times New Roman" w:eastAsia="Times New Roman"/>
          <w:b w:val="0"/>
          <w:i w:val="0"/>
          <w:sz w:val="26"/>
        </w:rPr>
        <w:t>Công thức (2) cho thấy nếu giá trị đầu vào nhỏ hơn hoặc bằng 0 thì đầu ra bằng 0; nếu giá trị đầu vào lớn hơn 0 thì đầu ra giữ nguyên. Hàm ReLU giúp mô hình học được các quan hệ phi tuyến và làm quá trình huấn luyện ổn định hơn.</w:t>
      </w:r>
    </w:p>
    <w:p>
      <w:pPr>
        <w:spacing w:line="312" w:lineRule="auto" w:before="0" w:after="120"/>
        <w:jc w:val="center"/>
      </w:pPr>
      <w:r>
        <w:rPr>
          <w:rFonts w:ascii="Times New Roman" w:hAnsi="Times New Roman" w:eastAsia="Times New Roman"/>
          <w:b/>
          <w:i/>
          <w:sz w:val="26"/>
        </w:rPr>
        <w:t>[CHÈN HÌNH 2: Minh họa phép tích chập và hàm ReLU]</w:t>
      </w:r>
    </w:p>
    <w:p>
      <w:pPr>
        <w:spacing w:line="312" w:lineRule="auto" w:before="0" w:after="120"/>
        <w:jc w:val="both"/>
      </w:pPr>
      <w:r>
        <w:rPr>
          <w:rFonts w:ascii="Times New Roman" w:hAnsi="Times New Roman" w:eastAsia="Times New Roman"/>
          <w:b w:val="0"/>
          <w:i w:val="0"/>
          <w:sz w:val="26"/>
        </w:rPr>
        <w:t>Lớp gộp được sử dụng để giảm kích thước bản đồ đặc trưng. Với gộp cực đại, giá trị đầu ra là giá trị lớn nhất trong một vùng lân cận Ω:</w:t>
      </w:r>
    </w:p>
    <w:p>
      <w:pPr>
        <w:spacing w:line="312" w:lineRule="auto" w:before="0" w:after="160"/>
        <w:jc w:val="center"/>
      </w:pPr>
      <w:r>
        <w:rPr>
          <w:rFonts w:ascii="Cambria Math" w:hAnsi="Cambria Math" w:eastAsia="Cambria Math"/>
          <w:b w:val="0"/>
          <w:i w:val="0"/>
          <w:sz w:val="26"/>
        </w:rPr>
        <w:t>Y(i,j) = max X(i+m,j+n),  với (m,n) ∈ Ω        (3)</w:t>
      </w:r>
    </w:p>
    <w:p>
      <w:pPr>
        <w:spacing w:line="312" w:lineRule="auto" w:before="0" w:after="120"/>
        <w:jc w:val="both"/>
      </w:pPr>
      <w:r>
        <w:rPr>
          <w:rFonts w:ascii="Times New Roman" w:hAnsi="Times New Roman" w:eastAsia="Times New Roman"/>
          <w:b w:val="0"/>
          <w:i w:val="0"/>
          <w:sz w:val="26"/>
        </w:rPr>
        <w:t>Với gộp trung bình, giá trị đầu ra là trung bình các giá trị trong vùng lân cận Ω:</w:t>
      </w:r>
    </w:p>
    <w:p>
      <w:pPr>
        <w:spacing w:line="312" w:lineRule="auto" w:before="0" w:after="160"/>
        <w:jc w:val="center"/>
      </w:pPr>
      <w:r>
        <w:rPr>
          <w:rFonts w:ascii="Cambria Math" w:hAnsi="Cambria Math" w:eastAsia="Cambria Math"/>
          <w:b w:val="0"/>
          <w:i w:val="0"/>
          <w:sz w:val="26"/>
        </w:rPr>
        <w:t>Y(i,j) = 1/|Ω| · ∑_(m,n∈Ω) X(i+m,j+n)        (4)</w:t>
      </w:r>
    </w:p>
    <w:p>
      <w:pPr>
        <w:spacing w:line="312" w:lineRule="auto" w:before="0" w:after="120"/>
        <w:jc w:val="both"/>
      </w:pPr>
      <w:r>
        <w:rPr>
          <w:rFonts w:ascii="Times New Roman" w:hAnsi="Times New Roman" w:eastAsia="Times New Roman"/>
          <w:b w:val="0"/>
          <w:i w:val="0"/>
          <w:sz w:val="26"/>
        </w:rPr>
        <w:t>Trong mô hình của đề tài, lớp gộp trung bình toàn cục được sử dụng để chuyển mỗi kênh đặc trưng thành một giá trị duy nhất:</w:t>
      </w:r>
    </w:p>
    <w:p>
      <w:pPr>
        <w:spacing w:line="312" w:lineRule="auto" w:before="0" w:after="160"/>
        <w:jc w:val="center"/>
      </w:pPr>
      <w:r>
        <w:rPr>
          <w:rFonts w:ascii="Cambria Math" w:hAnsi="Cambria Math" w:eastAsia="Cambria Math"/>
          <w:b w:val="0"/>
          <w:i w:val="0"/>
          <w:sz w:val="26"/>
        </w:rPr>
        <w:t>G_c = 1/(H·W) · ∑ᵢ₌₁ᴴ ∑ⱼ₌₁ᵂ F_c(i,j)        (5)</w:t>
      </w:r>
    </w:p>
    <w:p>
      <w:pPr>
        <w:spacing w:line="312" w:lineRule="auto" w:before="0" w:after="120"/>
        <w:jc w:val="both"/>
      </w:pPr>
      <w:r>
        <w:rPr>
          <w:rFonts w:ascii="Times New Roman" w:hAnsi="Times New Roman" w:eastAsia="Times New Roman"/>
          <w:b w:val="0"/>
          <w:i w:val="0"/>
          <w:sz w:val="26"/>
        </w:rPr>
        <w:t>Trong công thức (5), F_c là bản đồ đặc trưng của kênh thứ c, H là chiều cao và W là chiều rộng. Cách làm này giúp giảm số tham số, hạn chế quá khớp và giữ lại thông tin tổng quát của từng kênh đặc trưng.</w:t>
      </w:r>
    </w:p>
    <w:p>
      <w:pPr>
        <w:spacing w:line="312" w:lineRule="auto" w:before="0" w:after="120"/>
        <w:jc w:val="center"/>
      </w:pPr>
      <w:r>
        <w:rPr>
          <w:rFonts w:ascii="Times New Roman" w:hAnsi="Times New Roman" w:eastAsia="Times New Roman"/>
          <w:b/>
          <w:i/>
          <w:sz w:val="26"/>
        </w:rPr>
        <w:t>[CHÈN HÌNH 3: Minh họa gộp cực đại và gộp trung bình toàn cục]</w:t>
      </w:r>
    </w:p>
    <w:p>
      <w:pPr>
        <w:spacing w:line="312" w:lineRule="auto" w:before="0" w:after="120"/>
        <w:jc w:val="both"/>
      </w:pPr>
      <w:r>
        <w:rPr>
          <w:rFonts w:ascii="Times New Roman" w:hAnsi="Times New Roman" w:eastAsia="Times New Roman"/>
          <w:b w:val="0"/>
          <w:i w:val="0"/>
          <w:sz w:val="26"/>
        </w:rPr>
        <w:t>Ở lớp cuối của mô hình phân loại nhiều lớp, hàm Softmax được dùng để biến các điểm số đầu ra thành xác suất:</w:t>
      </w:r>
    </w:p>
    <w:p>
      <w:pPr>
        <w:spacing w:line="312" w:lineRule="auto" w:before="0" w:after="160"/>
        <w:jc w:val="center"/>
      </w:pPr>
      <w:r>
        <w:rPr>
          <w:rFonts w:ascii="Cambria Math" w:hAnsi="Cambria Math" w:eastAsia="Cambria Math"/>
          <w:b w:val="0"/>
          <w:i w:val="0"/>
          <w:sz w:val="26"/>
        </w:rPr>
        <w:t>p_j = e^(z_j) / ∑ᵢ₌₁ᶜ e^(z_i)        (6)</w:t>
      </w:r>
    </w:p>
    <w:p>
      <w:pPr>
        <w:spacing w:line="312" w:lineRule="auto" w:before="0" w:after="120"/>
        <w:jc w:val="both"/>
      </w:pPr>
      <w:r>
        <w:rPr>
          <w:rFonts w:ascii="Times New Roman" w:hAnsi="Times New Roman" w:eastAsia="Times New Roman"/>
          <w:b w:val="0"/>
          <w:i w:val="0"/>
          <w:sz w:val="26"/>
        </w:rPr>
        <w:t>Trong đó z_j là điểm số của lớp thứ j, C là số lớp và p_j là xác suất ảnh thuộc lớp thứ j. Hàm mất mát entropy chéo được dùng để đo sai khác giữa nhãn thật và xác suất dự đoán:</w:t>
      </w:r>
    </w:p>
    <w:p>
      <w:pPr>
        <w:spacing w:line="312" w:lineRule="auto" w:before="0" w:after="160"/>
        <w:jc w:val="center"/>
      </w:pPr>
      <w:r>
        <w:rPr>
          <w:rFonts w:ascii="Cambria Math" w:hAnsi="Cambria Math" w:eastAsia="Cambria Math"/>
          <w:b w:val="0"/>
          <w:i w:val="0"/>
          <w:sz w:val="26"/>
        </w:rPr>
        <w:t>L = − ∑ᵢ₌₁ᶜ y_i · log(p_i)        (7)</w:t>
      </w:r>
    </w:p>
    <w:p>
      <w:pPr>
        <w:spacing w:line="312" w:lineRule="auto" w:before="0" w:after="120"/>
        <w:jc w:val="both"/>
      </w:pPr>
      <w:r>
        <w:rPr>
          <w:rFonts w:ascii="Times New Roman" w:hAnsi="Times New Roman" w:eastAsia="Times New Roman"/>
          <w:b w:val="0"/>
          <w:i w:val="0"/>
          <w:sz w:val="26"/>
        </w:rPr>
        <w:t>Với nhãn đúng là lớp t, công thức (7) có thể viết gọn thành:</w:t>
      </w:r>
    </w:p>
    <w:p>
      <w:pPr>
        <w:spacing w:line="312" w:lineRule="auto" w:before="0" w:after="160"/>
        <w:jc w:val="center"/>
      </w:pPr>
      <w:r>
        <w:rPr>
          <w:rFonts w:ascii="Cambria Math" w:hAnsi="Cambria Math" w:eastAsia="Cambria Math"/>
          <w:b w:val="0"/>
          <w:i w:val="0"/>
          <w:sz w:val="26"/>
        </w:rPr>
        <w:t>L = − log(p_t)        (8)</w:t>
      </w:r>
    </w:p>
    <w:p>
      <w:pPr>
        <w:spacing w:line="312" w:lineRule="auto" w:before="0" w:after="120"/>
        <w:jc w:val="both"/>
      </w:pPr>
      <w:r>
        <w:rPr>
          <w:rFonts w:ascii="Times New Roman" w:hAnsi="Times New Roman" w:eastAsia="Times New Roman"/>
          <w:b w:val="0"/>
          <w:i w:val="0"/>
          <w:sz w:val="26"/>
        </w:rPr>
        <w:t>Bài báo năm 2024 “FA-Net: A Fuzzy Attention-aided Deep Neural Network for Pneumonia Detection in Chest X-Rays” đề xuất mô-đun FCSSAM nhằm cải thiện khả năng nhận diện viêm phổi trên ảnh X-quang. FCSSAM gồm ba thành phần chính: mô-đun chú ý theo kênh, mô-đun chú ý theo không gian và mô-đun chọn lọc kênh mờ. Mục tiêu của mô-đun là làm nổi bật các vùng ảnh quan trọng, tăng cường các kênh đặc trưng hữu ích và loại bỏ các kênh ít liên quan.</w:t>
      </w:r>
    </w:p>
    <w:p>
      <w:pPr>
        <w:spacing w:line="312" w:lineRule="auto" w:before="0" w:after="120"/>
        <w:jc w:val="both"/>
      </w:pPr>
      <w:r>
        <w:rPr>
          <w:rFonts w:ascii="Times New Roman" w:hAnsi="Times New Roman" w:eastAsia="Times New Roman"/>
          <w:b w:val="0"/>
          <w:i w:val="0"/>
          <w:sz w:val="26"/>
        </w:rPr>
        <w:t>Gọi bản đồ đặc trưng từ mô hình nền là F_enc có kích thước H × W × C. Mô-đun chú ý theo kênh tạo trọng số cho từng kênh bằng cách kết hợp gộp trung bình toàn cục và gộp cực đại toàn cục:</w:t>
      </w:r>
    </w:p>
    <w:p>
      <w:pPr>
        <w:spacing w:line="312" w:lineRule="auto" w:before="0" w:after="160"/>
        <w:jc w:val="center"/>
      </w:pPr>
      <w:r>
        <w:rPr>
          <w:rFonts w:ascii="Cambria Math" w:hAnsi="Cambria Math" w:eastAsia="Cambria Math"/>
          <w:b w:val="0"/>
          <w:i w:val="0"/>
          <w:sz w:val="26"/>
        </w:rPr>
        <w:t>F_avg = D₂(ReLU(D₁(GAP(F_enc))))        (9)</w:t>
      </w:r>
    </w:p>
    <w:p>
      <w:pPr>
        <w:spacing w:line="312" w:lineRule="auto" w:before="0" w:after="160"/>
        <w:jc w:val="center"/>
      </w:pPr>
      <w:r>
        <w:rPr>
          <w:rFonts w:ascii="Cambria Math" w:hAnsi="Cambria Math" w:eastAsia="Cambria Math"/>
          <w:b w:val="0"/>
          <w:i w:val="0"/>
          <w:sz w:val="26"/>
        </w:rPr>
        <w:t>F_max = D₂(ReLU(D₁(GMP(F_enc))))        (10)</w:t>
      </w:r>
    </w:p>
    <w:p>
      <w:pPr>
        <w:spacing w:line="312" w:lineRule="auto" w:before="0" w:after="160"/>
        <w:jc w:val="center"/>
      </w:pPr>
      <w:r>
        <w:rPr>
          <w:rFonts w:ascii="Cambria Math" w:hAnsi="Cambria Math" w:eastAsia="Cambria Math"/>
          <w:b w:val="0"/>
          <w:i w:val="0"/>
          <w:sz w:val="26"/>
        </w:rPr>
        <w:t>F_channel = σ(F_avg + F_max)        (11)</w:t>
      </w:r>
    </w:p>
    <w:p>
      <w:pPr>
        <w:spacing w:line="312" w:lineRule="auto" w:before="0" w:after="120"/>
        <w:jc w:val="both"/>
      </w:pPr>
      <w:r>
        <w:rPr>
          <w:rFonts w:ascii="Times New Roman" w:hAnsi="Times New Roman" w:eastAsia="Times New Roman"/>
          <w:b w:val="0"/>
          <w:i w:val="0"/>
          <w:sz w:val="26"/>
        </w:rPr>
        <w:t>Trong đó D₁ và D₂ là hai lớp kết nối đầy đủ, σ là hàm sigmoid. Mục đích của thành phần này là gán trọng số cao hơn cho các kênh mang thông tin quan trọng đối với việc phân loại bệnh.</w:t>
      </w:r>
    </w:p>
    <w:p>
      <w:pPr>
        <w:spacing w:line="312" w:lineRule="auto" w:before="0" w:after="160"/>
        <w:jc w:val="center"/>
      </w:pPr>
      <w:r>
        <w:rPr>
          <w:rFonts w:ascii="Cambria Math" w:hAnsi="Cambria Math" w:eastAsia="Cambria Math"/>
          <w:b w:val="0"/>
          <w:i w:val="0"/>
          <w:sz w:val="26"/>
        </w:rPr>
        <w:t>σ(x) = 1/(1 + e^(−x))        (12)</w:t>
      </w:r>
    </w:p>
    <w:p>
      <w:pPr>
        <w:spacing w:line="312" w:lineRule="auto" w:before="0" w:after="120"/>
        <w:jc w:val="center"/>
      </w:pPr>
      <w:r>
        <w:rPr>
          <w:rFonts w:ascii="Times New Roman" w:hAnsi="Times New Roman" w:eastAsia="Times New Roman"/>
          <w:b/>
          <w:i/>
          <w:sz w:val="26"/>
        </w:rPr>
        <w:t>[CHÈN HÌNH 4: Mô-đun chú ý theo kênh trong FCSSAM]</w:t>
      </w:r>
    </w:p>
    <w:p>
      <w:pPr>
        <w:spacing w:line="312" w:lineRule="auto" w:before="0" w:after="120"/>
        <w:jc w:val="both"/>
      </w:pPr>
      <w:r>
        <w:rPr>
          <w:rFonts w:ascii="Times New Roman" w:hAnsi="Times New Roman" w:eastAsia="Times New Roman"/>
          <w:b w:val="0"/>
          <w:i w:val="0"/>
          <w:sz w:val="26"/>
        </w:rPr>
        <w:t>Mô-đun chú ý theo không gian tập trung vào việc xác định vùng nào trên ảnh hoặc bản đồ đặc trưng là quan trọng. Từ bản đồ đặc trưng F, hai bản đồ tóm tắt được tạo bằng trung bình và cực đại theo chiều kênh:</w:t>
      </w:r>
    </w:p>
    <w:p>
      <w:pPr>
        <w:spacing w:line="312" w:lineRule="auto" w:before="0" w:after="160"/>
        <w:jc w:val="center"/>
      </w:pPr>
      <w:r>
        <w:rPr>
          <w:rFonts w:ascii="Cambria Math" w:hAnsi="Cambria Math" w:eastAsia="Cambria Math"/>
          <w:b w:val="0"/>
          <w:i w:val="0"/>
          <w:sz w:val="26"/>
        </w:rPr>
        <w:t>F_tb(i,j) = 1/C · ∑ᶜₖ₌₁ F_k(i,j)        (13)</w:t>
      </w:r>
    </w:p>
    <w:p>
      <w:pPr>
        <w:spacing w:line="312" w:lineRule="auto" w:before="0" w:after="160"/>
        <w:jc w:val="center"/>
      </w:pPr>
      <w:r>
        <w:rPr>
          <w:rFonts w:ascii="Cambria Math" w:hAnsi="Cambria Math" w:eastAsia="Cambria Math"/>
          <w:b w:val="0"/>
          <w:i w:val="0"/>
          <w:sz w:val="26"/>
        </w:rPr>
        <w:t>F_cđ(i,j) = maxₖ F_k(i,j)        (14)</w:t>
      </w:r>
    </w:p>
    <w:p>
      <w:pPr>
        <w:spacing w:line="312" w:lineRule="auto" w:before="0" w:after="120"/>
        <w:jc w:val="both"/>
      </w:pPr>
      <w:r>
        <w:rPr>
          <w:rFonts w:ascii="Times New Roman" w:hAnsi="Times New Roman" w:eastAsia="Times New Roman"/>
          <w:b w:val="0"/>
          <w:i w:val="0"/>
          <w:sz w:val="26"/>
        </w:rPr>
        <w:t>Sau đó hai bản đồ này được đưa qua phép tích chập kích thước 7 × 7 và hàm sigmoid để tạo bản đồ chú ý không gian:</w:t>
      </w:r>
    </w:p>
    <w:p>
      <w:pPr>
        <w:spacing w:line="312" w:lineRule="auto" w:before="0" w:after="160"/>
        <w:jc w:val="center"/>
      </w:pPr>
      <w:r>
        <w:rPr>
          <w:rFonts w:ascii="Cambria Math" w:hAnsi="Cambria Math" w:eastAsia="Cambria Math"/>
          <w:b w:val="0"/>
          <w:i w:val="0"/>
          <w:sz w:val="26"/>
        </w:rPr>
        <w:t>S_cđ = σ(f^(7×7)(F_cđ))        (15)</w:t>
      </w:r>
    </w:p>
    <w:p>
      <w:pPr>
        <w:spacing w:line="312" w:lineRule="auto" w:before="0" w:after="160"/>
        <w:jc w:val="center"/>
      </w:pPr>
      <w:r>
        <w:rPr>
          <w:rFonts w:ascii="Cambria Math" w:hAnsi="Cambria Math" w:eastAsia="Cambria Math"/>
          <w:b w:val="0"/>
          <w:i w:val="0"/>
          <w:sz w:val="26"/>
        </w:rPr>
        <w:t>S_tb = σ(f^(7×7)(F_tb))        (16)</w:t>
      </w:r>
    </w:p>
    <w:p>
      <w:pPr>
        <w:spacing w:line="312" w:lineRule="auto" w:before="0" w:after="120"/>
        <w:jc w:val="both"/>
      </w:pPr>
      <w:r>
        <w:rPr>
          <w:rFonts w:ascii="Times New Roman" w:hAnsi="Times New Roman" w:eastAsia="Times New Roman"/>
          <w:b w:val="0"/>
          <w:i w:val="0"/>
          <w:sz w:val="26"/>
        </w:rPr>
        <w:t>Bản đồ đặc trưng ban đầu được nhân từng phần tử với các bản đồ chú ý để làm nổi bật vùng quan trọng:</w:t>
      </w:r>
    </w:p>
    <w:p>
      <w:pPr>
        <w:spacing w:line="312" w:lineRule="auto" w:before="0" w:after="160"/>
        <w:jc w:val="center"/>
      </w:pPr>
      <w:r>
        <w:rPr>
          <w:rFonts w:ascii="Cambria Math" w:hAnsi="Cambria Math" w:eastAsia="Cambria Math"/>
          <w:b w:val="0"/>
          <w:i w:val="0"/>
          <w:sz w:val="26"/>
        </w:rPr>
        <w:t>F'₁ = F ⊗ S_cđ        (17)</w:t>
      </w:r>
    </w:p>
    <w:p>
      <w:pPr>
        <w:spacing w:line="312" w:lineRule="auto" w:before="0" w:after="160"/>
        <w:jc w:val="center"/>
      </w:pPr>
      <w:r>
        <w:rPr>
          <w:rFonts w:ascii="Cambria Math" w:hAnsi="Cambria Math" w:eastAsia="Cambria Math"/>
          <w:b w:val="0"/>
          <w:i w:val="0"/>
          <w:sz w:val="26"/>
        </w:rPr>
        <w:t>F'₂ = F ⊗ S_tb        (18)</w:t>
      </w:r>
    </w:p>
    <w:p>
      <w:pPr>
        <w:spacing w:line="312" w:lineRule="auto" w:before="0" w:after="160"/>
        <w:jc w:val="center"/>
      </w:pPr>
      <w:r>
        <w:rPr>
          <w:rFonts w:ascii="Cambria Math" w:hAnsi="Cambria Math" w:eastAsia="Cambria Math"/>
          <w:b w:val="0"/>
          <w:i w:val="0"/>
          <w:sz w:val="26"/>
        </w:rPr>
        <w:t>F_gộp = Ghép(F'₁, F'₂)        (19)</w:t>
      </w:r>
    </w:p>
    <w:p>
      <w:pPr>
        <w:spacing w:line="312" w:lineRule="auto" w:before="0" w:after="120"/>
        <w:jc w:val="center"/>
      </w:pPr>
      <w:r>
        <w:rPr>
          <w:rFonts w:ascii="Times New Roman" w:hAnsi="Times New Roman" w:eastAsia="Times New Roman"/>
          <w:b/>
          <w:i/>
          <w:sz w:val="26"/>
        </w:rPr>
        <w:t>[CHÈN HÌNH 5: Mô-đun chú ý theo không gian]</w:t>
      </w:r>
    </w:p>
    <w:p>
      <w:pPr>
        <w:spacing w:line="312" w:lineRule="auto" w:before="0" w:after="120"/>
        <w:jc w:val="both"/>
      </w:pPr>
      <w:r>
        <w:rPr>
          <w:rFonts w:ascii="Times New Roman" w:hAnsi="Times New Roman" w:eastAsia="Times New Roman"/>
          <w:b w:val="0"/>
          <w:i w:val="0"/>
          <w:sz w:val="26"/>
        </w:rPr>
        <w:t>Sau khi có bản đồ đặc trưng đã được tăng cường, mô-đun chọn lọc kênh mờ sẽ chọn các kênh có ý nghĩa nhất. Mỗi kênh được gán một trọng số học được α. Bài báo sử dụng hàm Richards sigmoid để điều chỉnh mức độ quan trọng của kênh:</w:t>
      </w:r>
    </w:p>
    <w:p>
      <w:pPr>
        <w:spacing w:line="312" w:lineRule="auto" w:before="0" w:after="160"/>
        <w:jc w:val="center"/>
      </w:pPr>
      <w:r>
        <w:rPr>
          <w:rFonts w:ascii="Cambria Math" w:hAnsi="Cambria Math" w:eastAsia="Cambria Math"/>
          <w:b w:val="0"/>
          <w:i w:val="0"/>
          <w:sz w:val="26"/>
        </w:rPr>
        <w:t>R(α) = 1/(1 + e^(A · e^(−Q(α−μ))))        (20)</w:t>
      </w:r>
    </w:p>
    <w:p>
      <w:pPr>
        <w:spacing w:line="312" w:lineRule="auto" w:before="0" w:after="120"/>
        <w:jc w:val="both"/>
      </w:pPr>
      <w:r>
        <w:rPr>
          <w:rFonts w:ascii="Times New Roman" w:hAnsi="Times New Roman" w:eastAsia="Times New Roman"/>
          <w:b w:val="0"/>
          <w:i w:val="0"/>
          <w:sz w:val="26"/>
        </w:rPr>
        <w:t>Trong công thức (20), A là tham số tỉ lệ, Q điều khiển độ dốc của đường cong và μ là tham số vị trí. Sau khi tính điểm quan trọng, các kênh được sắp xếp và chỉ giữ lại một tỉ lệ nhất định các kênh có điểm cao nhất. Trong đề tài này, mô hình giữ lại 80% kênh quan trọng nhất.</w:t>
      </w:r>
    </w:p>
    <w:p>
      <w:pPr>
        <w:spacing w:line="312" w:lineRule="auto" w:before="0" w:after="120"/>
        <w:jc w:val="center"/>
      </w:pPr>
      <w:r>
        <w:rPr>
          <w:rFonts w:ascii="Times New Roman" w:hAnsi="Times New Roman" w:eastAsia="Times New Roman"/>
          <w:b/>
          <w:i/>
          <w:sz w:val="26"/>
        </w:rPr>
        <w:t>[CHÈN HÌNH 6: Chọn lọc kênh mờ bằng hàm Richards sigmoid]</w:t>
      </w:r>
    </w:p>
    <w:p>
      <w:pPr>
        <w:spacing w:line="312" w:lineRule="auto" w:before="0" w:after="120"/>
        <w:jc w:val="both"/>
      </w:pPr>
      <w:r>
        <w:rPr>
          <w:rFonts w:ascii="Times New Roman" w:hAnsi="Times New Roman" w:eastAsia="Times New Roman"/>
          <w:b w:val="0"/>
          <w:i w:val="0"/>
          <w:sz w:val="26"/>
        </w:rPr>
        <w:t>Để giải thích dự đoán của mô hình, Grad-CAM được sử dụng nhằm tạo bản đồ nhiệt chỉ ra vùng ảnh đóng góp nhiều vào quyết định phân loại. Trọng số của bản đồ đặc trưng thứ k đối với lớp c được tính bằng trung bình gradient:</w:t>
      </w:r>
    </w:p>
    <w:p>
      <w:pPr>
        <w:spacing w:line="312" w:lineRule="auto" w:before="0" w:after="160"/>
        <w:jc w:val="center"/>
      </w:pPr>
      <w:r>
        <w:rPr>
          <w:rFonts w:ascii="Cambria Math" w:hAnsi="Cambria Math" w:eastAsia="Cambria Math"/>
          <w:b w:val="0"/>
          <w:i w:val="0"/>
          <w:sz w:val="26"/>
        </w:rPr>
        <w:t>α_k^c = 1/Z · ∑ᵢ ∑ⱼ ∂y^c/∂A_ij^k        (21)</w:t>
      </w:r>
    </w:p>
    <w:p>
      <w:pPr>
        <w:spacing w:line="312" w:lineRule="auto" w:before="0" w:after="120"/>
        <w:jc w:val="both"/>
      </w:pPr>
      <w:r>
        <w:rPr>
          <w:rFonts w:ascii="Times New Roman" w:hAnsi="Times New Roman" w:eastAsia="Times New Roman"/>
          <w:b w:val="0"/>
          <w:i w:val="0"/>
          <w:sz w:val="26"/>
        </w:rPr>
        <w:t>Bản đồ nhiệt Grad-CAM được tính như sau:</w:t>
      </w:r>
    </w:p>
    <w:p>
      <w:pPr>
        <w:spacing w:line="312" w:lineRule="auto" w:before="0" w:after="160"/>
        <w:jc w:val="center"/>
      </w:pPr>
      <w:r>
        <w:rPr>
          <w:rFonts w:ascii="Cambria Math" w:hAnsi="Cambria Math" w:eastAsia="Cambria Math"/>
          <w:b w:val="0"/>
          <w:i w:val="0"/>
          <w:sz w:val="26"/>
        </w:rPr>
        <w:t>L^c = ReLU(∑ₖ α_k^c · A^k)        (22)</w:t>
      </w:r>
    </w:p>
    <w:p>
      <w:pPr>
        <w:spacing w:line="312" w:lineRule="auto" w:before="0" w:after="120"/>
        <w:jc w:val="both"/>
      </w:pPr>
      <w:r>
        <w:rPr>
          <w:rFonts w:ascii="Times New Roman" w:hAnsi="Times New Roman" w:eastAsia="Times New Roman"/>
          <w:b w:val="0"/>
          <w:i w:val="0"/>
          <w:sz w:val="26"/>
        </w:rPr>
        <w:t>Bản đồ nhiệt này được phóng về kích thước ảnh ban đầu và chồng lên ảnh X-quang để quan sát vùng mà mô hình tập trung khi dự đoán.</w:t>
      </w:r>
    </w:p>
    <w:p>
      <w:pPr>
        <w:spacing w:line="312" w:lineRule="auto" w:before="160" w:after="120"/>
      </w:pPr>
      <w:r>
        <w:rPr>
          <w:rFonts w:ascii="Times New Roman" w:hAnsi="Times New Roman" w:eastAsia="Times New Roman"/>
          <w:b/>
          <w:i w:val="0"/>
          <w:sz w:val="26"/>
        </w:rPr>
        <w:t>3. Phương pháp thực hiện</w:t>
      </w:r>
    </w:p>
    <w:p>
      <w:pPr>
        <w:spacing w:line="312" w:lineRule="auto" w:before="0" w:after="120"/>
        <w:jc w:val="both"/>
      </w:pPr>
      <w:r>
        <w:rPr>
          <w:rFonts w:ascii="Times New Roman" w:hAnsi="Times New Roman" w:eastAsia="Times New Roman"/>
          <w:b w:val="0"/>
          <w:i w:val="0"/>
          <w:sz w:val="26"/>
        </w:rPr>
        <w:t>Đề tài sử dụng cùng một bộ dữ liệu cho cả hai mô hình. Bộ dữ liệu được chia thành ba tập: tập huấn luyện, tập kiểm định và tập kiểm tra. Ba nhóm ảnh gồm ảnh bình thường, ảnh viêm phổi và ảnh tràn dịch màng phổi. Việc sử dụng cùng dữ liệu và cùng cách chia giúp quá trình so sánh hai mô hình công bằng hơn.</w:t>
      </w:r>
    </w:p>
    <w:tbl>
      <w:tblPr>
        <w:tblStyle w:val="TableGrid"/>
        <w:tblW w:type="auto" w:w="0"/>
        <w:tblLook w:firstColumn="1" w:firstRow="1" w:lastColumn="0" w:lastRow="0" w:noHBand="0" w:noVBand="1" w:val="04A0"/>
      </w:tblPr>
      <w:tblGrid>
        <w:gridCol w:w="4824"/>
        <w:gridCol w:w="4824"/>
      </w:tblGrid>
      <w:tr>
        <w:tc>
          <w:tcPr>
            <w:tcW w:type="dxa" w:w="4824"/>
            <w:shd w:fill="D9EAF7"/>
          </w:tcPr>
          <w:p>
            <w:pPr>
              <w:spacing w:line="312" w:lineRule="auto" w:before="0" w:after="0"/>
              <w:jc w:val="center"/>
            </w:pPr>
            <w:r>
              <w:rPr>
                <w:rFonts w:ascii="Times New Roman" w:hAnsi="Times New Roman" w:eastAsia="Times New Roman"/>
                <w:b/>
                <w:i w:val="0"/>
                <w:sz w:val="24"/>
              </w:rPr>
              <w:t>Tập dữ liệu</w:t>
            </w:r>
          </w:p>
        </w:tc>
        <w:tc>
          <w:tcPr>
            <w:tcW w:type="dxa" w:w="4824"/>
            <w:shd w:fill="D9EAF7"/>
          </w:tcPr>
          <w:p>
            <w:pPr>
              <w:spacing w:line="312" w:lineRule="auto" w:before="0" w:after="0"/>
              <w:jc w:val="center"/>
            </w:pPr>
            <w:r>
              <w:rPr>
                <w:rFonts w:ascii="Times New Roman" w:hAnsi="Times New Roman" w:eastAsia="Times New Roman"/>
                <w:b/>
                <w:i w:val="0"/>
                <w:sz w:val="24"/>
              </w:rPr>
              <w:t>Tệp dữ liệu sử dụng</w:t>
            </w:r>
          </w:p>
        </w:tc>
      </w:tr>
      <w:tr>
        <w:tc>
          <w:tcPr>
            <w:tcW w:type="dxa" w:w="4824"/>
          </w:tcPr>
          <w:p>
            <w:pPr>
              <w:spacing w:line="312" w:lineRule="auto" w:before="0" w:after="0"/>
              <w:jc w:val="left"/>
            </w:pPr>
            <w:r>
              <w:rPr>
                <w:rFonts w:ascii="Times New Roman" w:hAnsi="Times New Roman" w:eastAsia="Times New Roman"/>
                <w:b w:val="0"/>
                <w:i w:val="0"/>
                <w:sz w:val="24"/>
              </w:rPr>
              <w:t>Huấn luyện</w:t>
            </w:r>
          </w:p>
        </w:tc>
        <w:tc>
          <w:tcPr>
            <w:tcW w:type="dxa" w:w="4824"/>
          </w:tcPr>
          <w:p>
            <w:pPr>
              <w:spacing w:line="312" w:lineRule="auto" w:before="0" w:after="0"/>
              <w:jc w:val="center"/>
            </w:pPr>
            <w:r>
              <w:rPr>
                <w:rFonts w:ascii="Times New Roman" w:hAnsi="Times New Roman" w:eastAsia="Times New Roman"/>
                <w:b w:val="0"/>
                <w:i w:val="0"/>
                <w:sz w:val="24"/>
              </w:rPr>
              <w:t>Tệp danh sách ảnh huấn luyện</w:t>
            </w:r>
          </w:p>
        </w:tc>
      </w:tr>
      <w:tr>
        <w:tc>
          <w:tcPr>
            <w:tcW w:type="dxa" w:w="4824"/>
          </w:tcPr>
          <w:p>
            <w:pPr>
              <w:spacing w:line="312" w:lineRule="auto" w:before="0" w:after="0"/>
              <w:jc w:val="left"/>
            </w:pPr>
            <w:r>
              <w:rPr>
                <w:rFonts w:ascii="Times New Roman" w:hAnsi="Times New Roman" w:eastAsia="Times New Roman"/>
                <w:b w:val="0"/>
                <w:i w:val="0"/>
                <w:sz w:val="24"/>
              </w:rPr>
              <w:t>Kiểm định</w:t>
            </w:r>
          </w:p>
        </w:tc>
        <w:tc>
          <w:tcPr>
            <w:tcW w:type="dxa" w:w="4824"/>
          </w:tcPr>
          <w:p>
            <w:pPr>
              <w:spacing w:line="312" w:lineRule="auto" w:before="0" w:after="0"/>
              <w:jc w:val="center"/>
            </w:pPr>
            <w:r>
              <w:rPr>
                <w:rFonts w:ascii="Times New Roman" w:hAnsi="Times New Roman" w:eastAsia="Times New Roman"/>
                <w:b w:val="0"/>
                <w:i w:val="0"/>
                <w:sz w:val="24"/>
              </w:rPr>
              <w:t>Tệp danh sách ảnh kiểm định</w:t>
            </w:r>
          </w:p>
        </w:tc>
      </w:tr>
      <w:tr>
        <w:tc>
          <w:tcPr>
            <w:tcW w:type="dxa" w:w="4824"/>
          </w:tcPr>
          <w:p>
            <w:pPr>
              <w:spacing w:line="312" w:lineRule="auto" w:before="0" w:after="0"/>
              <w:jc w:val="left"/>
            </w:pPr>
            <w:r>
              <w:rPr>
                <w:rFonts w:ascii="Times New Roman" w:hAnsi="Times New Roman" w:eastAsia="Times New Roman"/>
                <w:b w:val="0"/>
                <w:i w:val="0"/>
                <w:sz w:val="24"/>
              </w:rPr>
              <w:t>Kiểm tra</w:t>
            </w:r>
          </w:p>
        </w:tc>
        <w:tc>
          <w:tcPr>
            <w:tcW w:type="dxa" w:w="4824"/>
          </w:tcPr>
          <w:p>
            <w:pPr>
              <w:spacing w:line="312" w:lineRule="auto" w:before="0" w:after="0"/>
              <w:jc w:val="center"/>
            </w:pPr>
            <w:r>
              <w:rPr>
                <w:rFonts w:ascii="Times New Roman" w:hAnsi="Times New Roman" w:eastAsia="Times New Roman"/>
                <w:b w:val="0"/>
                <w:i w:val="0"/>
                <w:sz w:val="24"/>
              </w:rPr>
              <w:t>Tệp danh sách ảnh kiểm tra</w:t>
            </w:r>
          </w:p>
        </w:tc>
      </w:tr>
    </w:tbl>
    <w:p/>
    <w:tbl>
      <w:tblPr>
        <w:tblStyle w:val="TableGrid"/>
        <w:tblW w:type="auto" w:w="0"/>
        <w:tblLook w:firstColumn="1" w:firstRow="1" w:lastColumn="0" w:lastRow="0" w:noHBand="0" w:noVBand="1" w:val="04A0"/>
      </w:tblPr>
      <w:tblGrid>
        <w:gridCol w:w="4824"/>
        <w:gridCol w:w="4824"/>
      </w:tblGrid>
      <w:tr>
        <w:tc>
          <w:tcPr>
            <w:tcW w:type="dxa" w:w="4824"/>
            <w:shd w:fill="D9EAF7"/>
          </w:tcPr>
          <w:p>
            <w:pPr>
              <w:spacing w:line="312" w:lineRule="auto" w:before="0" w:after="0"/>
              <w:jc w:val="center"/>
            </w:pPr>
            <w:r>
              <w:rPr>
                <w:rFonts w:ascii="Times New Roman" w:hAnsi="Times New Roman" w:eastAsia="Times New Roman"/>
                <w:b/>
                <w:i w:val="0"/>
                <w:sz w:val="24"/>
              </w:rPr>
              <w:t>Nhóm ảnh</w:t>
            </w:r>
          </w:p>
        </w:tc>
        <w:tc>
          <w:tcPr>
            <w:tcW w:type="dxa" w:w="4824"/>
            <w:shd w:fill="D9EAF7"/>
          </w:tcPr>
          <w:p>
            <w:pPr>
              <w:spacing w:line="312" w:lineRule="auto" w:before="0" w:after="0"/>
              <w:jc w:val="center"/>
            </w:pPr>
            <w:r>
              <w:rPr>
                <w:rFonts w:ascii="Times New Roman" w:hAnsi="Times New Roman" w:eastAsia="Times New Roman"/>
                <w:b/>
                <w:i w:val="0"/>
                <w:sz w:val="24"/>
              </w:rPr>
              <w:t>Ý nghĩa</w:t>
            </w:r>
          </w:p>
        </w:tc>
      </w:tr>
      <w:tr>
        <w:tc>
          <w:tcPr>
            <w:tcW w:type="dxa" w:w="4824"/>
          </w:tcPr>
          <w:p>
            <w:pPr>
              <w:spacing w:line="312" w:lineRule="auto" w:before="0" w:after="0"/>
              <w:jc w:val="left"/>
            </w:pPr>
            <w:r>
              <w:rPr>
                <w:rFonts w:ascii="Times New Roman" w:hAnsi="Times New Roman" w:eastAsia="Times New Roman"/>
                <w:b w:val="0"/>
                <w:i w:val="0"/>
                <w:sz w:val="24"/>
              </w:rPr>
              <w:t>Bình thường</w:t>
            </w:r>
          </w:p>
        </w:tc>
        <w:tc>
          <w:tcPr>
            <w:tcW w:type="dxa" w:w="4824"/>
          </w:tcPr>
          <w:p>
            <w:pPr>
              <w:spacing w:line="312" w:lineRule="auto" w:before="0" w:after="0"/>
              <w:jc w:val="center"/>
            </w:pPr>
            <w:r>
              <w:rPr>
                <w:rFonts w:ascii="Times New Roman" w:hAnsi="Times New Roman" w:eastAsia="Times New Roman"/>
                <w:b w:val="0"/>
                <w:i w:val="0"/>
                <w:sz w:val="24"/>
              </w:rPr>
              <w:t>Ảnh X-quang không có nhãn viêm phổi hoặc tràn dịch màng phổi</w:t>
            </w:r>
          </w:p>
        </w:tc>
      </w:tr>
      <w:tr>
        <w:tc>
          <w:tcPr>
            <w:tcW w:type="dxa" w:w="4824"/>
          </w:tcPr>
          <w:p>
            <w:pPr>
              <w:spacing w:line="312" w:lineRule="auto" w:before="0" w:after="0"/>
              <w:jc w:val="left"/>
            </w:pPr>
            <w:r>
              <w:rPr>
                <w:rFonts w:ascii="Times New Roman" w:hAnsi="Times New Roman" w:eastAsia="Times New Roman"/>
                <w:b w:val="0"/>
                <w:i w:val="0"/>
                <w:sz w:val="24"/>
              </w:rPr>
              <w:t>Viêm phổi</w:t>
            </w:r>
          </w:p>
        </w:tc>
        <w:tc>
          <w:tcPr>
            <w:tcW w:type="dxa" w:w="4824"/>
          </w:tcPr>
          <w:p>
            <w:pPr>
              <w:spacing w:line="312" w:lineRule="auto" w:before="0" w:after="0"/>
              <w:jc w:val="center"/>
            </w:pPr>
            <w:r>
              <w:rPr>
                <w:rFonts w:ascii="Times New Roman" w:hAnsi="Times New Roman" w:eastAsia="Times New Roman"/>
                <w:b w:val="0"/>
                <w:i w:val="0"/>
                <w:sz w:val="24"/>
              </w:rPr>
              <w:t>Ảnh X-quang có dấu hiệu hoặc nhãn viêm phổi</w:t>
            </w:r>
          </w:p>
        </w:tc>
      </w:tr>
      <w:tr>
        <w:tc>
          <w:tcPr>
            <w:tcW w:type="dxa" w:w="4824"/>
          </w:tcPr>
          <w:p>
            <w:pPr>
              <w:spacing w:line="312" w:lineRule="auto" w:before="0" w:after="0"/>
              <w:jc w:val="left"/>
            </w:pPr>
            <w:r>
              <w:rPr>
                <w:rFonts w:ascii="Times New Roman" w:hAnsi="Times New Roman" w:eastAsia="Times New Roman"/>
                <w:b w:val="0"/>
                <w:i w:val="0"/>
                <w:sz w:val="24"/>
              </w:rPr>
              <w:t>Tràn dịch màng phổi</w:t>
            </w:r>
          </w:p>
        </w:tc>
        <w:tc>
          <w:tcPr>
            <w:tcW w:type="dxa" w:w="4824"/>
          </w:tcPr>
          <w:p>
            <w:pPr>
              <w:spacing w:line="312" w:lineRule="auto" w:before="0" w:after="0"/>
              <w:jc w:val="center"/>
            </w:pPr>
            <w:r>
              <w:rPr>
                <w:rFonts w:ascii="Times New Roman" w:hAnsi="Times New Roman" w:eastAsia="Times New Roman"/>
                <w:b w:val="0"/>
                <w:i w:val="0"/>
                <w:sz w:val="24"/>
              </w:rPr>
              <w:t>Ảnh X-quang có dấu hiệu hoặc nhãn tràn dịch màng phổi</w:t>
            </w:r>
          </w:p>
        </w:tc>
      </w:tr>
    </w:tbl>
    <w:p/>
    <w:p>
      <w:pPr>
        <w:spacing w:line="312" w:lineRule="auto" w:before="0" w:after="120"/>
        <w:jc w:val="both"/>
      </w:pPr>
      <w:r>
        <w:rPr>
          <w:rFonts w:ascii="Times New Roman" w:hAnsi="Times New Roman" w:eastAsia="Times New Roman"/>
          <w:b w:val="0"/>
          <w:i w:val="0"/>
          <w:sz w:val="26"/>
        </w:rPr>
        <w:t>Quy trình tiền xử lý gồm đọc ảnh từ đường dẫn, giải mã ảnh dạng ảnh xám, thay đổi kích thước theo từng mô hình, chuyển ảnh xám sang ảnh ba kênh, tăng cường dữ liệu trong quá trình huấn luyện và chuẩn hóa theo mô hình nền tương ứng. Các phép tăng cường dữ liệu gồm dịch ảnh nhẹ, phóng to hoặc thu nhỏ nhẹ và lật ngang ảnh. Những thao tác này giúp mô hình bền vững hơn trước các biến đổi nhỏ của ảnh chụp.</w:t>
      </w:r>
    </w:p>
    <w:tbl>
      <w:tblPr>
        <w:tblStyle w:val="TableGrid"/>
        <w:tblW w:type="auto" w:w="0"/>
        <w:tblLook w:firstColumn="1" w:firstRow="1" w:lastColumn="0" w:lastRow="0" w:noHBand="0" w:noVBand="1" w:val="04A0"/>
      </w:tblPr>
      <w:tblGrid>
        <w:gridCol w:w="3216"/>
        <w:gridCol w:w="3216"/>
        <w:gridCol w:w="3216"/>
      </w:tblGrid>
      <w:tr>
        <w:tc>
          <w:tcPr>
            <w:tcW w:type="dxa" w:w="3216"/>
            <w:shd w:fill="D9EAF7"/>
          </w:tcPr>
          <w:p>
            <w:pPr>
              <w:spacing w:line="312" w:lineRule="auto" w:before="0" w:after="0"/>
              <w:jc w:val="center"/>
            </w:pPr>
            <w:r>
              <w:rPr>
                <w:rFonts w:ascii="Times New Roman" w:hAnsi="Times New Roman" w:eastAsia="Times New Roman"/>
                <w:b/>
                <w:i w:val="0"/>
                <w:sz w:val="24"/>
              </w:rPr>
              <w:t>Nội dung</w:t>
            </w:r>
          </w:p>
        </w:tc>
        <w:tc>
          <w:tcPr>
            <w:tcW w:type="dxa" w:w="3216"/>
            <w:shd w:fill="D9EAF7"/>
          </w:tcPr>
          <w:p>
            <w:pPr>
              <w:spacing w:line="312" w:lineRule="auto" w:before="0" w:after="0"/>
              <w:jc w:val="center"/>
            </w:pPr>
            <w:r>
              <w:rPr>
                <w:rFonts w:ascii="Times New Roman" w:hAnsi="Times New Roman" w:eastAsia="Times New Roman"/>
                <w:b/>
                <w:i w:val="0"/>
                <w:sz w:val="24"/>
              </w:rPr>
              <w:t>VGG19</w:t>
            </w:r>
          </w:p>
        </w:tc>
        <w:tc>
          <w:tcPr>
            <w:tcW w:type="dxa" w:w="3216"/>
            <w:shd w:fill="D9EAF7"/>
          </w:tcPr>
          <w:p>
            <w:pPr>
              <w:spacing w:line="312" w:lineRule="auto" w:before="0" w:after="0"/>
              <w:jc w:val="center"/>
            </w:pPr>
            <w:r>
              <w:rPr>
                <w:rFonts w:ascii="Times New Roman" w:hAnsi="Times New Roman" w:eastAsia="Times New Roman"/>
                <w:b/>
                <w:i w:val="0"/>
                <w:sz w:val="24"/>
              </w:rPr>
              <w:t>ResNet50-FCSSAM</w:t>
            </w:r>
          </w:p>
        </w:tc>
      </w:tr>
      <w:tr>
        <w:tc>
          <w:tcPr>
            <w:tcW w:type="dxa" w:w="3216"/>
          </w:tcPr>
          <w:p>
            <w:pPr>
              <w:spacing w:line="312" w:lineRule="auto" w:before="0" w:after="0"/>
              <w:jc w:val="left"/>
            </w:pPr>
            <w:r>
              <w:rPr>
                <w:rFonts w:ascii="Times New Roman" w:hAnsi="Times New Roman" w:eastAsia="Times New Roman"/>
                <w:b w:val="0"/>
                <w:i w:val="0"/>
                <w:sz w:val="24"/>
              </w:rPr>
              <w:t>Kích thước ảnh đầu vào</w:t>
            </w:r>
          </w:p>
        </w:tc>
        <w:tc>
          <w:tcPr>
            <w:tcW w:type="dxa" w:w="3216"/>
          </w:tcPr>
          <w:p>
            <w:pPr>
              <w:spacing w:line="312" w:lineRule="auto" w:before="0" w:after="0"/>
              <w:jc w:val="center"/>
            </w:pPr>
            <w:r>
              <w:rPr>
                <w:rFonts w:ascii="Times New Roman" w:hAnsi="Times New Roman" w:eastAsia="Times New Roman"/>
                <w:b w:val="0"/>
                <w:i w:val="0"/>
                <w:sz w:val="24"/>
              </w:rPr>
              <w:t>224 × 224 × 3</w:t>
            </w:r>
          </w:p>
        </w:tc>
        <w:tc>
          <w:tcPr>
            <w:tcW w:type="dxa" w:w="3216"/>
          </w:tcPr>
          <w:p>
            <w:pPr>
              <w:spacing w:line="312" w:lineRule="auto" w:before="0" w:after="0"/>
              <w:jc w:val="center"/>
            </w:pPr>
            <w:r>
              <w:rPr>
                <w:rFonts w:ascii="Times New Roman" w:hAnsi="Times New Roman" w:eastAsia="Times New Roman"/>
                <w:b w:val="0"/>
                <w:i w:val="0"/>
                <w:sz w:val="24"/>
              </w:rPr>
              <w:t>256 × 256 × 3</w:t>
            </w:r>
          </w:p>
        </w:tc>
      </w:tr>
      <w:tr>
        <w:tc>
          <w:tcPr>
            <w:tcW w:type="dxa" w:w="3216"/>
          </w:tcPr>
          <w:p>
            <w:pPr>
              <w:spacing w:line="312" w:lineRule="auto" w:before="0" w:after="0"/>
              <w:jc w:val="left"/>
            </w:pPr>
            <w:r>
              <w:rPr>
                <w:rFonts w:ascii="Times New Roman" w:hAnsi="Times New Roman" w:eastAsia="Times New Roman"/>
                <w:b w:val="0"/>
                <w:i w:val="0"/>
                <w:sz w:val="24"/>
              </w:rPr>
              <w:t>Mô hình nền</w:t>
            </w:r>
          </w:p>
        </w:tc>
        <w:tc>
          <w:tcPr>
            <w:tcW w:type="dxa" w:w="3216"/>
          </w:tcPr>
          <w:p>
            <w:pPr>
              <w:spacing w:line="312" w:lineRule="auto" w:before="0" w:after="0"/>
              <w:jc w:val="center"/>
            </w:pPr>
            <w:r>
              <w:rPr>
                <w:rFonts w:ascii="Times New Roman" w:hAnsi="Times New Roman" w:eastAsia="Times New Roman"/>
                <w:b w:val="0"/>
                <w:i w:val="0"/>
                <w:sz w:val="24"/>
              </w:rPr>
              <w:t>VGG19 đã huấn luyện trước</w:t>
            </w:r>
          </w:p>
        </w:tc>
        <w:tc>
          <w:tcPr>
            <w:tcW w:type="dxa" w:w="3216"/>
          </w:tcPr>
          <w:p>
            <w:pPr>
              <w:spacing w:line="312" w:lineRule="auto" w:before="0" w:after="0"/>
              <w:jc w:val="center"/>
            </w:pPr>
            <w:r>
              <w:rPr>
                <w:rFonts w:ascii="Times New Roman" w:hAnsi="Times New Roman" w:eastAsia="Times New Roman"/>
                <w:b w:val="0"/>
                <w:i w:val="0"/>
                <w:sz w:val="24"/>
              </w:rPr>
              <w:t>ResNet50 đã huấn luyện trước</w:t>
            </w:r>
          </w:p>
        </w:tc>
      </w:tr>
      <w:tr>
        <w:tc>
          <w:tcPr>
            <w:tcW w:type="dxa" w:w="3216"/>
          </w:tcPr>
          <w:p>
            <w:pPr>
              <w:spacing w:line="312" w:lineRule="auto" w:before="0" w:after="0"/>
              <w:jc w:val="left"/>
            </w:pPr>
            <w:r>
              <w:rPr>
                <w:rFonts w:ascii="Times New Roman" w:hAnsi="Times New Roman" w:eastAsia="Times New Roman"/>
                <w:b w:val="0"/>
                <w:i w:val="0"/>
                <w:sz w:val="24"/>
              </w:rPr>
              <w:t>Cơ chế chú ý</w:t>
            </w:r>
          </w:p>
        </w:tc>
        <w:tc>
          <w:tcPr>
            <w:tcW w:type="dxa" w:w="3216"/>
          </w:tcPr>
          <w:p>
            <w:pPr>
              <w:spacing w:line="312" w:lineRule="auto" w:before="0" w:after="0"/>
              <w:jc w:val="center"/>
            </w:pPr>
            <w:r>
              <w:rPr>
                <w:rFonts w:ascii="Times New Roman" w:hAnsi="Times New Roman" w:eastAsia="Times New Roman"/>
                <w:b w:val="0"/>
                <w:i w:val="0"/>
                <w:sz w:val="24"/>
              </w:rPr>
              <w:t>Không sử dụng</w:t>
            </w:r>
          </w:p>
        </w:tc>
        <w:tc>
          <w:tcPr>
            <w:tcW w:type="dxa" w:w="3216"/>
          </w:tcPr>
          <w:p>
            <w:pPr>
              <w:spacing w:line="312" w:lineRule="auto" w:before="0" w:after="0"/>
              <w:jc w:val="center"/>
            </w:pPr>
            <w:r>
              <w:rPr>
                <w:rFonts w:ascii="Times New Roman" w:hAnsi="Times New Roman" w:eastAsia="Times New Roman"/>
                <w:b w:val="0"/>
                <w:i w:val="0"/>
                <w:sz w:val="24"/>
              </w:rPr>
              <w:t>Có sử dụng FCSSAM</w:t>
            </w:r>
          </w:p>
        </w:tc>
      </w:tr>
      <w:tr>
        <w:tc>
          <w:tcPr>
            <w:tcW w:type="dxa" w:w="3216"/>
          </w:tcPr>
          <w:p>
            <w:pPr>
              <w:spacing w:line="312" w:lineRule="auto" w:before="0" w:after="0"/>
              <w:jc w:val="left"/>
            </w:pPr>
            <w:r>
              <w:rPr>
                <w:rFonts w:ascii="Times New Roman" w:hAnsi="Times New Roman" w:eastAsia="Times New Roman"/>
                <w:b w:val="0"/>
                <w:i w:val="0"/>
                <w:sz w:val="24"/>
              </w:rPr>
              <w:t>Tỉ lệ giữ kênh quan trọng</w:t>
            </w:r>
          </w:p>
        </w:tc>
        <w:tc>
          <w:tcPr>
            <w:tcW w:type="dxa" w:w="3216"/>
          </w:tcPr>
          <w:p>
            <w:pPr>
              <w:spacing w:line="312" w:lineRule="auto" w:before="0" w:after="0"/>
              <w:jc w:val="center"/>
            </w:pPr>
            <w:r>
              <w:rPr>
                <w:rFonts w:ascii="Times New Roman" w:hAnsi="Times New Roman" w:eastAsia="Times New Roman"/>
                <w:b w:val="0"/>
                <w:i w:val="0"/>
                <w:sz w:val="24"/>
              </w:rPr>
              <w:t>Không áp dụng</w:t>
            </w:r>
          </w:p>
        </w:tc>
        <w:tc>
          <w:tcPr>
            <w:tcW w:type="dxa" w:w="3216"/>
          </w:tcPr>
          <w:p>
            <w:pPr>
              <w:spacing w:line="312" w:lineRule="auto" w:before="0" w:after="0"/>
              <w:jc w:val="center"/>
            </w:pPr>
            <w:r>
              <w:rPr>
                <w:rFonts w:ascii="Times New Roman" w:hAnsi="Times New Roman" w:eastAsia="Times New Roman"/>
                <w:b w:val="0"/>
                <w:i w:val="0"/>
                <w:sz w:val="24"/>
              </w:rPr>
              <w:t>80%</w:t>
            </w:r>
          </w:p>
        </w:tc>
      </w:tr>
      <w:tr>
        <w:tc>
          <w:tcPr>
            <w:tcW w:type="dxa" w:w="3216"/>
          </w:tcPr>
          <w:p>
            <w:pPr>
              <w:spacing w:line="312" w:lineRule="auto" w:before="0" w:after="0"/>
              <w:jc w:val="left"/>
            </w:pPr>
            <w:r>
              <w:rPr>
                <w:rFonts w:ascii="Times New Roman" w:hAnsi="Times New Roman" w:eastAsia="Times New Roman"/>
                <w:b w:val="0"/>
                <w:i w:val="0"/>
                <w:sz w:val="24"/>
              </w:rPr>
              <w:t>Số lớp đầu ra</w:t>
            </w:r>
          </w:p>
        </w:tc>
        <w:tc>
          <w:tcPr>
            <w:tcW w:type="dxa" w:w="3216"/>
          </w:tcPr>
          <w:p>
            <w:pPr>
              <w:spacing w:line="312" w:lineRule="auto" w:before="0" w:after="0"/>
              <w:jc w:val="center"/>
            </w:pPr>
            <w:r>
              <w:rPr>
                <w:rFonts w:ascii="Times New Roman" w:hAnsi="Times New Roman" w:eastAsia="Times New Roman"/>
                <w:b w:val="0"/>
                <w:i w:val="0"/>
                <w:sz w:val="24"/>
              </w:rPr>
              <w:t>3 nhóm bệnh lý</w:t>
            </w:r>
          </w:p>
        </w:tc>
        <w:tc>
          <w:tcPr>
            <w:tcW w:type="dxa" w:w="3216"/>
          </w:tcPr>
          <w:p>
            <w:pPr>
              <w:spacing w:line="312" w:lineRule="auto" w:before="0" w:after="0"/>
              <w:jc w:val="center"/>
            </w:pPr>
            <w:r>
              <w:rPr>
                <w:rFonts w:ascii="Times New Roman" w:hAnsi="Times New Roman" w:eastAsia="Times New Roman"/>
                <w:b w:val="0"/>
                <w:i w:val="0"/>
                <w:sz w:val="24"/>
              </w:rPr>
              <w:t>3 nhóm bệnh lý</w:t>
            </w:r>
          </w:p>
        </w:tc>
      </w:tr>
    </w:tbl>
    <w:p/>
    <w:p>
      <w:pPr>
        <w:spacing w:line="312" w:lineRule="auto" w:before="0" w:after="120"/>
        <w:jc w:val="center"/>
      </w:pPr>
      <w:r>
        <w:rPr>
          <w:rFonts w:ascii="Times New Roman" w:hAnsi="Times New Roman" w:eastAsia="Times New Roman"/>
          <w:b/>
          <w:i/>
          <w:sz w:val="26"/>
        </w:rPr>
        <w:t>[CHÈN HÌNH 7: Quy trình tiền xử lý dữ liệu]</w:t>
      </w:r>
    </w:p>
    <w:p>
      <w:pPr>
        <w:spacing w:line="312" w:lineRule="auto" w:before="0" w:after="120"/>
        <w:jc w:val="both"/>
      </w:pPr>
      <w:r>
        <w:rPr>
          <w:rFonts w:ascii="Times New Roman" w:hAnsi="Times New Roman" w:eastAsia="Times New Roman"/>
          <w:b w:val="0"/>
          <w:i w:val="0"/>
          <w:sz w:val="26"/>
        </w:rPr>
        <w:t>Mô hình VGG19 trong đề tài có cấu trúc gồm ảnh đầu vào, phần trích xuất đặc trưng VGG19, lớp gộp trung bình toàn cục, lớp loại bỏ ngẫu nhiên để giảm quá khớp, lớp kết nối đầy đủ 256 nơ-ron và lớp phân loại ba nhóm. Mô hình này có ưu điểm là đơn giản, dễ triển khai và tận dụng tốt đặc trưng ảnh từ mô hình đã huấn luyện trước.</w:t>
      </w:r>
    </w:p>
    <w:p>
      <w:pPr>
        <w:spacing w:line="312" w:lineRule="auto" w:before="0" w:after="120"/>
        <w:jc w:val="center"/>
      </w:pPr>
      <w:r>
        <w:rPr>
          <w:rFonts w:ascii="Times New Roman" w:hAnsi="Times New Roman" w:eastAsia="Times New Roman"/>
          <w:b/>
          <w:i/>
          <w:sz w:val="26"/>
        </w:rPr>
        <w:t>[CHÈN HÌNH 8: Kiến trúc mô hình VGG19 trong đề tài]</w:t>
      </w:r>
    </w:p>
    <w:p>
      <w:pPr>
        <w:spacing w:line="312" w:lineRule="auto" w:before="0" w:after="120"/>
        <w:jc w:val="both"/>
      </w:pPr>
      <w:r>
        <w:rPr>
          <w:rFonts w:ascii="Times New Roman" w:hAnsi="Times New Roman" w:eastAsia="Times New Roman"/>
          <w:b w:val="0"/>
          <w:i w:val="0"/>
          <w:sz w:val="26"/>
        </w:rPr>
        <w:t>Mô hình ResNet50-FCSSAM sử dụng ResNet50 để trích xuất đặc trưng, sau đó đưa đặc trưng qua mô-đun chú ý theo kênh, chú ý theo không gian và chọn lọc kênh mờ. Cuối cùng, đặc trưng được gộp trung bình toàn cục và đưa vào lớp phân loại ba nhóm. Cơ chế chú ý giúp mô hình tập trung hơn vào các vùng ảnh có ý nghĩa đối với bệnh lý.</w:t>
      </w:r>
    </w:p>
    <w:p>
      <w:pPr>
        <w:spacing w:line="312" w:lineRule="auto" w:before="0" w:after="120"/>
        <w:jc w:val="center"/>
      </w:pPr>
      <w:r>
        <w:rPr>
          <w:rFonts w:ascii="Times New Roman" w:hAnsi="Times New Roman" w:eastAsia="Times New Roman"/>
          <w:b/>
          <w:i/>
          <w:sz w:val="26"/>
        </w:rPr>
        <w:t>[CHÈN HÌNH 9: Kiến trúc mô hình ResNet50-FCSSAM trong đề tài]</w:t>
      </w:r>
    </w:p>
    <w:p>
      <w:pPr>
        <w:spacing w:line="312" w:lineRule="auto" w:before="0" w:after="120"/>
        <w:jc w:val="both"/>
      </w:pPr>
      <w:r>
        <w:rPr>
          <w:rFonts w:ascii="Times New Roman" w:hAnsi="Times New Roman" w:eastAsia="Times New Roman"/>
          <w:b w:val="0"/>
          <w:i w:val="0"/>
          <w:sz w:val="26"/>
        </w:rPr>
        <w:t>Do số lượng ảnh giữa các nhóm không hoàn toàn cân bằng, hàm mất mát có trọng số được sử dụng. Nếu ảnh thuộc nhóm t, hàm mất mát được tính như sau:</w:t>
      </w:r>
    </w:p>
    <w:p>
      <w:pPr>
        <w:spacing w:line="312" w:lineRule="auto" w:before="0" w:after="160"/>
        <w:jc w:val="center"/>
      </w:pPr>
      <w:r>
        <w:rPr>
          <w:rFonts w:ascii="Cambria Math" w:hAnsi="Cambria Math" w:eastAsia="Cambria Math"/>
          <w:b w:val="0"/>
          <w:i w:val="0"/>
          <w:sz w:val="26"/>
        </w:rPr>
        <w:t>L_w = − w_t · log(p_t)        (23)</w:t>
      </w:r>
    </w:p>
    <w:p>
      <w:pPr>
        <w:spacing w:line="312" w:lineRule="auto" w:before="0" w:after="120"/>
        <w:jc w:val="both"/>
      </w:pPr>
      <w:r>
        <w:rPr>
          <w:rFonts w:ascii="Times New Roman" w:hAnsi="Times New Roman" w:eastAsia="Times New Roman"/>
          <w:b w:val="0"/>
          <w:i w:val="0"/>
          <w:sz w:val="26"/>
        </w:rPr>
        <w:t>Trong đó w_t là trọng số của nhóm ảnh t và p_t là xác suất mô hình dự đoán cho nhóm đúng. Nhóm tràn dịch màng phổi được tăng trọng số nhằm giúp mô hình chú ý hơn đến nhóm bệnh này.</w:t>
      </w:r>
    </w:p>
    <w:p>
      <w:pPr>
        <w:spacing w:line="312" w:lineRule="auto" w:before="0" w:after="120"/>
        <w:jc w:val="both"/>
      </w:pPr>
      <w:r>
        <w:rPr>
          <w:rFonts w:ascii="Times New Roman" w:hAnsi="Times New Roman" w:eastAsia="Times New Roman"/>
          <w:b w:val="0"/>
          <w:i w:val="0"/>
          <w:sz w:val="26"/>
        </w:rPr>
        <w:t>Quá trình tối ưu sử dụng thuật toán Adam. Công thức cập nhật tổng quát của tham số mô hình là:</w:t>
      </w:r>
    </w:p>
    <w:p>
      <w:pPr>
        <w:spacing w:line="312" w:lineRule="auto" w:before="0" w:after="160"/>
        <w:jc w:val="center"/>
      </w:pPr>
      <w:r>
        <w:rPr>
          <w:rFonts w:ascii="Cambria Math" w:hAnsi="Cambria Math" w:eastAsia="Cambria Math"/>
          <w:b w:val="0"/>
          <w:i w:val="0"/>
          <w:sz w:val="26"/>
        </w:rPr>
        <w:t>θ_(t+1) = θ_t − η · ∇L(θ_t)        (24)</w:t>
      </w:r>
    </w:p>
    <w:p>
      <w:pPr>
        <w:spacing w:line="312" w:lineRule="auto" w:before="0" w:after="120"/>
        <w:jc w:val="both"/>
      </w:pPr>
      <w:r>
        <w:rPr>
          <w:rFonts w:ascii="Times New Roman" w:hAnsi="Times New Roman" w:eastAsia="Times New Roman"/>
          <w:b w:val="0"/>
          <w:i w:val="0"/>
          <w:sz w:val="26"/>
        </w:rPr>
        <w:t>Trong đó θ là tham số mô hình, η là tốc độ học và ∇L là gradient của hàm mất mát. Adam sử dụng trung bình động của gradient và bình phương gradient để cập nhật tham số ổn định hơn:</w:t>
      </w:r>
    </w:p>
    <w:p>
      <w:pPr>
        <w:spacing w:line="312" w:lineRule="auto" w:before="0" w:after="160"/>
        <w:jc w:val="center"/>
      </w:pPr>
      <w:r>
        <w:rPr>
          <w:rFonts w:ascii="Cambria Math" w:hAnsi="Cambria Math" w:eastAsia="Cambria Math"/>
          <w:b w:val="0"/>
          <w:i w:val="0"/>
          <w:sz w:val="26"/>
        </w:rPr>
        <w:t>m_t = β₁m_(t−1) + (1−β₁)g_t        (25)</w:t>
      </w:r>
    </w:p>
    <w:p>
      <w:pPr>
        <w:spacing w:line="312" w:lineRule="auto" w:before="0" w:after="160"/>
        <w:jc w:val="center"/>
      </w:pPr>
      <w:r>
        <w:rPr>
          <w:rFonts w:ascii="Cambria Math" w:hAnsi="Cambria Math" w:eastAsia="Cambria Math"/>
          <w:b w:val="0"/>
          <w:i w:val="0"/>
          <w:sz w:val="26"/>
        </w:rPr>
        <w:t>v_t = β₂v_(t−1) + (1−β₂)g_t²        (26)</w:t>
      </w:r>
    </w:p>
    <w:p>
      <w:pPr>
        <w:spacing w:line="312" w:lineRule="auto" w:before="0" w:after="160"/>
        <w:jc w:val="center"/>
      </w:pPr>
      <w:r>
        <w:rPr>
          <w:rFonts w:ascii="Cambria Math" w:hAnsi="Cambria Math" w:eastAsia="Cambria Math"/>
          <w:b w:val="0"/>
          <w:i w:val="0"/>
          <w:sz w:val="26"/>
        </w:rPr>
        <w:t>θ_t = θ_(t−1) − η · m̂_t/(√v̂_t + ε)        (27)</w:t>
      </w:r>
    </w:p>
    <w:tbl>
      <w:tblPr>
        <w:tblStyle w:val="TableGrid"/>
        <w:tblW w:type="auto" w:w="0"/>
        <w:tblLook w:firstColumn="1" w:firstRow="1" w:lastColumn="0" w:lastRow="0" w:noHBand="0" w:noVBand="1" w:val="04A0"/>
      </w:tblPr>
      <w:tblGrid>
        <w:gridCol w:w="3216"/>
        <w:gridCol w:w="3216"/>
        <w:gridCol w:w="3216"/>
      </w:tblGrid>
      <w:tr>
        <w:tc>
          <w:tcPr>
            <w:tcW w:type="dxa" w:w="3216"/>
            <w:shd w:fill="D9EAF7"/>
          </w:tcPr>
          <w:p>
            <w:pPr>
              <w:spacing w:line="312" w:lineRule="auto" w:before="0" w:after="0"/>
              <w:jc w:val="center"/>
            </w:pPr>
            <w:r>
              <w:rPr>
                <w:rFonts w:ascii="Times New Roman" w:hAnsi="Times New Roman" w:eastAsia="Times New Roman"/>
                <w:b/>
                <w:i w:val="0"/>
                <w:sz w:val="24"/>
              </w:rPr>
              <w:t>Tham số huấn luyện</w:t>
            </w:r>
          </w:p>
        </w:tc>
        <w:tc>
          <w:tcPr>
            <w:tcW w:type="dxa" w:w="3216"/>
            <w:shd w:fill="D9EAF7"/>
          </w:tcPr>
          <w:p>
            <w:pPr>
              <w:spacing w:line="312" w:lineRule="auto" w:before="0" w:after="0"/>
              <w:jc w:val="center"/>
            </w:pPr>
            <w:r>
              <w:rPr>
                <w:rFonts w:ascii="Times New Roman" w:hAnsi="Times New Roman" w:eastAsia="Times New Roman"/>
                <w:b/>
                <w:i w:val="0"/>
                <w:sz w:val="24"/>
              </w:rPr>
              <w:t>VGG19</w:t>
            </w:r>
          </w:p>
        </w:tc>
        <w:tc>
          <w:tcPr>
            <w:tcW w:type="dxa" w:w="3216"/>
            <w:shd w:fill="D9EAF7"/>
          </w:tcPr>
          <w:p>
            <w:pPr>
              <w:spacing w:line="312" w:lineRule="auto" w:before="0" w:after="0"/>
              <w:jc w:val="center"/>
            </w:pPr>
            <w:r>
              <w:rPr>
                <w:rFonts w:ascii="Times New Roman" w:hAnsi="Times New Roman" w:eastAsia="Times New Roman"/>
                <w:b/>
                <w:i w:val="0"/>
                <w:sz w:val="24"/>
              </w:rPr>
              <w:t>ResNet50-FCSSAM</w:t>
            </w:r>
          </w:p>
        </w:tc>
      </w:tr>
      <w:tr>
        <w:tc>
          <w:tcPr>
            <w:tcW w:type="dxa" w:w="3216"/>
          </w:tcPr>
          <w:p>
            <w:pPr>
              <w:spacing w:line="312" w:lineRule="auto" w:before="0" w:after="0"/>
              <w:jc w:val="left"/>
            </w:pPr>
            <w:r>
              <w:rPr>
                <w:rFonts w:ascii="Times New Roman" w:hAnsi="Times New Roman" w:eastAsia="Times New Roman"/>
                <w:b w:val="0"/>
                <w:i w:val="0"/>
                <w:sz w:val="24"/>
              </w:rPr>
              <w:t>Kích thước ảnh</w:t>
            </w:r>
          </w:p>
        </w:tc>
        <w:tc>
          <w:tcPr>
            <w:tcW w:type="dxa" w:w="3216"/>
          </w:tcPr>
          <w:p>
            <w:pPr>
              <w:spacing w:line="312" w:lineRule="auto" w:before="0" w:after="0"/>
              <w:jc w:val="center"/>
            </w:pPr>
            <w:r>
              <w:rPr>
                <w:rFonts w:ascii="Times New Roman" w:hAnsi="Times New Roman" w:eastAsia="Times New Roman"/>
                <w:b w:val="0"/>
                <w:i w:val="0"/>
                <w:sz w:val="24"/>
              </w:rPr>
              <w:t>224</w:t>
            </w:r>
          </w:p>
        </w:tc>
        <w:tc>
          <w:tcPr>
            <w:tcW w:type="dxa" w:w="3216"/>
          </w:tcPr>
          <w:p>
            <w:pPr>
              <w:spacing w:line="312" w:lineRule="auto" w:before="0" w:after="0"/>
              <w:jc w:val="center"/>
            </w:pPr>
            <w:r>
              <w:rPr>
                <w:rFonts w:ascii="Times New Roman" w:hAnsi="Times New Roman" w:eastAsia="Times New Roman"/>
                <w:b w:val="0"/>
                <w:i w:val="0"/>
                <w:sz w:val="24"/>
              </w:rPr>
              <w:t>256</w:t>
            </w:r>
          </w:p>
        </w:tc>
      </w:tr>
      <w:tr>
        <w:tc>
          <w:tcPr>
            <w:tcW w:type="dxa" w:w="3216"/>
          </w:tcPr>
          <w:p>
            <w:pPr>
              <w:spacing w:line="312" w:lineRule="auto" w:before="0" w:after="0"/>
              <w:jc w:val="left"/>
            </w:pPr>
            <w:r>
              <w:rPr>
                <w:rFonts w:ascii="Times New Roman" w:hAnsi="Times New Roman" w:eastAsia="Times New Roman"/>
                <w:b w:val="0"/>
                <w:i w:val="0"/>
                <w:sz w:val="24"/>
              </w:rPr>
              <w:t>Kích thước lô</w:t>
            </w:r>
          </w:p>
        </w:tc>
        <w:tc>
          <w:tcPr>
            <w:tcW w:type="dxa" w:w="3216"/>
          </w:tcPr>
          <w:p>
            <w:pPr>
              <w:spacing w:line="312" w:lineRule="auto" w:before="0" w:after="0"/>
              <w:jc w:val="center"/>
            </w:pPr>
            <w:r>
              <w:rPr>
                <w:rFonts w:ascii="Times New Roman" w:hAnsi="Times New Roman" w:eastAsia="Times New Roman"/>
                <w:b w:val="0"/>
                <w:i w:val="0"/>
                <w:sz w:val="24"/>
              </w:rPr>
              <w:t>16</w:t>
            </w:r>
          </w:p>
        </w:tc>
        <w:tc>
          <w:tcPr>
            <w:tcW w:type="dxa" w:w="3216"/>
          </w:tcPr>
          <w:p>
            <w:pPr>
              <w:spacing w:line="312" w:lineRule="auto" w:before="0" w:after="0"/>
              <w:jc w:val="center"/>
            </w:pPr>
            <w:r>
              <w:rPr>
                <w:rFonts w:ascii="Times New Roman" w:hAnsi="Times New Roman" w:eastAsia="Times New Roman"/>
                <w:b w:val="0"/>
                <w:i w:val="0"/>
                <w:sz w:val="24"/>
              </w:rPr>
              <w:t>16</w:t>
            </w:r>
          </w:p>
        </w:tc>
      </w:tr>
      <w:tr>
        <w:tc>
          <w:tcPr>
            <w:tcW w:type="dxa" w:w="3216"/>
          </w:tcPr>
          <w:p>
            <w:pPr>
              <w:spacing w:line="312" w:lineRule="auto" w:before="0" w:after="0"/>
              <w:jc w:val="left"/>
            </w:pPr>
            <w:r>
              <w:rPr>
                <w:rFonts w:ascii="Times New Roman" w:hAnsi="Times New Roman" w:eastAsia="Times New Roman"/>
                <w:b w:val="0"/>
                <w:i w:val="0"/>
                <w:sz w:val="24"/>
              </w:rPr>
              <w:t>Số vòng huấn luyện tối đa</w:t>
            </w:r>
          </w:p>
        </w:tc>
        <w:tc>
          <w:tcPr>
            <w:tcW w:type="dxa" w:w="3216"/>
          </w:tcPr>
          <w:p>
            <w:pPr>
              <w:spacing w:line="312" w:lineRule="auto" w:before="0" w:after="0"/>
              <w:jc w:val="center"/>
            </w:pPr>
            <w:r>
              <w:rPr>
                <w:rFonts w:ascii="Times New Roman" w:hAnsi="Times New Roman" w:eastAsia="Times New Roman"/>
                <w:b w:val="0"/>
                <w:i w:val="0"/>
                <w:sz w:val="24"/>
              </w:rPr>
              <w:t>15</w:t>
            </w:r>
          </w:p>
        </w:tc>
        <w:tc>
          <w:tcPr>
            <w:tcW w:type="dxa" w:w="3216"/>
          </w:tcPr>
          <w:p>
            <w:pPr>
              <w:spacing w:line="312" w:lineRule="auto" w:before="0" w:after="0"/>
              <w:jc w:val="center"/>
            </w:pPr>
            <w:r>
              <w:rPr>
                <w:rFonts w:ascii="Times New Roman" w:hAnsi="Times New Roman" w:eastAsia="Times New Roman"/>
                <w:b w:val="0"/>
                <w:i w:val="0"/>
                <w:sz w:val="24"/>
              </w:rPr>
              <w:t>20</w:t>
            </w:r>
          </w:p>
        </w:tc>
      </w:tr>
      <w:tr>
        <w:tc>
          <w:tcPr>
            <w:tcW w:type="dxa" w:w="3216"/>
          </w:tcPr>
          <w:p>
            <w:pPr>
              <w:spacing w:line="312" w:lineRule="auto" w:before="0" w:after="0"/>
              <w:jc w:val="left"/>
            </w:pPr>
            <w:r>
              <w:rPr>
                <w:rFonts w:ascii="Times New Roman" w:hAnsi="Times New Roman" w:eastAsia="Times New Roman"/>
                <w:b w:val="0"/>
                <w:i w:val="0"/>
                <w:sz w:val="24"/>
              </w:rPr>
              <w:t>Tốc độ học</w:t>
            </w:r>
          </w:p>
        </w:tc>
        <w:tc>
          <w:tcPr>
            <w:tcW w:type="dxa" w:w="3216"/>
          </w:tcPr>
          <w:p>
            <w:pPr>
              <w:spacing w:line="312" w:lineRule="auto" w:before="0" w:after="0"/>
              <w:jc w:val="center"/>
            </w:pPr>
            <w:r>
              <w:rPr>
                <w:rFonts w:ascii="Times New Roman" w:hAnsi="Times New Roman" w:eastAsia="Times New Roman"/>
                <w:b w:val="0"/>
                <w:i w:val="0"/>
                <w:sz w:val="24"/>
              </w:rPr>
              <w:t>0,0001</w:t>
            </w:r>
          </w:p>
        </w:tc>
        <w:tc>
          <w:tcPr>
            <w:tcW w:type="dxa" w:w="3216"/>
          </w:tcPr>
          <w:p>
            <w:pPr>
              <w:spacing w:line="312" w:lineRule="auto" w:before="0" w:after="0"/>
              <w:jc w:val="center"/>
            </w:pPr>
            <w:r>
              <w:rPr>
                <w:rFonts w:ascii="Times New Roman" w:hAnsi="Times New Roman" w:eastAsia="Times New Roman"/>
                <w:b w:val="0"/>
                <w:i w:val="0"/>
                <w:sz w:val="24"/>
              </w:rPr>
              <w:t>0,00005</w:t>
            </w:r>
          </w:p>
        </w:tc>
      </w:tr>
      <w:tr>
        <w:tc>
          <w:tcPr>
            <w:tcW w:type="dxa" w:w="3216"/>
          </w:tcPr>
          <w:p>
            <w:pPr>
              <w:spacing w:line="312" w:lineRule="auto" w:before="0" w:after="0"/>
              <w:jc w:val="left"/>
            </w:pPr>
            <w:r>
              <w:rPr>
                <w:rFonts w:ascii="Times New Roman" w:hAnsi="Times New Roman" w:eastAsia="Times New Roman"/>
                <w:b w:val="0"/>
                <w:i w:val="0"/>
                <w:sz w:val="24"/>
              </w:rPr>
              <w:t>Dừng sớm</w:t>
            </w:r>
          </w:p>
        </w:tc>
        <w:tc>
          <w:tcPr>
            <w:tcW w:type="dxa" w:w="3216"/>
          </w:tcPr>
          <w:p>
            <w:pPr>
              <w:spacing w:line="312" w:lineRule="auto" w:before="0" w:after="0"/>
              <w:jc w:val="center"/>
            </w:pPr>
            <w:r>
              <w:rPr>
                <w:rFonts w:ascii="Times New Roman" w:hAnsi="Times New Roman" w:eastAsia="Times New Roman"/>
                <w:b w:val="0"/>
                <w:i w:val="0"/>
                <w:sz w:val="24"/>
              </w:rPr>
              <w:t>Sau 4 vòng không cải thiện</w:t>
            </w:r>
          </w:p>
        </w:tc>
        <w:tc>
          <w:tcPr>
            <w:tcW w:type="dxa" w:w="3216"/>
          </w:tcPr>
          <w:p>
            <w:pPr>
              <w:spacing w:line="312" w:lineRule="auto" w:before="0" w:after="0"/>
              <w:jc w:val="center"/>
            </w:pPr>
            <w:r>
              <w:rPr>
                <w:rFonts w:ascii="Times New Roman" w:hAnsi="Times New Roman" w:eastAsia="Times New Roman"/>
                <w:b w:val="0"/>
                <w:i w:val="0"/>
                <w:sz w:val="24"/>
              </w:rPr>
              <w:t>Sau 5 vòng không cải thiện</w:t>
            </w:r>
          </w:p>
        </w:tc>
      </w:tr>
      <w:tr>
        <w:tc>
          <w:tcPr>
            <w:tcW w:type="dxa" w:w="3216"/>
          </w:tcPr>
          <w:p>
            <w:pPr>
              <w:spacing w:line="312" w:lineRule="auto" w:before="0" w:after="0"/>
              <w:jc w:val="left"/>
            </w:pPr>
            <w:r>
              <w:rPr>
                <w:rFonts w:ascii="Times New Roman" w:hAnsi="Times New Roman" w:eastAsia="Times New Roman"/>
                <w:b w:val="0"/>
                <w:i w:val="0"/>
                <w:sz w:val="24"/>
              </w:rPr>
              <w:t>Tăng trọng số nhóm tràn dịch</w:t>
            </w:r>
          </w:p>
        </w:tc>
        <w:tc>
          <w:tcPr>
            <w:tcW w:type="dxa" w:w="3216"/>
          </w:tcPr>
          <w:p>
            <w:pPr>
              <w:spacing w:line="312" w:lineRule="auto" w:before="0" w:after="0"/>
              <w:jc w:val="center"/>
            </w:pPr>
            <w:r>
              <w:rPr>
                <w:rFonts w:ascii="Times New Roman" w:hAnsi="Times New Roman" w:eastAsia="Times New Roman"/>
                <w:b w:val="0"/>
                <w:i w:val="0"/>
                <w:sz w:val="24"/>
              </w:rPr>
              <w:t>1,15</w:t>
            </w:r>
          </w:p>
        </w:tc>
        <w:tc>
          <w:tcPr>
            <w:tcW w:type="dxa" w:w="3216"/>
          </w:tcPr>
          <w:p>
            <w:pPr>
              <w:spacing w:line="312" w:lineRule="auto" w:before="0" w:after="0"/>
              <w:jc w:val="center"/>
            </w:pPr>
            <w:r>
              <w:rPr>
                <w:rFonts w:ascii="Times New Roman" w:hAnsi="Times New Roman" w:eastAsia="Times New Roman"/>
                <w:b w:val="0"/>
                <w:i w:val="0"/>
                <w:sz w:val="24"/>
              </w:rPr>
              <w:t>1,15</w:t>
            </w:r>
          </w:p>
        </w:tc>
      </w:tr>
    </w:tbl>
    <w:p/>
    <w:p>
      <w:pPr>
        <w:spacing w:line="312" w:lineRule="auto" w:before="160" w:after="120"/>
      </w:pPr>
      <w:r>
        <w:rPr>
          <w:rFonts w:ascii="Times New Roman" w:hAnsi="Times New Roman" w:eastAsia="Times New Roman"/>
          <w:b/>
          <w:i w:val="0"/>
          <w:sz w:val="26"/>
        </w:rPr>
        <w:t>4. Thực nghiệm và kết quả</w:t>
      </w:r>
    </w:p>
    <w:p>
      <w:pPr>
        <w:spacing w:line="312" w:lineRule="auto" w:before="0" w:after="120"/>
        <w:jc w:val="both"/>
      </w:pPr>
      <w:r>
        <w:rPr>
          <w:rFonts w:ascii="Times New Roman" w:hAnsi="Times New Roman" w:eastAsia="Times New Roman"/>
          <w:b w:val="0"/>
          <w:i w:val="0"/>
          <w:sz w:val="26"/>
        </w:rPr>
        <w:t>Các mô hình được đánh giá bằng độ chính xác, độ chính xác dự đoán, độ nhạy, điểm F1, điểm F1 có trọng số và diện tích dưới đường cong ROC theo cách một nhóm so với các nhóm còn lại. Với từng nhóm bệnh, các đại lượng đúng dương, đúng âm, sai dương và sai âm được dùng để tính các chỉ số đánh giá.</w:t>
      </w:r>
    </w:p>
    <w:p>
      <w:pPr>
        <w:spacing w:line="312" w:lineRule="auto" w:before="0" w:after="160"/>
        <w:jc w:val="center"/>
      </w:pPr>
      <w:r>
        <w:rPr>
          <w:rFonts w:ascii="Cambria Math" w:hAnsi="Cambria Math" w:eastAsia="Cambria Math"/>
          <w:b w:val="0"/>
          <w:i w:val="0"/>
          <w:sz w:val="26"/>
        </w:rPr>
        <w:t>Độ chính xác = (TP + TN)/(TP + TN + FP + FN)        (28)</w:t>
      </w:r>
    </w:p>
    <w:p>
      <w:pPr>
        <w:spacing w:line="312" w:lineRule="auto" w:before="0" w:after="160"/>
        <w:jc w:val="center"/>
      </w:pPr>
      <w:r>
        <w:rPr>
          <w:rFonts w:ascii="Cambria Math" w:hAnsi="Cambria Math" w:eastAsia="Cambria Math"/>
          <w:b w:val="0"/>
          <w:i w:val="0"/>
          <w:sz w:val="26"/>
        </w:rPr>
        <w:t>Độ chính xác dự đoán = TP/(TP + FP)        (29)</w:t>
      </w:r>
    </w:p>
    <w:p>
      <w:pPr>
        <w:spacing w:line="312" w:lineRule="auto" w:before="0" w:after="160"/>
        <w:jc w:val="center"/>
      </w:pPr>
      <w:r>
        <w:rPr>
          <w:rFonts w:ascii="Cambria Math" w:hAnsi="Cambria Math" w:eastAsia="Cambria Math"/>
          <w:b w:val="0"/>
          <w:i w:val="0"/>
          <w:sz w:val="26"/>
        </w:rPr>
        <w:t>Độ nhạy = TP/(TP + FN)        (30)</w:t>
      </w:r>
    </w:p>
    <w:p>
      <w:pPr>
        <w:spacing w:line="312" w:lineRule="auto" w:before="0" w:after="160"/>
        <w:jc w:val="center"/>
      </w:pPr>
      <w:r>
        <w:rPr>
          <w:rFonts w:ascii="Cambria Math" w:hAnsi="Cambria Math" w:eastAsia="Cambria Math"/>
          <w:b w:val="0"/>
          <w:i w:val="0"/>
          <w:sz w:val="26"/>
        </w:rPr>
        <w:t>Độ đặc hiệu = TN/(TN + FP)        (31)</w:t>
      </w:r>
    </w:p>
    <w:p>
      <w:pPr>
        <w:spacing w:line="312" w:lineRule="auto" w:before="0" w:after="160"/>
        <w:jc w:val="center"/>
      </w:pPr>
      <w:r>
        <w:rPr>
          <w:rFonts w:ascii="Cambria Math" w:hAnsi="Cambria Math" w:eastAsia="Cambria Math"/>
          <w:b w:val="0"/>
          <w:i w:val="0"/>
          <w:sz w:val="26"/>
        </w:rPr>
        <w:t>F1 = 2 · (Độ chính xác dự đoán · Độ nhạy)/(Độ chính xác dự đoán + Độ nhạy)        (32)</w:t>
      </w:r>
    </w:p>
    <w:p>
      <w:pPr>
        <w:spacing w:line="312" w:lineRule="auto" w:before="0" w:after="120"/>
        <w:jc w:val="both"/>
      </w:pPr>
      <w:r>
        <w:rPr>
          <w:rFonts w:ascii="Times New Roman" w:hAnsi="Times New Roman" w:eastAsia="Times New Roman"/>
          <w:b w:val="0"/>
          <w:i w:val="0"/>
          <w:sz w:val="26"/>
        </w:rPr>
        <w:t>Kết quả tổng quan của hai mô hình trên tập kiểm tra được trình bày trong bảng sau:</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fill="D9EAF7"/>
          </w:tcPr>
          <w:p>
            <w:pPr>
              <w:spacing w:line="312" w:lineRule="auto" w:before="0" w:after="0"/>
              <w:jc w:val="center"/>
            </w:pPr>
            <w:r>
              <w:rPr>
                <w:rFonts w:ascii="Times New Roman" w:hAnsi="Times New Roman" w:eastAsia="Times New Roman"/>
                <w:b/>
                <w:i w:val="0"/>
                <w:sz w:val="24"/>
              </w:rPr>
              <w:t>Mô hình</w:t>
            </w:r>
          </w:p>
        </w:tc>
        <w:tc>
          <w:tcPr>
            <w:tcW w:type="dxa" w:w="1378"/>
            <w:shd w:fill="D9EAF7"/>
          </w:tcPr>
          <w:p>
            <w:pPr>
              <w:spacing w:line="312" w:lineRule="auto" w:before="0" w:after="0"/>
              <w:jc w:val="center"/>
            </w:pPr>
            <w:r>
              <w:rPr>
                <w:rFonts w:ascii="Times New Roman" w:hAnsi="Times New Roman" w:eastAsia="Times New Roman"/>
                <w:b/>
                <w:i w:val="0"/>
                <w:sz w:val="24"/>
              </w:rPr>
              <w:t>Độ chính xác</w:t>
            </w:r>
          </w:p>
        </w:tc>
        <w:tc>
          <w:tcPr>
            <w:tcW w:type="dxa" w:w="1378"/>
            <w:shd w:fill="D9EAF7"/>
          </w:tcPr>
          <w:p>
            <w:pPr>
              <w:spacing w:line="312" w:lineRule="auto" w:before="0" w:after="0"/>
              <w:jc w:val="center"/>
            </w:pPr>
            <w:r>
              <w:rPr>
                <w:rFonts w:ascii="Times New Roman" w:hAnsi="Times New Roman" w:eastAsia="Times New Roman"/>
                <w:b/>
                <w:i w:val="0"/>
                <w:sz w:val="24"/>
              </w:rPr>
              <w:t>Độ chính xác dự đoán trung bình</w:t>
            </w:r>
          </w:p>
        </w:tc>
        <w:tc>
          <w:tcPr>
            <w:tcW w:type="dxa" w:w="1378"/>
            <w:shd w:fill="D9EAF7"/>
          </w:tcPr>
          <w:p>
            <w:pPr>
              <w:spacing w:line="312" w:lineRule="auto" w:before="0" w:after="0"/>
              <w:jc w:val="center"/>
            </w:pPr>
            <w:r>
              <w:rPr>
                <w:rFonts w:ascii="Times New Roman" w:hAnsi="Times New Roman" w:eastAsia="Times New Roman"/>
                <w:b/>
                <w:i w:val="0"/>
                <w:sz w:val="24"/>
              </w:rPr>
              <w:t>Độ nhạy trung bình</w:t>
            </w:r>
          </w:p>
        </w:tc>
        <w:tc>
          <w:tcPr>
            <w:tcW w:type="dxa" w:w="1378"/>
            <w:shd w:fill="D9EAF7"/>
          </w:tcPr>
          <w:p>
            <w:pPr>
              <w:spacing w:line="312" w:lineRule="auto" w:before="0" w:after="0"/>
              <w:jc w:val="center"/>
            </w:pPr>
            <w:r>
              <w:rPr>
                <w:rFonts w:ascii="Times New Roman" w:hAnsi="Times New Roman" w:eastAsia="Times New Roman"/>
                <w:b/>
                <w:i w:val="0"/>
                <w:sz w:val="24"/>
              </w:rPr>
              <w:t>F1 trung bình</w:t>
            </w:r>
          </w:p>
        </w:tc>
        <w:tc>
          <w:tcPr>
            <w:tcW w:type="dxa" w:w="1378"/>
            <w:shd w:fill="D9EAF7"/>
          </w:tcPr>
          <w:p>
            <w:pPr>
              <w:spacing w:line="312" w:lineRule="auto" w:before="0" w:after="0"/>
              <w:jc w:val="center"/>
            </w:pPr>
            <w:r>
              <w:rPr>
                <w:rFonts w:ascii="Times New Roman" w:hAnsi="Times New Roman" w:eastAsia="Times New Roman"/>
                <w:b/>
                <w:i w:val="0"/>
                <w:sz w:val="24"/>
              </w:rPr>
              <w:t>F1 có trọng số</w:t>
            </w:r>
          </w:p>
        </w:tc>
        <w:tc>
          <w:tcPr>
            <w:tcW w:type="dxa" w:w="1378"/>
            <w:shd w:fill="D9EAF7"/>
          </w:tcPr>
          <w:p>
            <w:pPr>
              <w:spacing w:line="312" w:lineRule="auto" w:before="0" w:after="0"/>
              <w:jc w:val="center"/>
            </w:pPr>
            <w:r>
              <w:rPr>
                <w:rFonts w:ascii="Times New Roman" w:hAnsi="Times New Roman" w:eastAsia="Times New Roman"/>
                <w:b/>
                <w:i w:val="0"/>
                <w:sz w:val="24"/>
              </w:rPr>
              <w:t>AUC trung bình</w:t>
            </w:r>
          </w:p>
        </w:tc>
      </w:tr>
      <w:tr>
        <w:tc>
          <w:tcPr>
            <w:tcW w:type="dxa" w:w="1378"/>
          </w:tcPr>
          <w:p>
            <w:pPr>
              <w:spacing w:line="312" w:lineRule="auto" w:before="0" w:after="0"/>
              <w:jc w:val="left"/>
            </w:pPr>
            <w:r>
              <w:rPr>
                <w:rFonts w:ascii="Times New Roman" w:hAnsi="Times New Roman" w:eastAsia="Times New Roman"/>
                <w:b w:val="0"/>
                <w:i w:val="0"/>
                <w:sz w:val="24"/>
              </w:rPr>
              <w:t>VGG19</w:t>
            </w:r>
          </w:p>
        </w:tc>
        <w:tc>
          <w:tcPr>
            <w:tcW w:type="dxa" w:w="1378"/>
          </w:tcPr>
          <w:p>
            <w:pPr>
              <w:spacing w:line="312" w:lineRule="auto" w:before="0" w:after="0"/>
              <w:jc w:val="center"/>
            </w:pPr>
            <w:r>
              <w:rPr>
                <w:rFonts w:ascii="Times New Roman" w:hAnsi="Times New Roman" w:eastAsia="Times New Roman"/>
                <w:b w:val="0"/>
                <w:i w:val="0"/>
                <w:sz w:val="24"/>
              </w:rPr>
              <w:t>0,828183</w:t>
            </w:r>
          </w:p>
        </w:tc>
        <w:tc>
          <w:tcPr>
            <w:tcW w:type="dxa" w:w="1378"/>
          </w:tcPr>
          <w:p>
            <w:pPr>
              <w:spacing w:line="312" w:lineRule="auto" w:before="0" w:after="0"/>
              <w:jc w:val="center"/>
            </w:pPr>
            <w:r>
              <w:rPr>
                <w:rFonts w:ascii="Times New Roman" w:hAnsi="Times New Roman" w:eastAsia="Times New Roman"/>
                <w:b w:val="0"/>
                <w:i w:val="0"/>
                <w:sz w:val="24"/>
              </w:rPr>
              <w:t>0,803590</w:t>
            </w:r>
          </w:p>
        </w:tc>
        <w:tc>
          <w:tcPr>
            <w:tcW w:type="dxa" w:w="1378"/>
          </w:tcPr>
          <w:p>
            <w:pPr>
              <w:spacing w:line="312" w:lineRule="auto" w:before="0" w:after="0"/>
              <w:jc w:val="center"/>
            </w:pPr>
            <w:r>
              <w:rPr>
                <w:rFonts w:ascii="Times New Roman" w:hAnsi="Times New Roman" w:eastAsia="Times New Roman"/>
                <w:b w:val="0"/>
                <w:i w:val="0"/>
                <w:sz w:val="24"/>
              </w:rPr>
              <w:t>0,867818</w:t>
            </w:r>
          </w:p>
        </w:tc>
        <w:tc>
          <w:tcPr>
            <w:tcW w:type="dxa" w:w="1378"/>
          </w:tcPr>
          <w:p>
            <w:pPr>
              <w:spacing w:line="312" w:lineRule="auto" w:before="0" w:after="0"/>
              <w:jc w:val="center"/>
            </w:pPr>
            <w:r>
              <w:rPr>
                <w:rFonts w:ascii="Times New Roman" w:hAnsi="Times New Roman" w:eastAsia="Times New Roman"/>
                <w:b w:val="0"/>
                <w:i w:val="0"/>
                <w:sz w:val="24"/>
              </w:rPr>
              <w:t>0,815505</w:t>
            </w:r>
          </w:p>
        </w:tc>
        <w:tc>
          <w:tcPr>
            <w:tcW w:type="dxa" w:w="1378"/>
          </w:tcPr>
          <w:p>
            <w:pPr>
              <w:spacing w:line="312" w:lineRule="auto" w:before="0" w:after="0"/>
              <w:jc w:val="center"/>
            </w:pPr>
            <w:r>
              <w:rPr>
                <w:rFonts w:ascii="Times New Roman" w:hAnsi="Times New Roman" w:eastAsia="Times New Roman"/>
                <w:b w:val="0"/>
                <w:i w:val="0"/>
                <w:sz w:val="24"/>
              </w:rPr>
              <w:t>0,843494</w:t>
            </w:r>
          </w:p>
        </w:tc>
        <w:tc>
          <w:tcPr>
            <w:tcW w:type="dxa" w:w="1378"/>
          </w:tcPr>
          <w:p>
            <w:pPr>
              <w:spacing w:line="312" w:lineRule="auto" w:before="0" w:after="0"/>
              <w:jc w:val="center"/>
            </w:pPr>
            <w:r>
              <w:rPr>
                <w:rFonts w:ascii="Times New Roman" w:hAnsi="Times New Roman" w:eastAsia="Times New Roman"/>
                <w:b w:val="0"/>
                <w:i w:val="0"/>
                <w:sz w:val="24"/>
              </w:rPr>
              <w:t>0,946864</w:t>
            </w:r>
          </w:p>
        </w:tc>
      </w:tr>
      <w:tr>
        <w:tc>
          <w:tcPr>
            <w:tcW w:type="dxa" w:w="1378"/>
          </w:tcPr>
          <w:p>
            <w:pPr>
              <w:spacing w:line="312" w:lineRule="auto" w:before="0" w:after="0"/>
              <w:jc w:val="left"/>
            </w:pPr>
            <w:r>
              <w:rPr>
                <w:rFonts w:ascii="Times New Roman" w:hAnsi="Times New Roman" w:eastAsia="Times New Roman"/>
                <w:b w:val="0"/>
                <w:i w:val="0"/>
                <w:sz w:val="24"/>
              </w:rPr>
              <w:t>ResNet50-FCSSAM</w:t>
            </w:r>
          </w:p>
        </w:tc>
        <w:tc>
          <w:tcPr>
            <w:tcW w:type="dxa" w:w="1378"/>
          </w:tcPr>
          <w:p>
            <w:pPr>
              <w:spacing w:line="312" w:lineRule="auto" w:before="0" w:after="0"/>
              <w:jc w:val="center"/>
            </w:pPr>
            <w:r>
              <w:rPr>
                <w:rFonts w:ascii="Times New Roman" w:hAnsi="Times New Roman" w:eastAsia="Times New Roman"/>
                <w:b w:val="0"/>
                <w:i w:val="0"/>
                <w:sz w:val="24"/>
              </w:rPr>
              <w:t>0,883395</w:t>
            </w:r>
          </w:p>
        </w:tc>
        <w:tc>
          <w:tcPr>
            <w:tcW w:type="dxa" w:w="1378"/>
          </w:tcPr>
          <w:p>
            <w:pPr>
              <w:spacing w:line="312" w:lineRule="auto" w:before="0" w:after="0"/>
              <w:jc w:val="center"/>
            </w:pPr>
            <w:r>
              <w:rPr>
                <w:rFonts w:ascii="Times New Roman" w:hAnsi="Times New Roman" w:eastAsia="Times New Roman"/>
                <w:b w:val="0"/>
                <w:i w:val="0"/>
                <w:sz w:val="24"/>
              </w:rPr>
              <w:t>0,843752</w:t>
            </w:r>
          </w:p>
        </w:tc>
        <w:tc>
          <w:tcPr>
            <w:tcW w:type="dxa" w:w="1378"/>
          </w:tcPr>
          <w:p>
            <w:pPr>
              <w:spacing w:line="312" w:lineRule="auto" w:before="0" w:after="0"/>
              <w:jc w:val="center"/>
            </w:pPr>
            <w:r>
              <w:rPr>
                <w:rFonts w:ascii="Times New Roman" w:hAnsi="Times New Roman" w:eastAsia="Times New Roman"/>
                <w:b w:val="0"/>
                <w:i w:val="0"/>
                <w:sz w:val="24"/>
              </w:rPr>
              <w:t>0,863887</w:t>
            </w:r>
          </w:p>
        </w:tc>
        <w:tc>
          <w:tcPr>
            <w:tcW w:type="dxa" w:w="1378"/>
          </w:tcPr>
          <w:p>
            <w:pPr>
              <w:spacing w:line="312" w:lineRule="auto" w:before="0" w:after="0"/>
              <w:jc w:val="center"/>
            </w:pPr>
            <w:r>
              <w:rPr>
                <w:rFonts w:ascii="Times New Roman" w:hAnsi="Times New Roman" w:eastAsia="Times New Roman"/>
                <w:b w:val="0"/>
                <w:i w:val="0"/>
                <w:sz w:val="24"/>
              </w:rPr>
              <w:t>0,852212</w:t>
            </w:r>
          </w:p>
        </w:tc>
        <w:tc>
          <w:tcPr>
            <w:tcW w:type="dxa" w:w="1378"/>
          </w:tcPr>
          <w:p>
            <w:pPr>
              <w:spacing w:line="312" w:lineRule="auto" w:before="0" w:after="0"/>
              <w:jc w:val="center"/>
            </w:pPr>
            <w:r>
              <w:rPr>
                <w:rFonts w:ascii="Times New Roman" w:hAnsi="Times New Roman" w:eastAsia="Times New Roman"/>
                <w:b w:val="0"/>
                <w:i w:val="0"/>
                <w:sz w:val="24"/>
              </w:rPr>
              <w:t>0,886883</w:t>
            </w:r>
          </w:p>
        </w:tc>
        <w:tc>
          <w:tcPr>
            <w:tcW w:type="dxa" w:w="1378"/>
          </w:tcPr>
          <w:p>
            <w:pPr>
              <w:spacing w:line="312" w:lineRule="auto" w:before="0" w:after="0"/>
              <w:jc w:val="center"/>
            </w:pPr>
            <w:r>
              <w:rPr>
                <w:rFonts w:ascii="Times New Roman" w:hAnsi="Times New Roman" w:eastAsia="Times New Roman"/>
                <w:b w:val="0"/>
                <w:i w:val="0"/>
                <w:sz w:val="24"/>
              </w:rPr>
              <w:t>0,953677</w:t>
            </w:r>
          </w:p>
        </w:tc>
      </w:tr>
    </w:tbl>
    <w:p/>
    <w:p>
      <w:pPr>
        <w:spacing w:line="312" w:lineRule="auto" w:before="0" w:after="120"/>
        <w:jc w:val="both"/>
      </w:pPr>
      <w:r>
        <w:rPr>
          <w:rFonts w:ascii="Times New Roman" w:hAnsi="Times New Roman" w:eastAsia="Times New Roman"/>
          <w:b w:val="0"/>
          <w:i w:val="0"/>
          <w:sz w:val="26"/>
        </w:rPr>
        <w:t>Kết quả cho thấy ResNet50-FCSSAM đạt độ chính xác cao hơn VGG19. Độ chính xác tăng từ 0,828183 lên 0,883395, tương đương tăng khoảng 5,52 điểm phần trăm. Điểm F1 trung bình tăng từ 0,815505 lên 0,852212. AUC trung bình cũng tăng từ 0,946864 lên 0,953677. Điều này cho thấy việc bổ sung cơ chế chú ý và chọn lọc kênh đặc trưng giúp cải thiện hiệu quả phân loại tổng thể.</w:t>
      </w:r>
    </w:p>
    <w:p>
      <w:pPr>
        <w:spacing w:line="312" w:lineRule="auto" w:before="0" w:after="120"/>
        <w:jc w:val="center"/>
      </w:pPr>
      <w:r>
        <w:rPr>
          <w:rFonts w:ascii="Times New Roman" w:hAnsi="Times New Roman" w:eastAsia="Times New Roman"/>
          <w:b/>
          <w:i/>
          <w:sz w:val="26"/>
        </w:rPr>
        <w:t>[CHÈN HÌNH 10: Biểu đồ so sánh kết quả hai mô hình]</w:t>
      </w:r>
    </w:p>
    <w:p>
      <w:pPr>
        <w:spacing w:line="312" w:lineRule="auto" w:before="0" w:after="120"/>
        <w:jc w:val="both"/>
      </w:pPr>
      <w:r>
        <w:rPr>
          <w:rFonts w:ascii="Times New Roman" w:hAnsi="Times New Roman" w:eastAsia="Times New Roman"/>
          <w:b w:val="0"/>
          <w:i w:val="0"/>
          <w:sz w:val="26"/>
        </w:rPr>
        <w:t>Xét theo từng nhóm bệnh, VGG19 nhận diện nhóm viêm phổi rất tốt với điểm F1 trên tập kiểm tra đạt 0,967922. Tuy nhiên, nhóm tràn dịch màng phổi có độ chính xác dự đoán thấp, chỉ đạt 0,476994, mặc dù độ nhạy đạt 0,854396. Điều này cho thấy mô hình VGG19 có xu hướng dự đoán nhầm một số ảnh không thuộc nhóm tràn dịch thành tràn dịch màng phổi.</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fill="D9EAF7"/>
          </w:tcPr>
          <w:p>
            <w:pPr>
              <w:spacing w:line="312" w:lineRule="auto" w:before="0" w:after="0"/>
              <w:jc w:val="center"/>
            </w:pPr>
            <w:r>
              <w:rPr>
                <w:rFonts w:ascii="Times New Roman" w:hAnsi="Times New Roman" w:eastAsia="Times New Roman"/>
                <w:b/>
                <w:i w:val="0"/>
                <w:sz w:val="24"/>
              </w:rPr>
              <w:t>Nhóm ảnh</w:t>
            </w:r>
          </w:p>
        </w:tc>
        <w:tc>
          <w:tcPr>
            <w:tcW w:type="dxa" w:w="1608"/>
            <w:shd w:fill="D9EAF7"/>
          </w:tcPr>
          <w:p>
            <w:pPr>
              <w:spacing w:line="312" w:lineRule="auto" w:before="0" w:after="0"/>
              <w:jc w:val="center"/>
            </w:pPr>
            <w:r>
              <w:rPr>
                <w:rFonts w:ascii="Times New Roman" w:hAnsi="Times New Roman" w:eastAsia="Times New Roman"/>
                <w:b/>
                <w:i w:val="0"/>
                <w:sz w:val="24"/>
              </w:rPr>
              <w:t>Độ chính xác dự đoán</w:t>
            </w:r>
          </w:p>
        </w:tc>
        <w:tc>
          <w:tcPr>
            <w:tcW w:type="dxa" w:w="1608"/>
            <w:shd w:fill="D9EAF7"/>
          </w:tcPr>
          <w:p>
            <w:pPr>
              <w:spacing w:line="312" w:lineRule="auto" w:before="0" w:after="0"/>
              <w:jc w:val="center"/>
            </w:pPr>
            <w:r>
              <w:rPr>
                <w:rFonts w:ascii="Times New Roman" w:hAnsi="Times New Roman" w:eastAsia="Times New Roman"/>
                <w:b/>
                <w:i w:val="0"/>
                <w:sz w:val="24"/>
              </w:rPr>
              <w:t>Độ nhạy</w:t>
            </w:r>
          </w:p>
        </w:tc>
        <w:tc>
          <w:tcPr>
            <w:tcW w:type="dxa" w:w="1608"/>
            <w:shd w:fill="D9EAF7"/>
          </w:tcPr>
          <w:p>
            <w:pPr>
              <w:spacing w:line="312" w:lineRule="auto" w:before="0" w:after="0"/>
              <w:jc w:val="center"/>
            </w:pPr>
            <w:r>
              <w:rPr>
                <w:rFonts w:ascii="Times New Roman" w:hAnsi="Times New Roman" w:eastAsia="Times New Roman"/>
                <w:b/>
                <w:i w:val="0"/>
                <w:sz w:val="24"/>
              </w:rPr>
              <w:t>F1</w:t>
            </w:r>
          </w:p>
        </w:tc>
        <w:tc>
          <w:tcPr>
            <w:tcW w:type="dxa" w:w="1608"/>
            <w:shd w:fill="D9EAF7"/>
          </w:tcPr>
          <w:p>
            <w:pPr>
              <w:spacing w:line="312" w:lineRule="auto" w:before="0" w:after="0"/>
              <w:jc w:val="center"/>
            </w:pPr>
            <w:r>
              <w:rPr>
                <w:rFonts w:ascii="Times New Roman" w:hAnsi="Times New Roman" w:eastAsia="Times New Roman"/>
                <w:b/>
                <w:i w:val="0"/>
                <w:sz w:val="24"/>
              </w:rPr>
              <w:t>Số ảnh</w:t>
            </w:r>
          </w:p>
        </w:tc>
        <w:tc>
          <w:tcPr>
            <w:tcW w:type="dxa" w:w="1608"/>
            <w:shd w:fill="D9EAF7"/>
          </w:tcPr>
          <w:p>
            <w:pPr>
              <w:spacing w:line="312" w:lineRule="auto" w:before="0" w:after="0"/>
              <w:jc w:val="center"/>
            </w:pPr>
            <w:r>
              <w:rPr>
                <w:rFonts w:ascii="Times New Roman" w:hAnsi="Times New Roman" w:eastAsia="Times New Roman"/>
                <w:b/>
                <w:i w:val="0"/>
                <w:sz w:val="24"/>
              </w:rPr>
              <w:t>AUC</w:t>
            </w:r>
          </w:p>
        </w:tc>
      </w:tr>
      <w:tr>
        <w:tc>
          <w:tcPr>
            <w:tcW w:type="dxa" w:w="1608"/>
          </w:tcPr>
          <w:p>
            <w:pPr>
              <w:spacing w:line="312" w:lineRule="auto" w:before="0" w:after="0"/>
              <w:jc w:val="left"/>
            </w:pPr>
            <w:r>
              <w:rPr>
                <w:rFonts w:ascii="Times New Roman" w:hAnsi="Times New Roman" w:eastAsia="Times New Roman"/>
                <w:b w:val="0"/>
                <w:i w:val="0"/>
                <w:sz w:val="24"/>
              </w:rPr>
              <w:t>Bình thường</w:t>
            </w:r>
          </w:p>
        </w:tc>
        <w:tc>
          <w:tcPr>
            <w:tcW w:type="dxa" w:w="1608"/>
          </w:tcPr>
          <w:p>
            <w:pPr>
              <w:spacing w:line="312" w:lineRule="auto" w:before="0" w:after="0"/>
              <w:jc w:val="center"/>
            </w:pPr>
            <w:r>
              <w:rPr>
                <w:rFonts w:ascii="Times New Roman" w:hAnsi="Times New Roman" w:eastAsia="Times New Roman"/>
                <w:b w:val="0"/>
                <w:i w:val="0"/>
                <w:sz w:val="24"/>
              </w:rPr>
              <w:t>0,950774</w:t>
            </w:r>
          </w:p>
        </w:tc>
        <w:tc>
          <w:tcPr>
            <w:tcW w:type="dxa" w:w="1608"/>
          </w:tcPr>
          <w:p>
            <w:pPr>
              <w:spacing w:line="312" w:lineRule="auto" w:before="0" w:after="0"/>
              <w:jc w:val="center"/>
            </w:pPr>
            <w:r>
              <w:rPr>
                <w:rFonts w:ascii="Times New Roman" w:hAnsi="Times New Roman" w:eastAsia="Times New Roman"/>
                <w:b w:val="0"/>
                <w:i w:val="0"/>
                <w:sz w:val="24"/>
              </w:rPr>
              <w:t>0,795762</w:t>
            </w:r>
          </w:p>
        </w:tc>
        <w:tc>
          <w:tcPr>
            <w:tcW w:type="dxa" w:w="1608"/>
          </w:tcPr>
          <w:p>
            <w:pPr>
              <w:spacing w:line="312" w:lineRule="auto" w:before="0" w:after="0"/>
              <w:jc w:val="center"/>
            </w:pPr>
            <w:r>
              <w:rPr>
                <w:rFonts w:ascii="Times New Roman" w:hAnsi="Times New Roman" w:eastAsia="Times New Roman"/>
                <w:b w:val="0"/>
                <w:i w:val="0"/>
                <w:sz w:val="24"/>
              </w:rPr>
              <w:t>0,866389</w:t>
            </w:r>
          </w:p>
        </w:tc>
        <w:tc>
          <w:tcPr>
            <w:tcW w:type="dxa" w:w="1608"/>
          </w:tcPr>
          <w:p>
            <w:pPr>
              <w:spacing w:line="312" w:lineRule="auto" w:before="0" w:after="0"/>
              <w:jc w:val="center"/>
            </w:pPr>
            <w:r>
              <w:rPr>
                <w:rFonts w:ascii="Times New Roman" w:hAnsi="Times New Roman" w:eastAsia="Times New Roman"/>
                <w:b w:val="0"/>
                <w:i w:val="0"/>
                <w:sz w:val="24"/>
              </w:rPr>
              <w:t>1699</w:t>
            </w:r>
          </w:p>
        </w:tc>
        <w:tc>
          <w:tcPr>
            <w:tcW w:type="dxa" w:w="1608"/>
          </w:tcPr>
          <w:p>
            <w:pPr>
              <w:spacing w:line="312" w:lineRule="auto" w:before="0" w:after="0"/>
              <w:jc w:val="center"/>
            </w:pPr>
            <w:r>
              <w:rPr>
                <w:rFonts w:ascii="Times New Roman" w:hAnsi="Times New Roman" w:eastAsia="Times New Roman"/>
                <w:b w:val="0"/>
                <w:i w:val="0"/>
                <w:sz w:val="24"/>
              </w:rPr>
              <w:t>0,929375</w:t>
            </w:r>
          </w:p>
        </w:tc>
      </w:tr>
      <w:tr>
        <w:tc>
          <w:tcPr>
            <w:tcW w:type="dxa" w:w="1608"/>
          </w:tcPr>
          <w:p>
            <w:pPr>
              <w:spacing w:line="312" w:lineRule="auto" w:before="0" w:after="0"/>
              <w:jc w:val="left"/>
            </w:pPr>
            <w:r>
              <w:rPr>
                <w:rFonts w:ascii="Times New Roman" w:hAnsi="Times New Roman" w:eastAsia="Times New Roman"/>
                <w:b w:val="0"/>
                <w:i w:val="0"/>
                <w:sz w:val="24"/>
              </w:rPr>
              <w:t>Viêm phổi</w:t>
            </w:r>
          </w:p>
        </w:tc>
        <w:tc>
          <w:tcPr>
            <w:tcW w:type="dxa" w:w="1608"/>
          </w:tcPr>
          <w:p>
            <w:pPr>
              <w:spacing w:line="312" w:lineRule="auto" w:before="0" w:after="0"/>
              <w:jc w:val="center"/>
            </w:pPr>
            <w:r>
              <w:rPr>
                <w:rFonts w:ascii="Times New Roman" w:hAnsi="Times New Roman" w:eastAsia="Times New Roman"/>
                <w:b w:val="0"/>
                <w:i w:val="0"/>
                <w:sz w:val="24"/>
              </w:rPr>
              <w:t>0,983003</w:t>
            </w:r>
          </w:p>
        </w:tc>
        <w:tc>
          <w:tcPr>
            <w:tcW w:type="dxa" w:w="1608"/>
          </w:tcPr>
          <w:p>
            <w:pPr>
              <w:spacing w:line="312" w:lineRule="auto" w:before="0" w:after="0"/>
              <w:jc w:val="center"/>
            </w:pPr>
            <w:r>
              <w:rPr>
                <w:rFonts w:ascii="Times New Roman" w:hAnsi="Times New Roman" w:eastAsia="Times New Roman"/>
                <w:b w:val="0"/>
                <w:i w:val="0"/>
                <w:sz w:val="24"/>
              </w:rPr>
              <w:t>0,953297</w:t>
            </w:r>
          </w:p>
        </w:tc>
        <w:tc>
          <w:tcPr>
            <w:tcW w:type="dxa" w:w="1608"/>
          </w:tcPr>
          <w:p>
            <w:pPr>
              <w:spacing w:line="312" w:lineRule="auto" w:before="0" w:after="0"/>
              <w:jc w:val="center"/>
            </w:pPr>
            <w:r>
              <w:rPr>
                <w:rFonts w:ascii="Times New Roman" w:hAnsi="Times New Roman" w:eastAsia="Times New Roman"/>
                <w:b w:val="0"/>
                <w:i w:val="0"/>
                <w:sz w:val="24"/>
              </w:rPr>
              <w:t>0,967922</w:t>
            </w:r>
          </w:p>
        </w:tc>
        <w:tc>
          <w:tcPr>
            <w:tcW w:type="dxa" w:w="1608"/>
          </w:tcPr>
          <w:p>
            <w:pPr>
              <w:spacing w:line="312" w:lineRule="auto" w:before="0" w:after="0"/>
              <w:jc w:val="center"/>
            </w:pPr>
            <w:r>
              <w:rPr>
                <w:rFonts w:ascii="Times New Roman" w:hAnsi="Times New Roman" w:eastAsia="Times New Roman"/>
                <w:b w:val="0"/>
                <w:i w:val="0"/>
                <w:sz w:val="24"/>
              </w:rPr>
              <w:t>364</w:t>
            </w:r>
          </w:p>
        </w:tc>
        <w:tc>
          <w:tcPr>
            <w:tcW w:type="dxa" w:w="1608"/>
          </w:tcPr>
          <w:p>
            <w:pPr>
              <w:spacing w:line="312" w:lineRule="auto" w:before="0" w:after="0"/>
              <w:jc w:val="center"/>
            </w:pPr>
            <w:r>
              <w:rPr>
                <w:rFonts w:ascii="Times New Roman" w:hAnsi="Times New Roman" w:eastAsia="Times New Roman"/>
                <w:b w:val="0"/>
                <w:i w:val="0"/>
                <w:sz w:val="24"/>
              </w:rPr>
              <w:t>0,999385</w:t>
            </w:r>
          </w:p>
        </w:tc>
      </w:tr>
      <w:tr>
        <w:tc>
          <w:tcPr>
            <w:tcW w:type="dxa" w:w="1608"/>
          </w:tcPr>
          <w:p>
            <w:pPr>
              <w:spacing w:line="312" w:lineRule="auto" w:before="0" w:after="0"/>
              <w:jc w:val="left"/>
            </w:pPr>
            <w:r>
              <w:rPr>
                <w:rFonts w:ascii="Times New Roman" w:hAnsi="Times New Roman" w:eastAsia="Times New Roman"/>
                <w:b w:val="0"/>
                <w:i w:val="0"/>
                <w:sz w:val="24"/>
              </w:rPr>
              <w:t>Tràn dịch màng phổi</w:t>
            </w:r>
          </w:p>
        </w:tc>
        <w:tc>
          <w:tcPr>
            <w:tcW w:type="dxa" w:w="1608"/>
          </w:tcPr>
          <w:p>
            <w:pPr>
              <w:spacing w:line="312" w:lineRule="auto" w:before="0" w:after="0"/>
              <w:jc w:val="center"/>
            </w:pPr>
            <w:r>
              <w:rPr>
                <w:rFonts w:ascii="Times New Roman" w:hAnsi="Times New Roman" w:eastAsia="Times New Roman"/>
                <w:b w:val="0"/>
                <w:i w:val="0"/>
                <w:sz w:val="24"/>
              </w:rPr>
              <w:t>0,476994</w:t>
            </w:r>
          </w:p>
        </w:tc>
        <w:tc>
          <w:tcPr>
            <w:tcW w:type="dxa" w:w="1608"/>
          </w:tcPr>
          <w:p>
            <w:pPr>
              <w:spacing w:line="312" w:lineRule="auto" w:before="0" w:after="0"/>
              <w:jc w:val="center"/>
            </w:pPr>
            <w:r>
              <w:rPr>
                <w:rFonts w:ascii="Times New Roman" w:hAnsi="Times New Roman" w:eastAsia="Times New Roman"/>
                <w:b w:val="0"/>
                <w:i w:val="0"/>
                <w:sz w:val="24"/>
              </w:rPr>
              <w:t>0,854396</w:t>
            </w:r>
          </w:p>
        </w:tc>
        <w:tc>
          <w:tcPr>
            <w:tcW w:type="dxa" w:w="1608"/>
          </w:tcPr>
          <w:p>
            <w:pPr>
              <w:spacing w:line="312" w:lineRule="auto" w:before="0" w:after="0"/>
              <w:jc w:val="center"/>
            </w:pPr>
            <w:r>
              <w:rPr>
                <w:rFonts w:ascii="Times New Roman" w:hAnsi="Times New Roman" w:eastAsia="Times New Roman"/>
                <w:b w:val="0"/>
                <w:i w:val="0"/>
                <w:sz w:val="24"/>
              </w:rPr>
              <w:t>0,612205</w:t>
            </w:r>
          </w:p>
        </w:tc>
        <w:tc>
          <w:tcPr>
            <w:tcW w:type="dxa" w:w="1608"/>
          </w:tcPr>
          <w:p>
            <w:pPr>
              <w:spacing w:line="312" w:lineRule="auto" w:before="0" w:after="0"/>
              <w:jc w:val="center"/>
            </w:pPr>
            <w:r>
              <w:rPr>
                <w:rFonts w:ascii="Times New Roman" w:hAnsi="Times New Roman" w:eastAsia="Times New Roman"/>
                <w:b w:val="0"/>
                <w:i w:val="0"/>
                <w:sz w:val="24"/>
              </w:rPr>
              <w:t>364</w:t>
            </w:r>
          </w:p>
        </w:tc>
        <w:tc>
          <w:tcPr>
            <w:tcW w:type="dxa" w:w="1608"/>
          </w:tcPr>
          <w:p>
            <w:pPr>
              <w:spacing w:line="312" w:lineRule="auto" w:before="0" w:after="0"/>
              <w:jc w:val="center"/>
            </w:pPr>
            <w:r>
              <w:rPr>
                <w:rFonts w:ascii="Times New Roman" w:hAnsi="Times New Roman" w:eastAsia="Times New Roman"/>
                <w:b w:val="0"/>
                <w:i w:val="0"/>
                <w:sz w:val="24"/>
              </w:rPr>
              <w:t>0,911834</w:t>
            </w:r>
          </w:p>
        </w:tc>
      </w:tr>
    </w:tbl>
    <w:p/>
    <w:p>
      <w:pPr>
        <w:spacing w:line="312" w:lineRule="auto" w:before="0" w:after="120"/>
        <w:jc w:val="center"/>
      </w:pPr>
      <w:r>
        <w:rPr>
          <w:rFonts w:ascii="Times New Roman" w:hAnsi="Times New Roman" w:eastAsia="Times New Roman"/>
          <w:b/>
          <w:i/>
          <w:sz w:val="26"/>
        </w:rPr>
        <w:t>[CHÈN HÌNH 11: Ma trận nhầm lẫn và đường cong ROC của VGG19]</w:t>
      </w:r>
    </w:p>
    <w:p>
      <w:pPr>
        <w:spacing w:line="312" w:lineRule="auto" w:before="0" w:after="120"/>
        <w:jc w:val="both"/>
      </w:pPr>
      <w:r>
        <w:rPr>
          <w:rFonts w:ascii="Times New Roman" w:hAnsi="Times New Roman" w:eastAsia="Times New Roman"/>
          <w:b w:val="0"/>
          <w:i w:val="0"/>
          <w:sz w:val="26"/>
        </w:rPr>
        <w:t>Với ResNet50-FCSSAM, nhóm bình thường và nhóm viêm phổi đều đạt kết quả cao. Đặc biệt, độ chính xác dự đoán của nhóm tràn dịch màng phổi tăng từ 0,476994 lên 0,610723 so với VGG19. Tuy nhiên, độ nhạy của nhóm này giảm từ 0,854396 xuống 0,719780. Điều này cho thấy ResNet50-FCSSAM thận trọng hơn khi dự đoán tràn dịch màng phổi: mô hình giảm số dự đoán sai dương nhưng có thể bỏ sót thêm một số trường hợp tràn dịch.</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fill="D9EAF7"/>
          </w:tcPr>
          <w:p>
            <w:pPr>
              <w:spacing w:line="312" w:lineRule="auto" w:before="0" w:after="0"/>
              <w:jc w:val="center"/>
            </w:pPr>
            <w:r>
              <w:rPr>
                <w:rFonts w:ascii="Times New Roman" w:hAnsi="Times New Roman" w:eastAsia="Times New Roman"/>
                <w:b/>
                <w:i w:val="0"/>
                <w:sz w:val="24"/>
              </w:rPr>
              <w:t>Nhóm ảnh</w:t>
            </w:r>
          </w:p>
        </w:tc>
        <w:tc>
          <w:tcPr>
            <w:tcW w:type="dxa" w:w="1608"/>
            <w:shd w:fill="D9EAF7"/>
          </w:tcPr>
          <w:p>
            <w:pPr>
              <w:spacing w:line="312" w:lineRule="auto" w:before="0" w:after="0"/>
              <w:jc w:val="center"/>
            </w:pPr>
            <w:r>
              <w:rPr>
                <w:rFonts w:ascii="Times New Roman" w:hAnsi="Times New Roman" w:eastAsia="Times New Roman"/>
                <w:b/>
                <w:i w:val="0"/>
                <w:sz w:val="24"/>
              </w:rPr>
              <w:t>Độ chính xác dự đoán</w:t>
            </w:r>
          </w:p>
        </w:tc>
        <w:tc>
          <w:tcPr>
            <w:tcW w:type="dxa" w:w="1608"/>
            <w:shd w:fill="D9EAF7"/>
          </w:tcPr>
          <w:p>
            <w:pPr>
              <w:spacing w:line="312" w:lineRule="auto" w:before="0" w:after="0"/>
              <w:jc w:val="center"/>
            </w:pPr>
            <w:r>
              <w:rPr>
                <w:rFonts w:ascii="Times New Roman" w:hAnsi="Times New Roman" w:eastAsia="Times New Roman"/>
                <w:b/>
                <w:i w:val="0"/>
                <w:sz w:val="24"/>
              </w:rPr>
              <w:t>Độ nhạy</w:t>
            </w:r>
          </w:p>
        </w:tc>
        <w:tc>
          <w:tcPr>
            <w:tcW w:type="dxa" w:w="1608"/>
            <w:shd w:fill="D9EAF7"/>
          </w:tcPr>
          <w:p>
            <w:pPr>
              <w:spacing w:line="312" w:lineRule="auto" w:before="0" w:after="0"/>
              <w:jc w:val="center"/>
            </w:pPr>
            <w:r>
              <w:rPr>
                <w:rFonts w:ascii="Times New Roman" w:hAnsi="Times New Roman" w:eastAsia="Times New Roman"/>
                <w:b/>
                <w:i w:val="0"/>
                <w:sz w:val="24"/>
              </w:rPr>
              <w:t>F1</w:t>
            </w:r>
          </w:p>
        </w:tc>
        <w:tc>
          <w:tcPr>
            <w:tcW w:type="dxa" w:w="1608"/>
            <w:shd w:fill="D9EAF7"/>
          </w:tcPr>
          <w:p>
            <w:pPr>
              <w:spacing w:line="312" w:lineRule="auto" w:before="0" w:after="0"/>
              <w:jc w:val="center"/>
            </w:pPr>
            <w:r>
              <w:rPr>
                <w:rFonts w:ascii="Times New Roman" w:hAnsi="Times New Roman" w:eastAsia="Times New Roman"/>
                <w:b/>
                <w:i w:val="0"/>
                <w:sz w:val="24"/>
              </w:rPr>
              <w:t>Số ảnh</w:t>
            </w:r>
          </w:p>
        </w:tc>
        <w:tc>
          <w:tcPr>
            <w:tcW w:type="dxa" w:w="1608"/>
            <w:shd w:fill="D9EAF7"/>
          </w:tcPr>
          <w:p>
            <w:pPr>
              <w:spacing w:line="312" w:lineRule="auto" w:before="0" w:after="0"/>
              <w:jc w:val="center"/>
            </w:pPr>
            <w:r>
              <w:rPr>
                <w:rFonts w:ascii="Times New Roman" w:hAnsi="Times New Roman" w:eastAsia="Times New Roman"/>
                <w:b/>
                <w:i w:val="0"/>
                <w:sz w:val="24"/>
              </w:rPr>
              <w:t>AUC</w:t>
            </w:r>
          </w:p>
        </w:tc>
      </w:tr>
      <w:tr>
        <w:tc>
          <w:tcPr>
            <w:tcW w:type="dxa" w:w="1608"/>
          </w:tcPr>
          <w:p>
            <w:pPr>
              <w:spacing w:line="312" w:lineRule="auto" w:before="0" w:after="0"/>
              <w:jc w:val="left"/>
            </w:pPr>
            <w:r>
              <w:rPr>
                <w:rFonts w:ascii="Times New Roman" w:hAnsi="Times New Roman" w:eastAsia="Times New Roman"/>
                <w:b w:val="0"/>
                <w:i w:val="0"/>
                <w:sz w:val="24"/>
              </w:rPr>
              <w:t>Bình thường</w:t>
            </w:r>
          </w:p>
        </w:tc>
        <w:tc>
          <w:tcPr>
            <w:tcW w:type="dxa" w:w="1608"/>
          </w:tcPr>
          <w:p>
            <w:pPr>
              <w:spacing w:line="312" w:lineRule="auto" w:before="0" w:after="0"/>
              <w:jc w:val="center"/>
            </w:pPr>
            <w:r>
              <w:rPr>
                <w:rFonts w:ascii="Times New Roman" w:hAnsi="Times New Roman" w:eastAsia="Times New Roman"/>
                <w:b w:val="0"/>
                <w:i w:val="0"/>
                <w:sz w:val="24"/>
              </w:rPr>
              <w:t>0,931707</w:t>
            </w:r>
          </w:p>
        </w:tc>
        <w:tc>
          <w:tcPr>
            <w:tcW w:type="dxa" w:w="1608"/>
          </w:tcPr>
          <w:p>
            <w:pPr>
              <w:spacing w:line="312" w:lineRule="auto" w:before="0" w:after="0"/>
              <w:jc w:val="center"/>
            </w:pPr>
            <w:r>
              <w:rPr>
                <w:rFonts w:ascii="Times New Roman" w:hAnsi="Times New Roman" w:eastAsia="Times New Roman"/>
                <w:b w:val="0"/>
                <w:i w:val="0"/>
                <w:sz w:val="24"/>
              </w:rPr>
              <w:t>0,899353</w:t>
            </w:r>
          </w:p>
        </w:tc>
        <w:tc>
          <w:tcPr>
            <w:tcW w:type="dxa" w:w="1608"/>
          </w:tcPr>
          <w:p>
            <w:pPr>
              <w:spacing w:line="312" w:lineRule="auto" w:before="0" w:after="0"/>
              <w:jc w:val="center"/>
            </w:pPr>
            <w:r>
              <w:rPr>
                <w:rFonts w:ascii="Times New Roman" w:hAnsi="Times New Roman" w:eastAsia="Times New Roman"/>
                <w:b w:val="0"/>
                <w:i w:val="0"/>
                <w:sz w:val="24"/>
              </w:rPr>
              <w:t>0,915244</w:t>
            </w:r>
          </w:p>
        </w:tc>
        <w:tc>
          <w:tcPr>
            <w:tcW w:type="dxa" w:w="1608"/>
          </w:tcPr>
          <w:p>
            <w:pPr>
              <w:spacing w:line="312" w:lineRule="auto" w:before="0" w:after="0"/>
              <w:jc w:val="center"/>
            </w:pPr>
            <w:r>
              <w:rPr>
                <w:rFonts w:ascii="Times New Roman" w:hAnsi="Times New Roman" w:eastAsia="Times New Roman"/>
                <w:b w:val="0"/>
                <w:i w:val="0"/>
                <w:sz w:val="24"/>
              </w:rPr>
              <w:t>1699</w:t>
            </w:r>
          </w:p>
        </w:tc>
        <w:tc>
          <w:tcPr>
            <w:tcW w:type="dxa" w:w="1608"/>
          </w:tcPr>
          <w:p>
            <w:pPr>
              <w:spacing w:line="312" w:lineRule="auto" w:before="0" w:after="0"/>
              <w:jc w:val="center"/>
            </w:pPr>
            <w:r>
              <w:rPr>
                <w:rFonts w:ascii="Times New Roman" w:hAnsi="Times New Roman" w:eastAsia="Times New Roman"/>
                <w:b w:val="0"/>
                <w:i w:val="0"/>
                <w:sz w:val="24"/>
              </w:rPr>
              <w:t>0,943667</w:t>
            </w:r>
          </w:p>
        </w:tc>
      </w:tr>
      <w:tr>
        <w:tc>
          <w:tcPr>
            <w:tcW w:type="dxa" w:w="1608"/>
          </w:tcPr>
          <w:p>
            <w:pPr>
              <w:spacing w:line="312" w:lineRule="auto" w:before="0" w:after="0"/>
              <w:jc w:val="left"/>
            </w:pPr>
            <w:r>
              <w:rPr>
                <w:rFonts w:ascii="Times New Roman" w:hAnsi="Times New Roman" w:eastAsia="Times New Roman"/>
                <w:b w:val="0"/>
                <w:i w:val="0"/>
                <w:sz w:val="24"/>
              </w:rPr>
              <w:t>Viêm phổi</w:t>
            </w:r>
          </w:p>
        </w:tc>
        <w:tc>
          <w:tcPr>
            <w:tcW w:type="dxa" w:w="1608"/>
          </w:tcPr>
          <w:p>
            <w:pPr>
              <w:spacing w:line="312" w:lineRule="auto" w:before="0" w:after="0"/>
              <w:jc w:val="center"/>
            </w:pPr>
            <w:r>
              <w:rPr>
                <w:rFonts w:ascii="Times New Roman" w:hAnsi="Times New Roman" w:eastAsia="Times New Roman"/>
                <w:b w:val="0"/>
                <w:i w:val="0"/>
                <w:sz w:val="24"/>
              </w:rPr>
              <w:t>0,988827</w:t>
            </w:r>
          </w:p>
        </w:tc>
        <w:tc>
          <w:tcPr>
            <w:tcW w:type="dxa" w:w="1608"/>
          </w:tcPr>
          <w:p>
            <w:pPr>
              <w:spacing w:line="312" w:lineRule="auto" w:before="0" w:after="0"/>
              <w:jc w:val="center"/>
            </w:pPr>
            <w:r>
              <w:rPr>
                <w:rFonts w:ascii="Times New Roman" w:hAnsi="Times New Roman" w:eastAsia="Times New Roman"/>
                <w:b w:val="0"/>
                <w:i w:val="0"/>
                <w:sz w:val="24"/>
              </w:rPr>
              <w:t>0,972527</w:t>
            </w:r>
          </w:p>
        </w:tc>
        <w:tc>
          <w:tcPr>
            <w:tcW w:type="dxa" w:w="1608"/>
          </w:tcPr>
          <w:p>
            <w:pPr>
              <w:spacing w:line="312" w:lineRule="auto" w:before="0" w:after="0"/>
              <w:jc w:val="center"/>
            </w:pPr>
            <w:r>
              <w:rPr>
                <w:rFonts w:ascii="Times New Roman" w:hAnsi="Times New Roman" w:eastAsia="Times New Roman"/>
                <w:b w:val="0"/>
                <w:i w:val="0"/>
                <w:sz w:val="24"/>
              </w:rPr>
              <w:t>0,980609</w:t>
            </w:r>
          </w:p>
        </w:tc>
        <w:tc>
          <w:tcPr>
            <w:tcW w:type="dxa" w:w="1608"/>
          </w:tcPr>
          <w:p>
            <w:pPr>
              <w:spacing w:line="312" w:lineRule="auto" w:before="0" w:after="0"/>
              <w:jc w:val="center"/>
            </w:pPr>
            <w:r>
              <w:rPr>
                <w:rFonts w:ascii="Times New Roman" w:hAnsi="Times New Roman" w:eastAsia="Times New Roman"/>
                <w:b w:val="0"/>
                <w:i w:val="0"/>
                <w:sz w:val="24"/>
              </w:rPr>
              <w:t>364</w:t>
            </w:r>
          </w:p>
        </w:tc>
        <w:tc>
          <w:tcPr>
            <w:tcW w:type="dxa" w:w="1608"/>
          </w:tcPr>
          <w:p>
            <w:pPr>
              <w:spacing w:line="312" w:lineRule="auto" w:before="0" w:after="0"/>
              <w:jc w:val="center"/>
            </w:pPr>
            <w:r>
              <w:rPr>
                <w:rFonts w:ascii="Times New Roman" w:hAnsi="Times New Roman" w:eastAsia="Times New Roman"/>
                <w:b w:val="0"/>
                <w:i w:val="0"/>
                <w:sz w:val="24"/>
              </w:rPr>
              <w:t>0,999682</w:t>
            </w:r>
          </w:p>
        </w:tc>
      </w:tr>
      <w:tr>
        <w:tc>
          <w:tcPr>
            <w:tcW w:type="dxa" w:w="1608"/>
          </w:tcPr>
          <w:p>
            <w:pPr>
              <w:spacing w:line="312" w:lineRule="auto" w:before="0" w:after="0"/>
              <w:jc w:val="left"/>
            </w:pPr>
            <w:r>
              <w:rPr>
                <w:rFonts w:ascii="Times New Roman" w:hAnsi="Times New Roman" w:eastAsia="Times New Roman"/>
                <w:b w:val="0"/>
                <w:i w:val="0"/>
                <w:sz w:val="24"/>
              </w:rPr>
              <w:t>Tràn dịch màng phổi</w:t>
            </w:r>
          </w:p>
        </w:tc>
        <w:tc>
          <w:tcPr>
            <w:tcW w:type="dxa" w:w="1608"/>
          </w:tcPr>
          <w:p>
            <w:pPr>
              <w:spacing w:line="312" w:lineRule="auto" w:before="0" w:after="0"/>
              <w:jc w:val="center"/>
            </w:pPr>
            <w:r>
              <w:rPr>
                <w:rFonts w:ascii="Times New Roman" w:hAnsi="Times New Roman" w:eastAsia="Times New Roman"/>
                <w:b w:val="0"/>
                <w:i w:val="0"/>
                <w:sz w:val="24"/>
              </w:rPr>
              <w:t>0,610723</w:t>
            </w:r>
          </w:p>
        </w:tc>
        <w:tc>
          <w:tcPr>
            <w:tcW w:type="dxa" w:w="1608"/>
          </w:tcPr>
          <w:p>
            <w:pPr>
              <w:spacing w:line="312" w:lineRule="auto" w:before="0" w:after="0"/>
              <w:jc w:val="center"/>
            </w:pPr>
            <w:r>
              <w:rPr>
                <w:rFonts w:ascii="Times New Roman" w:hAnsi="Times New Roman" w:eastAsia="Times New Roman"/>
                <w:b w:val="0"/>
                <w:i w:val="0"/>
                <w:sz w:val="24"/>
              </w:rPr>
              <w:t>0,719780</w:t>
            </w:r>
          </w:p>
        </w:tc>
        <w:tc>
          <w:tcPr>
            <w:tcW w:type="dxa" w:w="1608"/>
          </w:tcPr>
          <w:p>
            <w:pPr>
              <w:spacing w:line="312" w:lineRule="auto" w:before="0" w:after="0"/>
              <w:jc w:val="center"/>
            </w:pPr>
            <w:r>
              <w:rPr>
                <w:rFonts w:ascii="Times New Roman" w:hAnsi="Times New Roman" w:eastAsia="Times New Roman"/>
                <w:b w:val="0"/>
                <w:i w:val="0"/>
                <w:sz w:val="24"/>
              </w:rPr>
              <w:t>0,660782</w:t>
            </w:r>
          </w:p>
        </w:tc>
        <w:tc>
          <w:tcPr>
            <w:tcW w:type="dxa" w:w="1608"/>
          </w:tcPr>
          <w:p>
            <w:pPr>
              <w:spacing w:line="312" w:lineRule="auto" w:before="0" w:after="0"/>
              <w:jc w:val="center"/>
            </w:pPr>
            <w:r>
              <w:rPr>
                <w:rFonts w:ascii="Times New Roman" w:hAnsi="Times New Roman" w:eastAsia="Times New Roman"/>
                <w:b w:val="0"/>
                <w:i w:val="0"/>
                <w:sz w:val="24"/>
              </w:rPr>
              <w:t>364</w:t>
            </w:r>
          </w:p>
        </w:tc>
        <w:tc>
          <w:tcPr>
            <w:tcW w:type="dxa" w:w="1608"/>
          </w:tcPr>
          <w:p>
            <w:pPr>
              <w:spacing w:line="312" w:lineRule="auto" w:before="0" w:after="0"/>
              <w:jc w:val="center"/>
            </w:pPr>
            <w:r>
              <w:rPr>
                <w:rFonts w:ascii="Times New Roman" w:hAnsi="Times New Roman" w:eastAsia="Times New Roman"/>
                <w:b w:val="0"/>
                <w:i w:val="0"/>
                <w:sz w:val="24"/>
              </w:rPr>
              <w:t>0,917682</w:t>
            </w:r>
          </w:p>
        </w:tc>
      </w:tr>
    </w:tbl>
    <w:p/>
    <w:p>
      <w:pPr>
        <w:spacing w:line="312" w:lineRule="auto" w:before="0" w:after="120"/>
        <w:jc w:val="center"/>
      </w:pPr>
      <w:r>
        <w:rPr>
          <w:rFonts w:ascii="Times New Roman" w:hAnsi="Times New Roman" w:eastAsia="Times New Roman"/>
          <w:b/>
          <w:i/>
          <w:sz w:val="26"/>
        </w:rPr>
        <w:t>[CHÈN HÌNH 12: Ma trận nhầm lẫn và đường cong ROC của ResNet50-FCSSAM]</w:t>
      </w:r>
    </w:p>
    <w:p>
      <w:pPr>
        <w:spacing w:line="312" w:lineRule="auto" w:before="0" w:after="120"/>
        <w:jc w:val="both"/>
      </w:pPr>
      <w:r>
        <w:rPr>
          <w:rFonts w:ascii="Times New Roman" w:hAnsi="Times New Roman" w:eastAsia="Times New Roman"/>
          <w:b w:val="0"/>
          <w:i w:val="0"/>
          <w:sz w:val="26"/>
        </w:rPr>
        <w:t>Ngoài các chỉ số định lượng, đề tài còn sử dụng bản đồ nhiệt Grad-CAM để quan sát vùng ảnh mà mô hình tập trung khi phân loại. Nếu bản đồ nhiệt tập trung vào vùng phổi hoặc vùng nghi ngờ tổn thương, dự đoán của mô hình có tính hợp lý hơn về mặt trực quan. Tuy nhiên, bản đồ nhiệt chỉ mang tính hỗ trợ giải thích và cần được kiểm tra bởi chuyên gia y tế.</w:t>
      </w:r>
    </w:p>
    <w:p>
      <w:pPr>
        <w:spacing w:line="312" w:lineRule="auto" w:before="0" w:after="120"/>
        <w:jc w:val="center"/>
      </w:pPr>
      <w:r>
        <w:rPr>
          <w:rFonts w:ascii="Times New Roman" w:hAnsi="Times New Roman" w:eastAsia="Times New Roman"/>
          <w:b/>
          <w:i/>
          <w:sz w:val="26"/>
        </w:rPr>
        <w:t>[CHÈN HÌNH 13: Bản đồ nhiệt Grad-CAM của hai mô hình]</w:t>
      </w:r>
    </w:p>
    <w:p>
      <w:pPr>
        <w:spacing w:line="312" w:lineRule="auto" w:before="0" w:after="120"/>
        <w:jc w:val="both"/>
      </w:pPr>
      <w:r>
        <w:rPr>
          <w:rFonts w:ascii="Times New Roman" w:hAnsi="Times New Roman" w:eastAsia="Times New Roman"/>
          <w:b w:val="0"/>
          <w:i w:val="0"/>
          <w:sz w:val="26"/>
        </w:rPr>
        <w:t>Đặc trưng tại lớp gộp trung bình toàn cục cũng được giảm chiều bằng phân tích thành phần chính để quan sát khả năng tách nhóm. Với ma trận đặc trưng X, ma trận hiệp phương sai được tính như sau:</w:t>
      </w:r>
    </w:p>
    <w:p>
      <w:pPr>
        <w:spacing w:line="312" w:lineRule="auto" w:before="0" w:after="160"/>
        <w:jc w:val="center"/>
      </w:pPr>
      <w:r>
        <w:rPr>
          <w:rFonts w:ascii="Cambria Math" w:hAnsi="Cambria Math" w:eastAsia="Cambria Math"/>
          <w:b w:val="0"/>
          <w:i w:val="0"/>
          <w:sz w:val="26"/>
        </w:rPr>
        <w:t>Σ = 1/(N−1) · (X−X̄)ᵀ(X−X̄)        (33)</w:t>
      </w:r>
    </w:p>
    <w:p>
      <w:pPr>
        <w:spacing w:line="312" w:lineRule="auto" w:before="0" w:after="120"/>
        <w:jc w:val="both"/>
      </w:pPr>
      <w:r>
        <w:rPr>
          <w:rFonts w:ascii="Times New Roman" w:hAnsi="Times New Roman" w:eastAsia="Times New Roman"/>
          <w:b w:val="0"/>
          <w:i w:val="0"/>
          <w:sz w:val="26"/>
        </w:rPr>
        <w:t>Dữ liệu sau đó được chiếu lên các hướng có phương sai lớn nhất:</w:t>
      </w:r>
    </w:p>
    <w:p>
      <w:pPr>
        <w:spacing w:line="312" w:lineRule="auto" w:before="0" w:after="160"/>
        <w:jc w:val="center"/>
      </w:pPr>
      <w:r>
        <w:rPr>
          <w:rFonts w:ascii="Cambria Math" w:hAnsi="Cambria Math" w:eastAsia="Cambria Math"/>
          <w:b w:val="0"/>
          <w:i w:val="0"/>
          <w:sz w:val="26"/>
        </w:rPr>
        <w:t>Z = (X−X̄)W_k        (34)</w:t>
      </w:r>
    </w:p>
    <w:p>
      <w:pPr>
        <w:spacing w:line="312" w:lineRule="auto" w:before="0" w:after="120"/>
        <w:jc w:val="center"/>
      </w:pPr>
      <w:r>
        <w:rPr>
          <w:rFonts w:ascii="Times New Roman" w:hAnsi="Times New Roman" w:eastAsia="Times New Roman"/>
          <w:b/>
          <w:i/>
          <w:sz w:val="26"/>
        </w:rPr>
        <w:t>[CHÈN HÌNH 14: Không gian đặc trưng sau khi giảm chiều]</w:t>
      </w:r>
    </w:p>
    <w:p>
      <w:pPr>
        <w:spacing w:line="312" w:lineRule="auto" w:before="160" w:after="120"/>
      </w:pPr>
      <w:r>
        <w:rPr>
          <w:rFonts w:ascii="Times New Roman" w:hAnsi="Times New Roman" w:eastAsia="Times New Roman"/>
          <w:b/>
          <w:i w:val="0"/>
          <w:sz w:val="26"/>
        </w:rPr>
        <w:t>5. Kết luận</w:t>
      </w:r>
    </w:p>
    <w:p>
      <w:pPr>
        <w:spacing w:line="312" w:lineRule="auto" w:before="0" w:after="120"/>
        <w:jc w:val="both"/>
      </w:pPr>
      <w:r>
        <w:rPr>
          <w:rFonts w:ascii="Times New Roman" w:hAnsi="Times New Roman" w:eastAsia="Times New Roman"/>
          <w:b w:val="0"/>
          <w:i w:val="0"/>
          <w:sz w:val="26"/>
        </w:rPr>
        <w:t>Báo cáo đã trình bày hai mô hình phân loại ảnh X-quang ngực gồm VGG19 và ResNet50-FCSSAM. Mô hình VGG19 dựa trên hướng tiếp cận dùng mạng nơ-ron tích chập để phân loại tràn dịch màng phổi, trong khi ResNet50-FCSSAM bổ sung cơ chế chú ý theo kênh, chú ý theo không gian và chọn lọc kênh mờ nhằm cải thiện chất lượng đặc trưng.</w:t>
      </w:r>
    </w:p>
    <w:p>
      <w:pPr>
        <w:spacing w:line="312" w:lineRule="auto" w:before="0" w:after="120"/>
        <w:jc w:val="both"/>
      </w:pPr>
      <w:r>
        <w:rPr>
          <w:rFonts w:ascii="Times New Roman" w:hAnsi="Times New Roman" w:eastAsia="Times New Roman"/>
          <w:b w:val="0"/>
          <w:i w:val="0"/>
          <w:sz w:val="26"/>
        </w:rPr>
        <w:t>Kết quả thực nghiệm cho thấy ResNet50-FCSSAM đạt hiệu quả tổng thể tốt hơn VGG19 trên tập kiểm tra. Độ chính xác của ResNet50-FCSSAM đạt 0,883395 so với 0,828183 của VGG19; điểm F1 trung bình đạt 0,852212 so với 0,815505; AUC trung bình đạt 0,953677 so với 0,946864. Điều này cho thấy cơ chế chú ý và chọn lọc đặc trưng có đóng góp tích cực trong bài toán phân loại ảnh X-quang ngực.</w:t>
      </w:r>
    </w:p>
    <w:p>
      <w:pPr>
        <w:spacing w:line="312" w:lineRule="auto" w:before="0" w:after="120"/>
        <w:jc w:val="both"/>
      </w:pPr>
      <w:r>
        <w:rPr>
          <w:rFonts w:ascii="Times New Roman" w:hAnsi="Times New Roman" w:eastAsia="Times New Roman"/>
          <w:b w:val="0"/>
          <w:i w:val="0"/>
          <w:sz w:val="26"/>
        </w:rPr>
        <w:t>Tuy nhiên, nhóm tràn dịch màng phổi vẫn là nhóm khó phân loại nhất. Nguyên nhân có thể đến từ sự mất cân bằng dữ liệu, biểu hiện hình ảnh không rõ ràng hoặc sự tương đồng giữa tràn dịch màng phổi và các bất thường khác trên ảnh X-quang. Trong tương lai, có thể cải thiện mô hình bằng cách tăng dữ liệu cho nhóm tràn dịch màng phổi, điều chỉnh ngưỡng dự đoán riêng cho từng nhóm bệnh, thử nghiệm các hàm mất mát phù hợp với dữ liệu mất cân bằng và đánh giá mô hình trên tập dữ liệu độc lập.</w:t>
      </w:r>
    </w:p>
    <w:p>
      <w:pPr>
        <w:spacing w:line="312" w:lineRule="auto" w:before="0" w:after="120"/>
        <w:jc w:val="both"/>
      </w:pPr>
      <w:r>
        <w:rPr>
          <w:rFonts w:ascii="Times New Roman" w:hAnsi="Times New Roman" w:eastAsia="Times New Roman"/>
          <w:b w:val="0"/>
          <w:i w:val="0"/>
          <w:sz w:val="26"/>
        </w:rPr>
        <w:t>Tài liệu tham khảo: [1] Ahmad Rafiansyah Fauzan và cộng sự, Pleural Effusion Classification Based on Chest X-Ray Images using Convolutional Neural Network, JIKI, 2021. [2] Ayush Roy và cộng sự, FA-Net: A Fuzzy Attention-aided Deep Neural Network for Pneumonia Detection in Chest X-Rays, arXiv:2406.15117v1, 2024. [3] K. Simonyan và A. Zisserman, Very Deep Convolutional Networks for Large-Scale Image Recognition, 2015. [4] K. He và cộng sự, Deep Residual Learning for Image Recognition, 2016. [5] R. R. Selvaraju và cộng sự, Grad-CAM: Visual Explanations from Deep Networks via Gradient-Based Localization, 2017.</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