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12: Định luật bảo toàn động lượng</w:t>
      </w:r>
    </w:p>
    <w:p>
      <w:r>
        <w:t>Động lượng của một vật là đại lượng vectơ được xác định bằng tích của khối lượng và vận tốc của vật. Ký hiệu p = m·v, trong đó m là khối lượng tính bằng kilôgam và v là vận tốc tính bằng mét trên giây. Đơn vị của động lượng trong hệ SI là kilôgam mét trên giây (kg·m/s).</w:t>
      </w:r>
    </w:p>
    <w:p>
      <w:r>
        <w:t>Hệ kín là hệ mà các vật trong hệ chỉ tương tác với nhau, không tương tác với vật ngoài hệ, hoặc các ngoại lực tác dụng lên hệ cân bằng nhau. Trong thực tế, một hệ được coi là kín khi thời gian tương tác rất ngắn so với thời gian ngoại lực kịp gây ảnh hưởng, ví dụ va chạm giữa hai viên bi.</w:t>
      </w:r>
    </w:p>
    <w:p>
      <w:r>
        <w:t>Định luật bảo toàn động lượng phát biểu rằng: tổng động lượng của một hệ kín được bảo toàn, nghĩa là không đổi theo thời gian. Với hệ hai vật va chạm, ta có m1·v1 + m2·v2 = m1·v1' + m2·v2', trong đó các đại lượng có dấu phẩy là vận tốc sau va chạm.</w:t>
      </w:r>
    </w:p>
    <w:p>
      <w:r>
        <w:t>Va chạm mềm là va chạm mà sau đó hai vật dính vào nhau và chuyển động cùng vận tốc. Trong va chạm mềm, động lượng được bảo toàn nhưng động năng không được bảo toàn vì một phần chuyển hoá thành nhiệt và năng lượng biến dạng. Ngược lại, va chạm đàn hồi bảo toàn cả động lượng lẫn động năng.</w:t>
      </w:r>
    </w:p>
    <w:p>
      <w:r>
        <w:t>Ứng dụng quan trọng của định luật là chuyển động bằng phản lực. Khi tên lửa phụt khí về phía sau với động lượng nhất định, phần còn lại của tên lửa nhận động lượng bằng về độ lớn nhưng ngược chiều, nhờ đó tên lửa tiến về phía trước ngay cả trong chân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