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1. Châu Âu</w:t>
      </w:r>
    </w:p>
    <w:p>
      <w:r>
        <w:t xml:space="preserve">1.1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1.2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1.3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rPr>
          <w:b/>
        </w:rPr>
        <w:t>2. Trung Đông</w:t>
      </w:r>
    </w:p>
    <w:p>
      <w:r>
        <w:t xml:space="preserve">2.1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2.2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2.3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   3. Châu Phi</w:t>
      </w:r>
    </w:p>
    <w:p>
      <w:r>
        <w:t xml:space="preserve">3.1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3.2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3.3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rPr>
          <w:b/>
        </w:rPr>
        <w:t>4. Đông Á</w:t>
      </w:r>
    </w:p>
    <w:p>
      <w:r>
        <w:t xml:space="preserve">4.1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4.2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4.3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   5. Nam Á</w:t>
      </w:r>
    </w:p>
    <w:p>
      <w:r>
        <w:t xml:space="preserve">5.1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5.2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5.3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rPr>
          <w:b/>
        </w:rPr>
        <w:t>6. Không gian mạng</w:t>
      </w:r>
    </w:p>
    <w:p>
      <w:r>
        <w:t xml:space="preserve">6.1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6.2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6.3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   7. Tác động kinh tế</w:t>
      </w:r>
    </w:p>
    <w:p>
      <w:r>
        <w:t xml:space="preserve">7.1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7.2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7.3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rPr>
          <w:b/>
        </w:rPr>
        <w:t>8. Nhân đạo</w:t>
      </w:r>
    </w:p>
    <w:p>
      <w:r>
        <w:t xml:space="preserve">8.1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8.2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8.3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   9. Vai trò Liên Hợp Quốc</w:t>
      </w:r>
    </w:p>
    <w:p>
      <w:r>
        <w:t xml:space="preserve">9.1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9.2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9.3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rPr>
          <w:b/>
        </w:rPr>
        <w:t>10. Triển vọng</w:t>
      </w:r>
    </w:p>
    <w:p>
      <w:r>
        <w:t xml:space="preserve">10.1 Nội dung 1: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xml:space="preserve">10.2 Nội dung 2: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r>
        <w:t>• Gạch đầu dòng A</w:t>
        <w:br/>
        <w:t>• Gạch đầu dòng B</w:t>
        <w:br/>
        <w:t>• Gạch đầu dòng C</w:t>
      </w:r>
    </w:p>
    <w:p>
      <w:r>
        <w:t xml:space="preserve">10.3 Nội dung 3: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