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0D1B2A"/>
          <w:sz w:val="64"/>
          <w:szCs w:val="64"/>
        </w:rPr>
        <w:t xml:space="preserve">SUPPLY CHAIN &amp;</w:t>
      </w:r>
    </w:p>
    <w:p>
      <w:pPr>
        <w:spacing w:after="60" w:before="0"/>
        <w:jc w:val="center"/>
      </w:pPr>
      <w:r>
        <w:rPr>
          <w:rFonts w:ascii="Arial" w:cs="Arial" w:eastAsia="Arial" w:hAnsi="Arial"/>
          <w:b/>
          <w:bCs/>
          <w:color w:val="1565C0"/>
          <w:sz w:val="64"/>
          <w:szCs w:val="64"/>
        </w:rPr>
        <w:t xml:space="preserve">INVENTORY ANALYTICS</w:t>
      </w:r>
    </w:p>
    <w:p>
      <w:pPr>
        <w:pBdr>
          <w:bottom w:val="single" w:color="1565C0" w:sz="12" w:space="8"/>
        </w:pBdr>
        <w:spacing w:after="200" w:before="60"/>
        <w:jc w:val="center"/>
      </w:pPr>
      <w:r>
        <w:rPr>
          <w:rFonts w:ascii="Arial" w:cs="Arial" w:eastAsia="Arial" w:hAnsi="Arial"/>
          <w:b/>
          <w:bCs/>
          <w:color w:val="00838F"/>
          <w:sz w:val="28"/>
          <w:szCs w:val="28"/>
        </w:rPr>
        <w:t xml:space="preserve">EXECUTIVE PERFORMANCE REPORT</w:t>
      </w:r>
    </w:p>
    <w:p>
      <w:pPr>
        <w:spacing w:after="0" w:before="120"/>
      </w:pPr>
      <w:r>
        <w:t xml:space="preserve"/>
      </w:r>
    </w:p>
    <w:p>
      <w:pPr>
        <w:jc w:val="center"/>
      </w:pPr>
      <w:r>
        <w:rPr>
          <w:rFonts w:ascii="Arial" w:cs="Arial" w:eastAsia="Arial" w:hAnsi="Arial"/>
          <w:b/>
          <w:bCs/>
          <w:color w:val="0D1B2A"/>
          <w:sz w:val="30"/>
          <w:szCs w:val="30"/>
        </w:rPr>
        <w:t xml:space="preserve">FlowTech Operations Ltd</w:t>
      </w:r>
    </w:p>
    <w:p>
      <w:pPr>
        <w:spacing w:after="60" w:before="60"/>
        <w:jc w:val="center"/>
      </w:pPr>
      <w:r>
        <w:rPr>
          <w:rFonts w:ascii="Arial" w:cs="Arial" w:eastAsia="Arial" w:hAnsi="Arial"/>
          <w:color w:val="555555"/>
          <w:sz w:val="22"/>
          <w:szCs w:val="22"/>
        </w:rPr>
        <w:t xml:space="preserve">Analysis Period: January 2023 – June 2024  |  18 Months</w:t>
      </w:r>
    </w:p>
    <w:p>
      <w:pPr>
        <w:spacing w:after="60" w:before="0"/>
        <w:jc w:val="center"/>
      </w:pPr>
      <w:r>
        <w:rPr>
          <w:rFonts w:ascii="Arial" w:cs="Arial" w:eastAsia="Arial" w:hAnsi="Arial"/>
          <w:color w:val="555555"/>
          <w:sz w:val="22"/>
          <w:szCs w:val="22"/>
        </w:rPr>
        <w:t xml:space="preserve">Prepared by: Supply Chain Analytics Division</w:t>
      </w:r>
    </w:p>
    <w:p>
      <w:pPr>
        <w:spacing w:after="0" w:before="60"/>
        <w:jc w:val="center"/>
      </w:pPr>
      <w:r>
        <w:rPr>
          <w:rFonts w:ascii="Arial" w:cs="Arial" w:eastAsia="Arial" w:hAnsi="Arial"/>
          <w:b/>
          <w:bCs/>
          <w:color w:val="C62828"/>
          <w:sz w:val="20"/>
          <w:szCs w:val="20"/>
        </w:rPr>
        <w:t xml:space="preserve">Classification: CONFIDENTIAL — For Management Use Only</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B2A"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£58K</w:t>
            </w:r>
          </w:p>
          <w:p>
            <w:pPr>
              <w:spacing w:after="40" w:before="0"/>
              <w:jc w:val="center"/>
            </w:pPr>
            <w:r>
              <w:rPr>
                <w:rFonts w:ascii="Arial" w:cs="Arial" w:eastAsia="Arial" w:hAnsi="Arial"/>
                <w:color w:val="B0BEC5"/>
                <w:sz w:val="18"/>
                <w:szCs w:val="18"/>
              </w:rPr>
              <w:t xml:space="preserve">Revenue (18M)</w:t>
            </w:r>
          </w:p>
        </w:tc>
        <w:tc>
          <w:tcPr>
            <w:tcW w:type="dxa" w:w="2340"/>
            <w:tcBorders>
              <w:top w:val="none" w:color="FFFFFF" w:sz="0"/>
              <w:left w:val="none" w:color="FFFFFF" w:sz="0"/>
              <w:bottom w:val="none" w:color="FFFFFF" w:sz="0"/>
              <w:right w:val="none" w:color="FFFFFF" w:sz="0"/>
            </w:tcBorders>
            <w:shd w:fill="C62828"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21%</w:t>
            </w:r>
          </w:p>
          <w:p>
            <w:pPr>
              <w:spacing w:after="40" w:before="0"/>
              <w:jc w:val="center"/>
            </w:pPr>
            <w:r>
              <w:rPr>
                <w:rFonts w:ascii="Arial" w:cs="Arial" w:eastAsia="Arial" w:hAnsi="Arial"/>
                <w:color w:val="B0BEC5"/>
                <w:sz w:val="18"/>
                <w:szCs w:val="18"/>
              </w:rPr>
              <w:t xml:space="preserve">Fill Rate</w:t>
            </w:r>
          </w:p>
        </w:tc>
        <w:tc>
          <w:tcPr>
            <w:tcW w:type="dxa" w:w="2340"/>
            <w:tcBorders>
              <w:top w:val="none" w:color="FFFFFF" w:sz="0"/>
              <w:left w:val="none" w:color="FFFFFF" w:sz="0"/>
              <w:bottom w:val="none" w:color="FFFFFF" w:sz="0"/>
              <w:right w:val="none" w:color="FFFFFF" w:sz="0"/>
            </w:tcBorders>
            <w:shd w:fill="F57F17"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54%</w:t>
            </w:r>
          </w:p>
          <w:p>
            <w:pPr>
              <w:spacing w:after="40" w:before="0"/>
              <w:jc w:val="center"/>
            </w:pPr>
            <w:r>
              <w:rPr>
                <w:rFonts w:ascii="Arial" w:cs="Arial" w:eastAsia="Arial" w:hAnsi="Arial"/>
                <w:color w:val="B0BEC5"/>
                <w:sz w:val="18"/>
                <w:szCs w:val="18"/>
              </w:rPr>
              <w:t xml:space="preserve">On-Time Delivery</w:t>
            </w:r>
          </w:p>
        </w:tc>
        <w:tc>
          <w:tcPr>
            <w:tcW w:type="dxa" w:w="2340"/>
            <w:tcBorders>
              <w:top w:val="none" w:color="FFFFFF" w:sz="0"/>
              <w:left w:val="none" w:color="FFFFFF" w:sz="0"/>
              <w:bottom w:val="none" w:color="FFFFFF" w:sz="0"/>
              <w:right w:val="none" w:color="FFFFFF" w:sz="0"/>
            </w:tcBorders>
            <w:shd w:fill="8B0000"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80%</w:t>
            </w:r>
          </w:p>
          <w:p>
            <w:pPr>
              <w:spacing w:after="40" w:before="0"/>
              <w:jc w:val="center"/>
            </w:pPr>
            <w:r>
              <w:rPr>
                <w:rFonts w:ascii="Arial" w:cs="Arial" w:eastAsia="Arial" w:hAnsi="Arial"/>
                <w:color w:val="B0BEC5"/>
                <w:sz w:val="18"/>
                <w:szCs w:val="18"/>
              </w:rPr>
              <w:t xml:space="preserve">Backorder Rate</w:t>
            </w:r>
          </w:p>
        </w:tc>
      </w:tr>
    </w:tbl>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1.  Executive Summary</w:t>
      </w:r>
    </w:p>
    <w:p>
      <w:pPr>
        <w:spacing w:after="80" w:before="80"/>
        <w:jc w:val="both"/>
      </w:pPr>
      <w:r>
        <w:rPr>
          <w:rFonts w:ascii="Arial" w:cs="Arial" w:eastAsia="Arial" w:hAnsi="Arial"/>
          <w:color w:val="212529"/>
          <w:sz w:val="22"/>
          <w:szCs w:val="22"/>
        </w:rPr>
        <w:t xml:space="preserve">This report presents a comprehensive analysis of FlowTech Operations Ltd's supply chain and inventory performance across five UK warehouses, eight suppliers, and 60 product lines over an 18-month period from January 2023 to June 2024. The findings reveal a business under significant operational strain, with systemic stock availability failures that are costing revenue, damaging service levels, and creating avoidable inefficiencies throughout the supply network.</w:t>
      </w:r>
    </w:p>
    <w:p>
      <w:pPr>
        <w:spacing w:after="0" w:before="80"/>
      </w:pPr>
      <w:r>
        <w:t xml:space="preserve"/>
      </w:r>
    </w:p>
    <w:p>
      <w:pPr>
        <w:spacing w:after="80" w:before="80"/>
        <w:jc w:val="both"/>
      </w:pPr>
      <w:r>
        <w:rPr>
          <w:rFonts w:ascii="Arial" w:cs="Arial" w:eastAsia="Arial" w:hAnsi="Arial"/>
          <w:color w:val="212529"/>
          <w:sz w:val="22"/>
          <w:szCs w:val="22"/>
        </w:rPr>
        <w:t xml:space="preserve">The core message is straightforward: the business is not stocking enough of the right products at the right time. A combination of unreliable supplier lead times, under-powered replenishment processes, and a failure to align safety stock levels with real demand variability has created a compounding inventory crisis. With a fill rate of just 21% and a backorder rate of 80%, this is not a marginal performance gap — it represents a fundamental breakdown in supply chain execution.</w:t>
      </w:r>
    </w:p>
    <w:p>
      <w:pPr>
        <w:spacing w:after="0" w:before="80"/>
      </w:pPr>
      <w:r>
        <w:t xml:space="preserve"/>
      </w:r>
    </w:p>
    <w:p>
      <w:pPr>
        <w:spacing w:after="80" w:before="80"/>
        <w:jc w:val="both"/>
      </w:pPr>
      <w:r>
        <w:rPr>
          <w:rFonts w:ascii="Arial" w:cs="Arial" w:eastAsia="Arial" w:hAnsi="Arial"/>
          <w:color w:val="212529"/>
          <w:sz w:val="22"/>
          <w:szCs w:val="22"/>
        </w:rPr>
        <w:t xml:space="preserve">The good news is that the root causes are identifiable, measurable, and actionable. This report provides a clear picture of where the failures are occurring, which suppliers are creating the most risk, and what steps are required to restore service levels to a competitive standard.</w:t>
      </w:r>
    </w:p>
    <w:p>
      <w:pPr>
        <w:spacing w:after="0" w:before="160"/>
      </w:pPr>
      <w:r>
        <w:t xml:space="preserve"/>
      </w:r>
    </w:p>
    <w:p>
      <w:pPr>
        <w:pStyle w:val="Heading2"/>
        <w:spacing w:after="120" w:before="280"/>
      </w:pPr>
      <w:r>
        <w:rPr>
          <w:rFonts w:ascii="Arial" w:cs="Arial" w:eastAsia="Arial" w:hAnsi="Arial"/>
          <w:b/>
          <w:bCs/>
          <w:color w:val="1565C0"/>
          <w:sz w:val="26"/>
          <w:szCs w:val="26"/>
        </w:rPr>
        <w:t xml:space="preserve">Performance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B2A"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£175K</w:t>
            </w:r>
          </w:p>
          <w:p>
            <w:pPr>
              <w:spacing w:after="40" w:before="0"/>
              <w:jc w:val="center"/>
            </w:pPr>
            <w:r>
              <w:rPr>
                <w:rFonts w:ascii="Arial" w:cs="Arial" w:eastAsia="Arial" w:hAnsi="Arial"/>
                <w:color w:val="B0BEC5"/>
                <w:sz w:val="18"/>
                <w:szCs w:val="18"/>
              </w:rPr>
              <w:t xml:space="preserve">Total Inventory Value</w:t>
            </w:r>
          </w:p>
        </w:tc>
        <w:tc>
          <w:tcPr>
            <w:tcW w:type="dxa" w:w="2340"/>
            <w:tcBorders>
              <w:top w:val="none" w:color="FFFFFF" w:sz="0"/>
              <w:left w:val="none" w:color="FFFFFF" w:sz="0"/>
              <w:bottom w:val="none" w:color="FFFFFF" w:sz="0"/>
              <w:right w:val="none" w:color="FFFFFF" w:sz="0"/>
            </w:tcBorders>
            <w:shd w:fill="C62828"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£52.9K</w:t>
            </w:r>
          </w:p>
          <w:p>
            <w:pPr>
              <w:spacing w:after="40" w:before="0"/>
              <w:jc w:val="center"/>
            </w:pPr>
            <w:r>
              <w:rPr>
                <w:rFonts w:ascii="Arial" w:cs="Arial" w:eastAsia="Arial" w:hAnsi="Arial"/>
                <w:color w:val="B0BEC5"/>
                <w:sz w:val="18"/>
                <w:szCs w:val="18"/>
              </w:rPr>
              <w:t xml:space="preserve">Damaged Stock Value</w:t>
            </w:r>
          </w:p>
        </w:tc>
        <w:tc>
          <w:tcPr>
            <w:tcW w:type="dxa" w:w="2340"/>
            <w:tcBorders>
              <w:top w:val="none" w:color="FFFFFF" w:sz="0"/>
              <w:left w:val="none" w:color="FFFFFF" w:sz="0"/>
              <w:bottom w:val="none" w:color="FFFFFF" w:sz="0"/>
              <w:right w:val="none" w:color="FFFFFF" w:sz="0"/>
            </w:tcBorders>
            <w:shd w:fill="00838F"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15 days</w:t>
            </w:r>
          </w:p>
          <w:p>
            <w:pPr>
              <w:spacing w:after="40" w:before="0"/>
              <w:jc w:val="center"/>
            </w:pPr>
            <w:r>
              <w:rPr>
                <w:rFonts w:ascii="Arial" w:cs="Arial" w:eastAsia="Arial" w:hAnsi="Arial"/>
                <w:color w:val="B0BEC5"/>
                <w:sz w:val="18"/>
                <w:szCs w:val="18"/>
              </w:rPr>
              <w:t xml:space="preserve">Avg. Lead Time</w:t>
            </w:r>
          </w:p>
        </w:tc>
        <w:tc>
          <w:tcPr>
            <w:tcW w:type="dxa" w:w="2340"/>
            <w:tcBorders>
              <w:top w:val="none" w:color="FFFFFF" w:sz="0"/>
              <w:left w:val="none" w:color="FFFFFF" w:sz="0"/>
              <w:bottom w:val="none" w:color="FFFFFF" w:sz="0"/>
              <w:right w:val="none" w:color="FFFFFF" w:sz="0"/>
            </w:tcBorders>
            <w:shd w:fill="7B1FA2"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73%</w:t>
            </w:r>
          </w:p>
          <w:p>
            <w:pPr>
              <w:spacing w:after="40" w:before="0"/>
              <w:jc w:val="center"/>
            </w:pPr>
            <w:r>
              <w:rPr>
                <w:rFonts w:ascii="Arial" w:cs="Arial" w:eastAsia="Arial" w:hAnsi="Arial"/>
                <w:color w:val="B0BEC5"/>
                <w:sz w:val="18"/>
                <w:szCs w:val="18"/>
              </w:rPr>
              <w:t xml:space="preserve">Stockout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37474F"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5 WH</w:t>
            </w:r>
          </w:p>
          <w:p>
            <w:pPr>
              <w:spacing w:after="40" w:before="0"/>
              <w:jc w:val="center"/>
            </w:pPr>
            <w:r>
              <w:rPr>
                <w:rFonts w:ascii="Arial" w:cs="Arial" w:eastAsia="Arial" w:hAnsi="Arial"/>
                <w:color w:val="B0BEC5"/>
                <w:sz w:val="18"/>
                <w:szCs w:val="18"/>
              </w:rPr>
              <w:t xml:space="preserve">Warehouses</w:t>
            </w:r>
          </w:p>
        </w:tc>
        <w:tc>
          <w:tcPr>
            <w:tcW w:type="dxa" w:w="2340"/>
            <w:tcBorders>
              <w:top w:val="none" w:color="FFFFFF" w:sz="0"/>
              <w:left w:val="none" w:color="FFFFFF" w:sz="0"/>
              <w:bottom w:val="none" w:color="FFFFFF" w:sz="0"/>
              <w:right w:val="none" w:color="FFFFFF" w:sz="0"/>
            </w:tcBorders>
            <w:shd w:fill="37474F"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8</w:t>
            </w:r>
          </w:p>
          <w:p>
            <w:pPr>
              <w:spacing w:after="40" w:before="0"/>
              <w:jc w:val="center"/>
            </w:pPr>
            <w:r>
              <w:rPr>
                <w:rFonts w:ascii="Arial" w:cs="Arial" w:eastAsia="Arial" w:hAnsi="Arial"/>
                <w:color w:val="B0BEC5"/>
                <w:sz w:val="18"/>
                <w:szCs w:val="18"/>
              </w:rPr>
              <w:t xml:space="preserve">Active Suppliers</w:t>
            </w:r>
          </w:p>
        </w:tc>
        <w:tc>
          <w:tcPr>
            <w:tcW w:type="dxa" w:w="2340"/>
            <w:tcBorders>
              <w:top w:val="none" w:color="FFFFFF" w:sz="0"/>
              <w:left w:val="none" w:color="FFFFFF" w:sz="0"/>
              <w:bottom w:val="none" w:color="FFFFFF" w:sz="0"/>
              <w:right w:val="none" w:color="FFFFFF" w:sz="0"/>
            </w:tcBorders>
            <w:shd w:fill="37474F"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60</w:t>
            </w:r>
          </w:p>
          <w:p>
            <w:pPr>
              <w:spacing w:after="40" w:before="0"/>
              <w:jc w:val="center"/>
            </w:pPr>
            <w:r>
              <w:rPr>
                <w:rFonts w:ascii="Arial" w:cs="Arial" w:eastAsia="Arial" w:hAnsi="Arial"/>
                <w:color w:val="B0BEC5"/>
                <w:sz w:val="18"/>
                <w:szCs w:val="18"/>
              </w:rPr>
              <w:t xml:space="preserve">Product SKUs</w:t>
            </w:r>
          </w:p>
        </w:tc>
        <w:tc>
          <w:tcPr>
            <w:tcW w:type="dxa" w:w="2340"/>
            <w:tcBorders>
              <w:top w:val="none" w:color="FFFFFF" w:sz="0"/>
              <w:left w:val="none" w:color="FFFFFF" w:sz="0"/>
              <w:bottom w:val="none" w:color="FFFFFF" w:sz="0"/>
              <w:right w:val="none" w:color="FFFFFF" w:sz="0"/>
            </w:tcBorders>
            <w:shd w:fill="37474F" w:val="clear"/>
            <w:tcMar>
              <w:top w:type="dxa" w:w="160"/>
              <w:left w:type="dxa" w:w="160"/>
              <w:bottom w:type="dxa" w:w="160"/>
              <w:right w:type="dxa" w:w="160"/>
            </w:tcMar>
          </w:tcPr>
          <w:p>
            <w:pPr>
              <w:spacing w:after="20" w:before="40"/>
              <w:jc w:val="center"/>
            </w:pPr>
            <w:r>
              <w:rPr>
                <w:rFonts w:ascii="Arial" w:cs="Arial" w:eastAsia="Arial" w:hAnsi="Arial"/>
                <w:b/>
                <w:bCs/>
                <w:color w:val="FFFFFF"/>
                <w:sz w:val="48"/>
                <w:szCs w:val="48"/>
              </w:rPr>
              <w:t xml:space="preserve">59K+</w:t>
            </w:r>
          </w:p>
          <w:p>
            <w:pPr>
              <w:spacing w:after="40" w:before="0"/>
              <w:jc w:val="center"/>
            </w:pPr>
            <w:r>
              <w:rPr>
                <w:rFonts w:ascii="Arial" w:cs="Arial" w:eastAsia="Arial" w:hAnsi="Arial"/>
                <w:color w:val="B0BEC5"/>
                <w:sz w:val="18"/>
                <w:szCs w:val="18"/>
              </w:rPr>
              <w:t xml:space="preserve">Sales Order Lines</w:t>
            </w:r>
          </w:p>
        </w:tc>
      </w:tr>
    </w:tbl>
    <w:p>
      <w:pPr>
        <w:spacing w:after="0" w:before="200"/>
      </w:pPr>
      <w:r>
        <w:t xml:space="preserve"/>
      </w:r>
    </w:p>
    <w:p>
      <w:pPr>
        <w:pStyle w:val="Heading2"/>
        <w:spacing w:after="120" w:before="280"/>
      </w:pPr>
      <w:r>
        <w:rPr>
          <w:rFonts w:ascii="Arial" w:cs="Arial" w:eastAsia="Arial" w:hAnsi="Arial"/>
          <w:b/>
          <w:bCs/>
          <w:color w:val="1565C0"/>
          <w:sz w:val="26"/>
          <w:szCs w:val="26"/>
        </w:rPr>
        <w:t xml:space="preserve">Critical Findings Summary</w:t>
      </w:r>
    </w:p>
    <w:p>
      <w:pPr>
        <w:pStyle w:val="ListParagraph"/>
        <w:numPr>
          <w:ilvl w:val="0"/>
          <w:numId w:val="2"/>
        </w:numPr>
        <w:spacing w:after="60" w:before="60"/>
      </w:pPr>
      <w:r>
        <w:rPr>
          <w:rFonts w:ascii="Arial" w:cs="Arial" w:eastAsia="Arial" w:hAnsi="Arial"/>
          <w:b/>
          <w:bCs/>
          <w:color w:val="0D1B2A"/>
          <w:sz w:val="22"/>
          <w:szCs w:val="22"/>
        </w:rPr>
        <w:t xml:space="preserve">Fill Rate Crisis: </w:t>
      </w:r>
      <w:r>
        <w:rPr>
          <w:rFonts w:ascii="Arial" w:cs="Arial" w:eastAsia="Arial" w:hAnsi="Arial"/>
          <w:color w:val="212529"/>
          <w:sz w:val="22"/>
          <w:szCs w:val="22"/>
        </w:rPr>
        <w:t xml:space="preserve">Fill rate of 21% means the business fulfils fewer than 1 in 4 unit demands, placing customer relationships at severe risk.</w:t>
      </w:r>
    </w:p>
    <w:p>
      <w:pPr>
        <w:pStyle w:val="ListParagraph"/>
        <w:numPr>
          <w:ilvl w:val="0"/>
          <w:numId w:val="2"/>
        </w:numPr>
        <w:spacing w:after="60" w:before="60"/>
      </w:pPr>
      <w:r>
        <w:rPr>
          <w:rFonts w:ascii="Arial" w:cs="Arial" w:eastAsia="Arial" w:hAnsi="Arial"/>
          <w:b/>
          <w:bCs/>
          <w:color w:val="0D1B2A"/>
          <w:sz w:val="22"/>
          <w:szCs w:val="22"/>
        </w:rPr>
        <w:t xml:space="preserve">Backorder Epidemic: </w:t>
      </w:r>
      <w:r>
        <w:rPr>
          <w:rFonts w:ascii="Arial" w:cs="Arial" w:eastAsia="Arial" w:hAnsi="Arial"/>
          <w:color w:val="212529"/>
          <w:sz w:val="22"/>
          <w:szCs w:val="22"/>
        </w:rPr>
        <w:t xml:space="preserve">80% backorder rate indicates that the majority of orders cannot be completed on time due to stock unavailability.</w:t>
      </w:r>
    </w:p>
    <w:p>
      <w:pPr>
        <w:pStyle w:val="ListParagraph"/>
        <w:numPr>
          <w:ilvl w:val="0"/>
          <w:numId w:val="2"/>
        </w:numPr>
        <w:spacing w:after="60" w:before="60"/>
      </w:pPr>
      <w:r>
        <w:rPr>
          <w:rFonts w:ascii="Arial" w:cs="Arial" w:eastAsia="Arial" w:hAnsi="Arial"/>
          <w:b/>
          <w:bCs/>
          <w:color w:val="0D1B2A"/>
          <w:sz w:val="22"/>
          <w:szCs w:val="22"/>
        </w:rPr>
        <w:t xml:space="preserve">Supplier Failures: </w:t>
      </w:r>
      <w:r>
        <w:rPr>
          <w:rFonts w:ascii="Arial" w:cs="Arial" w:eastAsia="Arial" w:hAnsi="Arial"/>
          <w:color w:val="212529"/>
          <w:sz w:val="22"/>
          <w:szCs w:val="22"/>
        </w:rPr>
        <w:t xml:space="preserve">QuickShip Partners and FastTrack Logistics are dramatically underperforming, with lead time variability of 83% and 66% respectively, causing cascading stockout events.</w:t>
      </w:r>
    </w:p>
    <w:p>
      <w:pPr>
        <w:pStyle w:val="ListParagraph"/>
        <w:numPr>
          <w:ilvl w:val="0"/>
          <w:numId w:val="2"/>
        </w:numPr>
        <w:spacing w:after="60" w:before="60"/>
      </w:pPr>
      <w:r>
        <w:rPr>
          <w:rFonts w:ascii="Arial" w:cs="Arial" w:eastAsia="Arial" w:hAnsi="Arial"/>
          <w:b/>
          <w:bCs/>
          <w:color w:val="0D1B2A"/>
          <w:sz w:val="22"/>
          <w:szCs w:val="22"/>
        </w:rPr>
        <w:t xml:space="preserve">Damaged Stock: </w:t>
      </w:r>
      <w:r>
        <w:rPr>
          <w:rFonts w:ascii="Arial" w:cs="Arial" w:eastAsia="Arial" w:hAnsi="Arial"/>
          <w:color w:val="212529"/>
          <w:sz w:val="22"/>
          <w:szCs w:val="22"/>
        </w:rPr>
        <w:t xml:space="preserve">£52,900 in damaged inventory — representing 30% of total stock value — is tying up working capital and space in all five warehouses.</w:t>
      </w:r>
    </w:p>
    <w:p>
      <w:pPr>
        <w:pStyle w:val="ListParagraph"/>
        <w:numPr>
          <w:ilvl w:val="0"/>
          <w:numId w:val="2"/>
        </w:numPr>
        <w:spacing w:after="60" w:before="60"/>
      </w:pPr>
      <w:r>
        <w:rPr>
          <w:rFonts w:ascii="Arial" w:cs="Arial" w:eastAsia="Arial" w:hAnsi="Arial"/>
          <w:b/>
          <w:bCs/>
          <w:color w:val="0D1B2A"/>
          <w:sz w:val="22"/>
          <w:szCs w:val="22"/>
        </w:rPr>
        <w:t xml:space="preserve">Warehouse Risk: </w:t>
      </w:r>
      <w:r>
        <w:rPr>
          <w:rFonts w:ascii="Arial" w:cs="Arial" w:eastAsia="Arial" w:hAnsi="Arial"/>
          <w:color w:val="212529"/>
          <w:sz w:val="22"/>
          <w:szCs w:val="22"/>
        </w:rPr>
        <w:t xml:space="preserve">London Central DC and Manchester North Hub have the highest stockout rates at 81% and 75% respectively, suggesting the largest warehouses have the most acute demand-supply mismatches.</w:t>
      </w:r>
    </w:p>
    <w:p>
      <w:pPr>
        <w:pStyle w:val="ListParagraph"/>
        <w:numPr>
          <w:ilvl w:val="0"/>
          <w:numId w:val="2"/>
        </w:numPr>
        <w:spacing w:after="60" w:before="60"/>
      </w:pPr>
      <w:r>
        <w:rPr>
          <w:rFonts w:ascii="Arial" w:cs="Arial" w:eastAsia="Arial" w:hAnsi="Arial"/>
          <w:b/>
          <w:bCs/>
          <w:color w:val="0D1B2A"/>
          <w:sz w:val="22"/>
          <w:szCs w:val="22"/>
        </w:rPr>
        <w:t xml:space="preserve">Category Gaps: </w:t>
      </w:r>
      <w:r>
        <w:rPr>
          <w:rFonts w:ascii="Arial" w:cs="Arial" w:eastAsia="Arial" w:hAnsi="Arial"/>
          <w:color w:val="212529"/>
          <w:sz w:val="22"/>
          <w:szCs w:val="22"/>
        </w:rPr>
        <w:t xml:space="preserve">Industrial products demonstrate the best fill rate at 45%, while Food products are the most critically under-supplied at just 11%.</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2.  Business Context &amp; Problem Statement</w:t>
      </w:r>
    </w:p>
    <w:p>
      <w:pPr>
        <w:spacing w:after="80" w:before="80"/>
        <w:jc w:val="both"/>
      </w:pPr>
      <w:r>
        <w:rPr>
          <w:rFonts w:ascii="Arial" w:cs="Arial" w:eastAsia="Arial" w:hAnsi="Arial"/>
          <w:color w:val="212529"/>
          <w:sz w:val="22"/>
          <w:szCs w:val="22"/>
        </w:rPr>
        <w:t xml:space="preserve">FlowTech Operations Ltd manages a multi-category product portfolio spanning Electronics, Apparel, Food, Industrial, and Pharmaceutical goods distributed through five strategically located UK distribution centres. The business serves retail, wholesale, e-commerce, and enterprise customers across multiple channels.</w:t>
      </w:r>
    </w:p>
    <w:p>
      <w:pPr>
        <w:spacing w:after="0" w:before="80"/>
      </w:pPr>
      <w:r>
        <w:t xml:space="preserve"/>
      </w:r>
    </w:p>
    <w:p>
      <w:pPr>
        <w:spacing w:after="80" w:before="80"/>
        <w:jc w:val="both"/>
      </w:pPr>
      <w:r>
        <w:rPr>
          <w:rFonts w:ascii="Arial" w:cs="Arial" w:eastAsia="Arial" w:hAnsi="Arial"/>
          <w:color w:val="212529"/>
          <w:sz w:val="22"/>
          <w:szCs w:val="22"/>
        </w:rPr>
        <w:t xml:space="preserve">Over the analysis period, the business has experienced deteriorating stock availability driven by a combination of demand growth, insufficient replenishment frequency, and increasing supply chain unreliability. The consequences are visible at every level of the operation: lost sales, declining customer satisfaction, ballooning backorder queues, and excess capital tied up in the wrong products.</w:t>
      </w:r>
    </w:p>
    <w:p>
      <w:pPr>
        <w:spacing w:after="0" w:before="80"/>
      </w:pPr>
      <w:r>
        <w:t xml:space="preserve"/>
      </w:r>
    </w:p>
    <w:p>
      <w:pPr>
        <w:spacing w:after="80" w:before="80"/>
        <w:jc w:val="both"/>
      </w:pPr>
      <w:r>
        <w:rPr>
          <w:rFonts w:ascii="Arial" w:cs="Arial" w:eastAsia="Arial" w:hAnsi="Arial"/>
          <w:color w:val="212529"/>
          <w:sz w:val="22"/>
          <w:szCs w:val="22"/>
        </w:rPr>
        <w:t xml:space="preserve">This analysis was commissioned to answer five fundamental business questions:</w:t>
      </w:r>
    </w:p>
    <w:p>
      <w:pPr>
        <w:spacing w:after="0" w:before="60"/>
      </w:pPr>
      <w:r>
        <w:t xml:space="preserve"/>
      </w:r>
    </w:p>
    <w:p>
      <w:pPr>
        <w:pStyle w:val="ListParagraph"/>
        <w:numPr>
          <w:ilvl w:val="0"/>
          <w:numId w:val="2"/>
        </w:numPr>
        <w:spacing w:after="60" w:before="60"/>
      </w:pPr>
      <w:r>
        <w:rPr>
          <w:rFonts w:ascii="Arial" w:cs="Arial" w:eastAsia="Arial" w:hAnsi="Arial"/>
          <w:color w:val="212529"/>
          <w:sz w:val="22"/>
          <w:szCs w:val="22"/>
        </w:rPr>
        <w:t xml:space="preserve">Where are the critical stock availability failures occurring and what is driving them?</w:t>
      </w:r>
    </w:p>
    <w:p>
      <w:pPr>
        <w:pStyle w:val="ListParagraph"/>
        <w:numPr>
          <w:ilvl w:val="0"/>
          <w:numId w:val="2"/>
        </w:numPr>
        <w:spacing w:after="60" w:before="60"/>
      </w:pPr>
      <w:r>
        <w:rPr>
          <w:rFonts w:ascii="Arial" w:cs="Arial" w:eastAsia="Arial" w:hAnsi="Arial"/>
          <w:color w:val="212529"/>
          <w:sz w:val="22"/>
          <w:szCs w:val="22"/>
        </w:rPr>
        <w:t xml:space="preserve">Which suppliers are creating the most supply chain risk and how should relationships be managed?</w:t>
      </w:r>
    </w:p>
    <w:p>
      <w:pPr>
        <w:pStyle w:val="ListParagraph"/>
        <w:numPr>
          <w:ilvl w:val="0"/>
          <w:numId w:val="2"/>
        </w:numPr>
        <w:spacing w:after="60" w:before="60"/>
      </w:pPr>
      <w:r>
        <w:rPr>
          <w:rFonts w:ascii="Arial" w:cs="Arial" w:eastAsia="Arial" w:hAnsi="Arial"/>
          <w:color w:val="212529"/>
          <w:sz w:val="22"/>
          <w:szCs w:val="22"/>
        </w:rPr>
        <w:t xml:space="preserve">How effectively is each warehouse converting inventory investment into revenue performance?</w:t>
      </w:r>
    </w:p>
    <w:p>
      <w:pPr>
        <w:pStyle w:val="ListParagraph"/>
        <w:numPr>
          <w:ilvl w:val="0"/>
          <w:numId w:val="2"/>
        </w:numPr>
        <w:spacing w:after="60" w:before="60"/>
      </w:pPr>
      <w:r>
        <w:rPr>
          <w:rFonts w:ascii="Arial" w:cs="Arial" w:eastAsia="Arial" w:hAnsi="Arial"/>
          <w:color w:val="212529"/>
          <w:sz w:val="22"/>
          <w:szCs w:val="22"/>
        </w:rPr>
        <w:t xml:space="preserve">Which products should be prioritised for immediate replenishment action?</w:t>
      </w:r>
    </w:p>
    <w:p>
      <w:pPr>
        <w:pStyle w:val="ListParagraph"/>
        <w:numPr>
          <w:ilvl w:val="0"/>
          <w:numId w:val="2"/>
        </w:numPr>
        <w:spacing w:after="60" w:before="60"/>
      </w:pPr>
      <w:r>
        <w:rPr>
          <w:rFonts w:ascii="Arial" w:cs="Arial" w:eastAsia="Arial" w:hAnsi="Arial"/>
          <w:color w:val="212529"/>
          <w:sz w:val="22"/>
          <w:szCs w:val="22"/>
        </w:rPr>
        <w:t xml:space="preserve">What structural changes to replenishment policy, supplier strategy, and inventory positioning are required to restore competitive service levels?</w:t>
      </w:r>
    </w:p>
    <w:p>
      <w:pPr>
        <w:spacing w:after="0" w:before="160"/>
      </w:pPr>
      <w:r>
        <w:t xml:space="preserve"/>
      </w:r>
    </w:p>
    <w:p>
      <w:pPr>
        <w:pStyle w:val="Heading2"/>
        <w:spacing w:after="120" w:before="280"/>
      </w:pPr>
      <w:r>
        <w:rPr>
          <w:rFonts w:ascii="Arial" w:cs="Arial" w:eastAsia="Arial" w:hAnsi="Arial"/>
          <w:b/>
          <w:bCs/>
          <w:color w:val="1565C0"/>
          <w:sz w:val="26"/>
          <w:szCs w:val="26"/>
        </w:rPr>
        <w:t xml:space="preserve">The Cost of Inaction</w:t>
      </w:r>
    </w:p>
    <w:p>
      <w:pPr>
        <w:spacing w:after="80" w:before="80"/>
        <w:jc w:val="both"/>
      </w:pPr>
      <w:r>
        <w:rPr>
          <w:rFonts w:ascii="Arial" w:cs="Arial" w:eastAsia="Arial" w:hAnsi="Arial"/>
          <w:color w:val="212529"/>
          <w:sz w:val="22"/>
          <w:szCs w:val="22"/>
        </w:rPr>
        <w:t xml:space="preserve">Operating at a 21% fill rate means the business is currently capable of serving just over one-fifth of total demand. The remaining 79% of demand results in backorders, lost sales, or customer churn. Based on the revenue achieved from fulfilled orders, the addressable revenue gap is substantial. If fill rate were restored to an industry-standard 95%, the same demand base would generate revenues approximately four times higher than current levels — without acquiring a single new customer.</w:t>
      </w:r>
    </w:p>
    <w:p>
      <w:pPr>
        <w:spacing w:after="0" w:before="80"/>
      </w:pPr>
      <w:r>
        <w:t xml:space="preserve"/>
      </w:r>
    </w:p>
    <w:p>
      <w:pPr>
        <w:spacing w:after="80" w:before="80"/>
        <w:jc w:val="both"/>
      </w:pPr>
      <w:r>
        <w:rPr>
          <w:rFonts w:ascii="Arial" w:cs="Arial" w:eastAsia="Arial" w:hAnsi="Arial"/>
          <w:color w:val="212529"/>
          <w:sz w:val="22"/>
          <w:szCs w:val="22"/>
        </w:rPr>
        <w:t xml:space="preserve">Every week of delay in addressing the supply chain failures described in this report represents continued lost revenue, continued erosion of customer relationships, and continued inefficient use of the £175,000 currently invested in inventory.</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3.  Inventory Performance Analysis</w:t>
      </w:r>
    </w:p>
    <w:p>
      <w:pPr>
        <w:pStyle w:val="Heading2"/>
        <w:spacing w:after="120" w:before="280"/>
      </w:pPr>
      <w:r>
        <w:rPr>
          <w:rFonts w:ascii="Arial" w:cs="Arial" w:eastAsia="Arial" w:hAnsi="Arial"/>
          <w:b/>
          <w:bCs/>
          <w:color w:val="1565C0"/>
          <w:sz w:val="26"/>
          <w:szCs w:val="26"/>
        </w:rPr>
        <w:t xml:space="preserve">3.1  Stock Availability &amp; Fill Rate</w:t>
      </w:r>
    </w:p>
    <w:p>
      <w:pPr>
        <w:spacing w:after="80" w:before="80"/>
        <w:jc w:val="both"/>
      </w:pPr>
      <w:r>
        <w:rPr>
          <w:rFonts w:ascii="Arial" w:cs="Arial" w:eastAsia="Arial" w:hAnsi="Arial"/>
          <w:color w:val="212529"/>
          <w:sz w:val="22"/>
          <w:szCs w:val="22"/>
        </w:rPr>
        <w:t xml:space="preserve">Fill rate measures the proportion of demanded units that are successfully fulfilled from available stock. A fill rate below 95% is generally considered unacceptable in competitive distribution environments. FlowTech's current fill rate of 21% places the business well below any reasonable benchmark.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500"/>
        <w:gridCol w:w="1700"/>
        <w:gridCol w:w="20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Fill Rate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Backorder Rate</w:t>
            </w:r>
          </w:p>
        </w:tc>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(18M)</w:t>
            </w:r>
          </w:p>
        </w:tc>
        <w:tc>
          <w:tcPr>
            <w:tcW w:type="dxa" w:w="2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Industrial</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45%</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54%</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£12,161</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Below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Apparel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78%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£19,333</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Food</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11%</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90%</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£12,394</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Electronics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82%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£7,132</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Pharma</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19%</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84%</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£7,025</w:t>
            </w:r>
          </w:p>
        </w:tc>
        <w:tc>
          <w:tcPr>
            <w:tcW w:type="dxa" w:w="2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bl>
    <w:p>
      <w:pPr>
        <w:spacing w:after="0" w:before="160"/>
      </w:pPr>
      <w:r>
        <w:t xml:space="preserve"/>
      </w:r>
    </w:p>
    <w:p>
      <w:pPr>
        <w:pStyle w:val="Heading2"/>
        <w:spacing w:after="120" w:before="280"/>
      </w:pPr>
      <w:r>
        <w:rPr>
          <w:rFonts w:ascii="Arial" w:cs="Arial" w:eastAsia="Arial" w:hAnsi="Arial"/>
          <w:b/>
          <w:bCs/>
          <w:color w:val="1565C0"/>
          <w:sz w:val="26"/>
          <w:szCs w:val="26"/>
        </w:rPr>
        <w:t xml:space="preserve">3.2  ABC Inventory Classification</w:t>
      </w:r>
    </w:p>
    <w:p>
      <w:pPr>
        <w:spacing w:after="80" w:before="80"/>
        <w:jc w:val="both"/>
      </w:pPr>
      <w:r>
        <w:rPr>
          <w:rFonts w:ascii="Arial" w:cs="Arial" w:eastAsia="Arial" w:hAnsi="Arial"/>
          <w:color w:val="212529"/>
          <w:sz w:val="22"/>
          <w:szCs w:val="22"/>
        </w:rPr>
        <w:t xml:space="preserve">ABC classification segments the product portfolio by revenue contribution, enabling the business to prioritise stocking decisions. The 80/15/5 rule applies: Class A products drive 80% of revenue but typically represent only 20% of SKUs; Class C products account for just 5% of revenue but may consume significant warehouse space and management attention.</w:t>
      </w:r>
    </w:p>
    <w:p>
      <w:pPr>
        <w:spacing w:after="0" w:before="80"/>
      </w:pPr>
      <w:r>
        <w:t xml:space="preserve"/>
      </w:r>
    </w:p>
    <w:p>
      <w:pPr>
        <w:spacing w:after="80" w:before="80"/>
        <w:jc w:val="both"/>
      </w:pPr>
      <w:r>
        <w:rPr>
          <w:rFonts w:ascii="Arial" w:cs="Arial" w:eastAsia="Arial" w:hAnsi="Arial"/>
          <w:color w:val="212529"/>
          <w:sz w:val="22"/>
          <w:szCs w:val="22"/>
        </w:rPr>
        <w:t xml:space="preserve">The analysis reveals a long tail of slow-moving and obsolete inventory. Products in the dead-stock category (PRD-049 through PRD-060) show minimal or zero demand activity despite holding positive inventory balances. These items are consuming warehouse capacity, generating holding costs of approximately 25% of inventory value per year, and diverting purchasing team attention away from high-value replenishment.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ABC Class</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SKU Count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Share</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Priority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A — High Value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12 SKUs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80%</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Prioritise availability — never allow stockout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B — Medium Value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18 SKUs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Maintain adequate cover — monthly review</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C — Low Value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30 SKUs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5%</w:t>
            </w:r>
          </w:p>
        </w:tc>
        <w:tc>
          <w:tcPr>
            <w:tcW w:type="dxa" w:w="3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Reduce holding — liquidate dead stock</w:t>
            </w:r>
          </w:p>
        </w:tc>
      </w:tr>
    </w:tbl>
    <w:p>
      <w:pPr>
        <w:spacing w:after="0" w:before="160"/>
      </w:pPr>
      <w:r>
        <w:t xml:space="preserve"/>
      </w:r>
    </w:p>
    <w:p>
      <w:pPr>
        <w:pStyle w:val="Heading2"/>
        <w:spacing w:after="120" w:before="280"/>
      </w:pPr>
      <w:r>
        <w:rPr>
          <w:rFonts w:ascii="Arial" w:cs="Arial" w:eastAsia="Arial" w:hAnsi="Arial"/>
          <w:b/>
          <w:bCs/>
          <w:color w:val="1565C0"/>
          <w:sz w:val="26"/>
          <w:szCs w:val="26"/>
        </w:rPr>
        <w:t xml:space="preserve">3.3  Overstock &amp; Capital Lock-Up</w:t>
      </w:r>
    </w:p>
    <w:p>
      <w:pPr>
        <w:spacing w:after="80" w:before="80"/>
        <w:jc w:val="both"/>
      </w:pPr>
      <w:r>
        <w:rPr>
          <w:rFonts w:ascii="Arial" w:cs="Arial" w:eastAsia="Arial" w:hAnsi="Arial"/>
          <w:color w:val="212529"/>
          <w:sz w:val="22"/>
          <w:szCs w:val="22"/>
        </w:rPr>
        <w:t xml:space="preserve">While availability failures dominate the headline metrics, the portfolio also contains items with excessive inventory cover. Products classified as dead stock or obsolete are consuming warehouse space and incurring holding costs without generating return. The estimated annual holding cost on non-performing inventory is £43,900 (25% of the £175,600 total inventory value).</w:t>
      </w:r>
    </w:p>
    <w:p>
      <w:pPr>
        <w:spacing w:after="0" w:before="80"/>
      </w:pPr>
      <w:r>
        <w:t xml:space="preserve"/>
      </w:r>
    </w:p>
    <w:p>
      <w:pPr>
        <w:spacing w:after="80" w:before="80"/>
        <w:jc w:val="both"/>
      </w:pPr>
      <w:r>
        <w:rPr>
          <w:rFonts w:ascii="Arial" w:cs="Arial" w:eastAsia="Arial" w:hAnsi="Arial"/>
          <w:color w:val="212529"/>
          <w:sz w:val="22"/>
          <w:szCs w:val="22"/>
        </w:rPr>
        <w:t xml:space="preserve">The most capital-intensive overstocked categories are Industrial (where slow-moving safety equipment accumulates) and Apparel (where seasonal winter lines were not cleared following the prior winter season). A targeted clearance programme for these lines would free capital for reinvestment in high-demand, high-margin products.</w:t>
      </w:r>
    </w:p>
    <w:p>
      <w:pPr>
        <w:spacing w:after="0" w:before="160"/>
      </w:pPr>
      <w:r>
        <w:t xml:space="preserve"/>
      </w:r>
    </w:p>
    <w:p>
      <w:pPr>
        <w:pStyle w:val="Heading2"/>
        <w:spacing w:after="120" w:before="280"/>
      </w:pPr>
      <w:r>
        <w:rPr>
          <w:rFonts w:ascii="Arial" w:cs="Arial" w:eastAsia="Arial" w:hAnsi="Arial"/>
          <w:b/>
          <w:bCs/>
          <w:color w:val="1565C0"/>
          <w:sz w:val="26"/>
          <w:szCs w:val="26"/>
        </w:rPr>
        <w:t xml:space="preserve">3.4  Damaged &amp; Impaired Inventory</w:t>
      </w:r>
    </w:p>
    <w:p>
      <w:pPr>
        <w:spacing w:after="80" w:before="80"/>
        <w:jc w:val="both"/>
      </w:pPr>
      <w:r>
        <w:rPr>
          <w:rFonts w:ascii="Arial" w:cs="Arial" w:eastAsia="Arial" w:hAnsi="Arial"/>
          <w:color w:val="212529"/>
          <w:sz w:val="22"/>
          <w:szCs w:val="22"/>
        </w:rPr>
        <w:t xml:space="preserve">Damaged stock represents one of the most concerning findings in this analysis. At £52,900, damaged inventory accounts for 30.1% of total stock value across all five warehouses — a figure that is three to five times higher than industry benchmarks of 5-8%.</w:t>
      </w:r>
    </w:p>
    <w:p>
      <w:pPr>
        <w:spacing w:after="0" w:before="80"/>
      </w:pPr>
      <w:r>
        <w:t xml:space="preserve"/>
      </w:r>
    </w:p>
    <w:p>
      <w:pPr>
        <w:spacing w:after="80" w:before="80"/>
        <w:jc w:val="both"/>
      </w:pPr>
      <w:r>
        <w:rPr>
          <w:rFonts w:ascii="Arial" w:cs="Arial" w:eastAsia="Arial" w:hAnsi="Arial"/>
          <w:color w:val="212529"/>
          <w:sz w:val="22"/>
          <w:szCs w:val="22"/>
        </w:rPr>
        <w:t xml:space="preserve">The damaged stock issue appears systemic rather than isolated. All warehouses carry material levels of damaged goods, suggesting a shared root cause rather than a warehouse-specific handling problem. The most likely contributing factors are inadequate inbound inspection processes, poor packaging standards from certain suppliers, and insufficient segregation of damaged goods from sellable inventory.</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4.  Supplier Performance Assessment</w:t>
      </w:r>
    </w:p>
    <w:p>
      <w:pPr>
        <w:spacing w:after="80" w:before="80"/>
        <w:jc w:val="both"/>
      </w:pPr>
      <w:r>
        <w:rPr>
          <w:rFonts w:ascii="Arial" w:cs="Arial" w:eastAsia="Arial" w:hAnsi="Arial"/>
          <w:color w:val="212529"/>
          <w:sz w:val="22"/>
          <w:szCs w:val="22"/>
        </w:rPr>
        <w:t xml:space="preserve">Supplier reliability is the upstream foundation of inventory availability. When suppliers deliver late, deliver short, or deliver inconsistently, the downstream consequences include stockouts, backorders, and elevated safety stock requirements. This analysis evaluates all eight active suppliers across three key dimensions: on-time delivery, order fill rate, and lead time consistency.</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4.1  On-Time Delivery Performance</w:t>
      </w:r>
    </w:p>
    <w:p>
      <w:pPr>
        <w:spacing w:after="80" w:before="80"/>
        <w:jc w:val="both"/>
      </w:pPr>
      <w:r>
        <w:rPr>
          <w:rFonts w:ascii="Arial" w:cs="Arial" w:eastAsia="Arial" w:hAnsi="Arial"/>
          <w:color w:val="212529"/>
          <w:sz w:val="22"/>
          <w:szCs w:val="22"/>
        </w:rPr>
        <w:t xml:space="preserve">On-time delivery measures the percentage of purchase orders received by or before the originally agreed date. An industry benchmark of 85-95% is standard for preferred suppliers.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1400"/>
        <w:gridCol w:w="800"/>
        <w:gridCol w:w="12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Supplier</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OTD %</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Fill Rate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Delay (Days)</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 %</w:t>
            </w:r>
          </w:p>
        </w:tc>
        <w:tc>
          <w:tcPr>
            <w:tcW w:type="dxa" w:w="1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Pacific Rim Distributors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66%</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95.6%</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-0.3</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26%</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Good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TechSource Global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95.8%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-0.3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29%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Good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EuroSupply Co</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64%</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94.0%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-0.6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30%</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Good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GlobalFit Wholesale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94.4%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-0.5</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29%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Monitor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MedPharma Direct</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60%</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93.4%</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-0.2</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28%</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Monitor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Apex Industrial Supply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93.2%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27%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Monitor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FastTrack Logistics</w:t>
            </w:r>
          </w:p>
        </w:tc>
        <w:tc>
          <w:tcPr>
            <w:tcW w:type="dxa" w:w="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7%</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95.0%</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+6.7</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66%</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QuickShip Partners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95.5%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+14.8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83%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bl>
    <w:p>
      <w:pPr>
        <w:spacing w:after="0" w:before="160"/>
      </w:pPr>
      <w:r>
        <w:t xml:space="preserve"/>
      </w:r>
    </w:p>
    <w:p>
      <w:pPr>
        <w:pStyle w:val="Heading2"/>
        <w:spacing w:after="120" w:before="280"/>
      </w:pPr>
      <w:r>
        <w:rPr>
          <w:rFonts w:ascii="Arial" w:cs="Arial" w:eastAsia="Arial" w:hAnsi="Arial"/>
          <w:b/>
          <w:bCs/>
          <w:color w:val="1565C0"/>
          <w:sz w:val="26"/>
          <w:szCs w:val="26"/>
        </w:rPr>
        <w:t xml:space="preserve">4.2  High-Risk Suppliers: Immediate Action Required</w:t>
      </w:r>
    </w:p>
    <w:p>
      <w:pPr>
        <w:spacing w:after="80" w:before="200"/>
      </w:pPr>
      <w:r>
        <w:rPr>
          <w:rFonts w:ascii="Arial" w:cs="Arial" w:eastAsia="Arial" w:hAnsi="Arial"/>
          <w:b/>
          <w:bCs/>
          <w:color w:val="00838F"/>
          <w:sz w:val="22"/>
          <w:szCs w:val="22"/>
        </w:rPr>
        <w:t xml:space="preserve">QuickShip Partners — On-Time Delivery: 8%</w:t>
      </w:r>
    </w:p>
    <w:p>
      <w:pPr>
        <w:spacing w:after="80" w:before="80"/>
        <w:jc w:val="both"/>
      </w:pPr>
      <w:r>
        <w:rPr>
          <w:rFonts w:ascii="Arial" w:cs="Arial" w:eastAsia="Arial" w:hAnsi="Arial"/>
          <w:color w:val="212529"/>
          <w:sz w:val="22"/>
          <w:szCs w:val="22"/>
        </w:rPr>
        <w:t xml:space="preserve">QuickShip Partners represents the highest operational risk of any supplier in the portfolio. Their lead time coefficient of variation (CV) of 83% indicates that actual delivery times are wildly unpredictable — sometimes arriving within days, other times taking nearly three weeks longer than agreed. An on-time delivery rate of 8% means that 92 out of every 100 orders arrive late.</w:t>
      </w:r>
    </w:p>
    <w:p>
      <w:pPr>
        <w:spacing w:after="0" w:before="60"/>
      </w:pPr>
      <w:r>
        <w:t xml:space="preserve"/>
      </w:r>
    </w:p>
    <w:p>
      <w:pPr>
        <w:spacing w:after="80" w:before="80"/>
        <w:jc w:val="both"/>
      </w:pPr>
      <w:r>
        <w:rPr>
          <w:rFonts w:ascii="Arial" w:cs="Arial" w:eastAsia="Arial" w:hAnsi="Arial"/>
          <w:color w:val="212529"/>
          <w:sz w:val="22"/>
          <w:szCs w:val="22"/>
        </w:rPr>
        <w:t xml:space="preserve">Despite their poor delivery reliability, QuickShip maintains an order fill rate of 95.5%, suggesting the problem is entirely about timing rather than capacity. Their average delay of 14.8 days effectively doubles the lead time that FlowTech must plan around, forcing higher safety stock requirements and reducing responsiveness.</w:t>
      </w:r>
    </w:p>
    <w:p>
      <w:pPr>
        <w:spacing w:after="0" w:before="80"/>
      </w:pPr>
      <w:r>
        <w:t xml:space="preserve"/>
      </w:r>
    </w:p>
    <w:p>
      <w:pPr>
        <w:spacing w:after="80" w:before="200"/>
      </w:pPr>
      <w:r>
        <w:rPr>
          <w:rFonts w:ascii="Arial" w:cs="Arial" w:eastAsia="Arial" w:hAnsi="Arial"/>
          <w:b/>
          <w:bCs/>
          <w:color w:val="00838F"/>
          <w:sz w:val="22"/>
          <w:szCs w:val="22"/>
        </w:rPr>
        <w:t xml:space="preserve">FastTrack Logistics — On-Time Delivery: 7%</w:t>
      </w:r>
    </w:p>
    <w:p>
      <w:pPr>
        <w:spacing w:after="80" w:before="80"/>
        <w:jc w:val="both"/>
      </w:pPr>
      <w:r>
        <w:rPr>
          <w:rFonts w:ascii="Arial" w:cs="Arial" w:eastAsia="Arial" w:hAnsi="Arial"/>
          <w:color w:val="212529"/>
          <w:sz w:val="22"/>
          <w:szCs w:val="22"/>
        </w:rPr>
        <w:t xml:space="preserve">FastTrack Logistics performs similarly poorly on delivery timing, with only 7% of orders arriving on time and an average delay of 6.7 days. Their CV of 66% indicates high unpredictability. Given their name implies speed, the reality is particularly damaging to planning assumptions. FastTrack is a supplier where the contractual lead time is operationally meaningless.</w:t>
      </w:r>
    </w:p>
    <w:p>
      <w:pPr>
        <w:spacing w:after="0" w:before="80"/>
      </w:pPr>
      <w:r>
        <w:t xml:space="preserve"/>
      </w:r>
    </w:p>
    <w:p>
      <w:pPr>
        <w:pStyle w:val="Heading2"/>
        <w:spacing w:after="120" w:before="280"/>
      </w:pPr>
      <w:r>
        <w:rPr>
          <w:rFonts w:ascii="Arial" w:cs="Arial" w:eastAsia="Arial" w:hAnsi="Arial"/>
          <w:b/>
          <w:bCs/>
          <w:color w:val="1565C0"/>
          <w:sz w:val="26"/>
          <w:szCs w:val="26"/>
        </w:rPr>
        <w:t xml:space="preserve">4.3  Lead Time Variability Impact</w:t>
      </w:r>
    </w:p>
    <w:p>
      <w:pPr>
        <w:spacing w:after="80" w:before="80"/>
        <w:jc w:val="both"/>
      </w:pPr>
      <w:r>
        <w:rPr>
          <w:rFonts w:ascii="Arial" w:cs="Arial" w:eastAsia="Arial" w:hAnsi="Arial"/>
          <w:color w:val="212529"/>
          <w:sz w:val="22"/>
          <w:szCs w:val="22"/>
        </w:rPr>
        <w:t xml:space="preserve">Even suppliers with acceptable on-time delivery percentages may create planning challenges if their lead times are inconsistent. High lead time variability forces the business to hold significantly more safety stock to protect against worst-case scenarios, increasing inventory holding costs without necessarily improving availability.</w:t>
      </w:r>
    </w:p>
    <w:p>
      <w:pPr>
        <w:spacing w:after="0" w:before="80"/>
      </w:pPr>
      <w:r>
        <w:t xml:space="preserve"/>
      </w:r>
    </w:p>
    <w:p>
      <w:pPr>
        <w:spacing w:after="80" w:before="80"/>
        <w:jc w:val="both"/>
      </w:pPr>
      <w:r>
        <w:rPr>
          <w:rFonts w:ascii="Arial" w:cs="Arial" w:eastAsia="Arial" w:hAnsi="Arial"/>
          <w:color w:val="212529"/>
          <w:sz w:val="22"/>
          <w:szCs w:val="22"/>
        </w:rPr>
        <w:t xml:space="preserve">A coefficient of variation above 30% signals a supplier where lead time uncertainty is materially affecting safety stock calculations. All eight suppliers are above this threshold to varying degrees, suggesting that lead time reliability is a portfolio-wide challenge requiring structural attention.</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5.  Warehouse Performance Analysis</w:t>
      </w:r>
    </w:p>
    <w:p>
      <w:pPr>
        <w:spacing w:after="80" w:before="80"/>
        <w:jc w:val="both"/>
      </w:pPr>
      <w:r>
        <w:rPr>
          <w:rFonts w:ascii="Arial" w:cs="Arial" w:eastAsia="Arial" w:hAnsi="Arial"/>
          <w:color w:val="212529"/>
          <w:sz w:val="22"/>
          <w:szCs w:val="22"/>
        </w:rPr>
        <w:t xml:space="preserve">FlowTech operates five UK distribution centres across London, Manchester, Birmingham, Glasgow, and Bristol. While each warehouse serves a distinct geographic market, their relative performance reveals important differences in operational efficiency, demand management, and inventory utilisation.</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5.1  Stockout Rates by Location</w:t>
      </w:r>
    </w:p>
    <w:p>
      <w:pPr>
        <w:spacing w:after="80" w:before="80"/>
        <w:jc w:val="both"/>
      </w:pPr>
      <w:r>
        <w:rPr>
          <w:rFonts w:ascii="Arial" w:cs="Arial" w:eastAsia="Arial" w:hAnsi="Arial"/>
          <w:color w:val="212529"/>
          <w:sz w:val="22"/>
          <w:szCs w:val="22"/>
        </w:rPr>
        <w:t xml:space="preserve">London Central DC records the highest stockout rate in the network at 81% of trading weeks — meaning for four out of every five weeks, at least one stockout event occurs. Manchester North Hub follows at 75%. These are the two largest warehouses in the network, serving the highest-demand regions, which makes their supply failures particularly damaging.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00"/>
        <w:gridCol w:w="2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Warehouse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Stockout Rate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Revenue (18M)</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Capacity</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London Central DC</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81%</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Highest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25,000 m³</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Manchester North Hub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18,000 m³</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Critical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Birmingham Midlands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72%</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Medium</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15,000 m³</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High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Bristol Southwest DC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69%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Medium-Low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12,000 m³</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 Elevated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Glasgow Scotland WH</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68%</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Lowest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10,000 m³</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 Elevated</w:t>
            </w:r>
          </w:p>
        </w:tc>
      </w:tr>
    </w:tbl>
    <w:p>
      <w:pPr>
        <w:spacing w:after="0" w:before="160"/>
      </w:pPr>
      <w:r>
        <w:t xml:space="preserve"/>
      </w:r>
    </w:p>
    <w:p>
      <w:pPr>
        <w:pStyle w:val="Heading2"/>
        <w:spacing w:after="120" w:before="280"/>
      </w:pPr>
      <w:r>
        <w:rPr>
          <w:rFonts w:ascii="Arial" w:cs="Arial" w:eastAsia="Arial" w:hAnsi="Arial"/>
          <w:b/>
          <w:bCs/>
          <w:color w:val="1565C0"/>
          <w:sz w:val="26"/>
          <w:szCs w:val="26"/>
        </w:rPr>
        <w:t xml:space="preserve">5.2  Operational Efficiency</w:t>
      </w:r>
    </w:p>
    <w:p>
      <w:pPr>
        <w:spacing w:after="80" w:before="80"/>
        <w:jc w:val="both"/>
      </w:pPr>
      <w:r>
        <w:rPr>
          <w:rFonts w:ascii="Arial" w:cs="Arial" w:eastAsia="Arial" w:hAnsi="Arial"/>
          <w:color w:val="212529"/>
          <w:sz w:val="22"/>
          <w:szCs w:val="22"/>
        </w:rPr>
        <w:t xml:space="preserve">Warehouse efficiency can be measured by the revenue generated per pound of operational cost. London Central DC, despite its high stockout rate, generates the most absolute revenue due to the size and density of its catchment area. However, Glasgow Scotland WH and Bristol Southwest DC demonstrate more balanced stockout-to-demand ratios, potentially reflecting better-matched inventory positioning in lower-complexity markets.</w:t>
      </w:r>
    </w:p>
    <w:p>
      <w:pPr>
        <w:spacing w:after="0" w:before="80"/>
      </w:pPr>
      <w:r>
        <w:t xml:space="preserve"/>
      </w:r>
    </w:p>
    <w:p>
      <w:pPr>
        <w:spacing w:after="80" w:before="80"/>
        <w:jc w:val="both"/>
      </w:pPr>
      <w:r>
        <w:rPr>
          <w:rFonts w:ascii="Arial" w:cs="Arial" w:eastAsia="Arial" w:hAnsi="Arial"/>
          <w:color w:val="212529"/>
          <w:sz w:val="22"/>
          <w:szCs w:val="22"/>
        </w:rPr>
        <w:t xml:space="preserve">There is no evidence of over-utilisation driving stockouts — the issue is not that warehouses are physically out of space, but rather that the wrong products are being stocked in the wrong quantities. Rebalancing the inventory mix through demand-signal driven replenishment would significantly improve availability without requiring capacity investment.</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6.  Demand Behaviour &amp; Seasonal Patterns</w:t>
      </w:r>
    </w:p>
    <w:p>
      <w:pPr>
        <w:spacing w:after="80" w:before="80"/>
        <w:jc w:val="both"/>
      </w:pPr>
      <w:r>
        <w:rPr>
          <w:rFonts w:ascii="Arial" w:cs="Arial" w:eastAsia="Arial" w:hAnsi="Arial"/>
          <w:color w:val="212529"/>
          <w:sz w:val="22"/>
          <w:szCs w:val="22"/>
        </w:rPr>
        <w:t xml:space="preserve">Understanding demand patterns is foundational to effective inventory management. Products that show predictable seasonality can be planned for in advance. Products that show high demand variability or unexpected spikes require different safety stock policies. Products whose demand has declined or ceased require active de-stocking.</w:t>
      </w:r>
    </w:p>
    <w:p>
      <w:pPr>
        <w:spacing w:after="0" w:before="80"/>
      </w:pPr>
      <w:r>
        <w:t xml:space="preserve"/>
      </w:r>
    </w:p>
    <w:p>
      <w:pPr>
        <w:pStyle w:val="Heading2"/>
        <w:spacing w:after="120" w:before="280"/>
      </w:pPr>
      <w:r>
        <w:rPr>
          <w:rFonts w:ascii="Arial" w:cs="Arial" w:eastAsia="Arial" w:hAnsi="Arial"/>
          <w:b/>
          <w:bCs/>
          <w:color w:val="1565C0"/>
          <w:sz w:val="26"/>
          <w:szCs w:val="26"/>
        </w:rPr>
        <w:t xml:space="preserve">6.1  Seasonal Category Patterns</w:t>
      </w:r>
    </w:p>
    <w:p>
      <w:pPr>
        <w:spacing w:after="80" w:before="80"/>
        <w:jc w:val="both"/>
      </w:pPr>
      <w:r>
        <w:rPr>
          <w:rFonts w:ascii="Arial" w:cs="Arial" w:eastAsia="Arial" w:hAnsi="Arial"/>
          <w:color w:val="212529"/>
          <w:sz w:val="22"/>
          <w:szCs w:val="22"/>
        </w:rPr>
        <w:t xml:space="preserve">The demand analysis confirms expected seasonal behaviour across categories, though the severity of seasonal peaks is notable and is contributing to stockout events when replenishment planning fails to anticipate them.</w:t>
      </w:r>
    </w:p>
    <w:p>
      <w:pPr>
        <w:spacing w:after="0" w:before="60"/>
      </w:pPr>
      <w:r>
        <w:t xml:space="preserve"/>
      </w:r>
    </w:p>
    <w:p>
      <w:pPr>
        <w:pStyle w:val="ListParagraph"/>
        <w:numPr>
          <w:ilvl w:val="0"/>
          <w:numId w:val="2"/>
        </w:numPr>
        <w:spacing w:after="60" w:before="60"/>
      </w:pPr>
      <w:r>
        <w:rPr>
          <w:rFonts w:ascii="Arial" w:cs="Arial" w:eastAsia="Arial" w:hAnsi="Arial"/>
          <w:b/>
          <w:bCs/>
          <w:color w:val="0D1B2A"/>
          <w:sz w:val="22"/>
          <w:szCs w:val="22"/>
        </w:rPr>
        <w:t xml:space="preserve">Electronics (Nov–Dec Peak): </w:t>
      </w:r>
      <w:r>
        <w:rPr>
          <w:rFonts w:ascii="Arial" w:cs="Arial" w:eastAsia="Arial" w:hAnsi="Arial"/>
          <w:color w:val="212529"/>
          <w:sz w:val="22"/>
          <w:szCs w:val="22"/>
        </w:rPr>
        <w:t xml:space="preserve">Electronics demand spikes 40-120% above baseline in November and December, driven by gift purchasing. Replenishment must begin in September to ensure adequate cover through peak trading.</w:t>
      </w:r>
    </w:p>
    <w:p>
      <w:pPr>
        <w:pStyle w:val="ListParagraph"/>
        <w:numPr>
          <w:ilvl w:val="0"/>
          <w:numId w:val="2"/>
        </w:numPr>
        <w:spacing w:after="60" w:before="60"/>
      </w:pPr>
      <w:r>
        <w:rPr>
          <w:rFonts w:ascii="Arial" w:cs="Arial" w:eastAsia="Arial" w:hAnsi="Arial"/>
          <w:b/>
          <w:bCs/>
          <w:color w:val="0D1B2A"/>
          <w:sz w:val="22"/>
          <w:szCs w:val="22"/>
        </w:rPr>
        <w:t xml:space="preserve">Apparel (Spring &amp; Autumn Peaks): </w:t>
      </w:r>
      <w:r>
        <w:rPr>
          <w:rFonts w:ascii="Arial" w:cs="Arial" w:eastAsia="Arial" w:hAnsi="Arial"/>
          <w:color w:val="212529"/>
          <w:sz w:val="22"/>
          <w:szCs w:val="22"/>
        </w:rPr>
        <w:t xml:space="preserve">Apparel sees elevated demand in March-April (spring transition) and September-October (autumn transition). Winter outerwear lines require careful planning to avoid both stockouts in season and overstock at season end.</w:t>
      </w:r>
    </w:p>
    <w:p>
      <w:pPr>
        <w:pStyle w:val="ListParagraph"/>
        <w:numPr>
          <w:ilvl w:val="0"/>
          <w:numId w:val="2"/>
        </w:numPr>
        <w:spacing w:after="60" w:before="60"/>
      </w:pPr>
      <w:r>
        <w:rPr>
          <w:rFonts w:ascii="Arial" w:cs="Arial" w:eastAsia="Arial" w:hAnsi="Arial"/>
          <w:b/>
          <w:bCs/>
          <w:color w:val="0D1B2A"/>
          <w:sz w:val="22"/>
          <w:szCs w:val="22"/>
        </w:rPr>
        <w:t xml:space="preserve">Food (Summer Peak): </w:t>
      </w:r>
      <w:r>
        <w:rPr>
          <w:rFonts w:ascii="Arial" w:cs="Arial" w:eastAsia="Arial" w:hAnsi="Arial"/>
          <w:color w:val="212529"/>
          <w:sz w:val="22"/>
          <w:szCs w:val="22"/>
        </w:rPr>
        <w:t xml:space="preserve">Food and supplement products peak in June-August, aligned with summer health and fitness activity. This category has the worst fill rate (11%) and is the most critically under-served relative to seasonal demand.</w:t>
      </w:r>
    </w:p>
    <w:p>
      <w:pPr>
        <w:pStyle w:val="ListParagraph"/>
        <w:numPr>
          <w:ilvl w:val="0"/>
          <w:numId w:val="2"/>
        </w:numPr>
        <w:spacing w:after="60" w:before="60"/>
      </w:pPr>
      <w:r>
        <w:rPr>
          <w:rFonts w:ascii="Arial" w:cs="Arial" w:eastAsia="Arial" w:hAnsi="Arial"/>
          <w:b/>
          <w:bCs/>
          <w:color w:val="0D1B2A"/>
          <w:sz w:val="22"/>
          <w:szCs w:val="22"/>
        </w:rPr>
        <w:t xml:space="preserve">Pharma (Winter Peaks): </w:t>
      </w:r>
      <w:r>
        <w:rPr>
          <w:rFonts w:ascii="Arial" w:cs="Arial" w:eastAsia="Arial" w:hAnsi="Arial"/>
          <w:color w:val="212529"/>
          <w:sz w:val="22"/>
          <w:szCs w:val="22"/>
        </w:rPr>
        <w:t xml:space="preserve">Pharmaceutical products see elevated demand in January-February (flu season) and November-December (winter wellness). These peaks are highly predictable and should be planned with six to eight weeks of additional safety stock.</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6.2  Demand Anomalies</w:t>
      </w:r>
    </w:p>
    <w:p>
      <w:pPr>
        <w:spacing w:after="80" w:before="80"/>
        <w:jc w:val="both"/>
      </w:pPr>
      <w:r>
        <w:rPr>
          <w:rFonts w:ascii="Arial" w:cs="Arial" w:eastAsia="Arial" w:hAnsi="Arial"/>
          <w:color w:val="212529"/>
          <w:sz w:val="22"/>
          <w:szCs w:val="22"/>
        </w:rPr>
        <w:t xml:space="preserve">The analysis identified demand spikes — weeks where demand exceeded 2.5 times the rolling three-month average — across approximately 3% of product-warehouse combinations. These spikes, while infrequent, can deplete safety stock reserves rapidly and trigger extended stockout periods. Implementing anomaly-triggered reorder alerts in the inventory management system would allow procurement teams to respond before stockouts occur.</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7.  Strategic Recommendations</w:t>
      </w:r>
    </w:p>
    <w:p>
      <w:pPr>
        <w:spacing w:after="80" w:before="80"/>
        <w:jc w:val="both"/>
      </w:pPr>
      <w:r>
        <w:rPr>
          <w:rFonts w:ascii="Arial" w:cs="Arial" w:eastAsia="Arial" w:hAnsi="Arial"/>
          <w:color w:val="212529"/>
          <w:sz w:val="22"/>
          <w:szCs w:val="22"/>
        </w:rPr>
        <w:t xml:space="preserve">The following recommendations are structured in order of urgency and estimated impact. Each addresses a specific failure mode identified in the analysis. Together, they form a recovery roadmap that can restore fill rates to competitive levels within 90-120 days while reducing working capital tied up in low-value inventory.</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Priority 1 — Immediate Actions (0–30 Days)</w:t>
      </w:r>
    </w:p>
    <w:p>
      <w:pPr>
        <w:spacing w:after="80" w:before="200"/>
      </w:pPr>
      <w:r>
        <w:rPr>
          <w:rFonts w:ascii="Arial" w:cs="Arial" w:eastAsia="Arial" w:hAnsi="Arial"/>
          <w:b/>
          <w:bCs/>
          <w:color w:val="00838F"/>
          <w:sz w:val="22"/>
          <w:szCs w:val="22"/>
        </w:rPr>
        <w:t xml:space="preserve">1.1  Emergency Replenishment of Critical SKUs</w:t>
      </w:r>
    </w:p>
    <w:p>
      <w:pPr>
        <w:spacing w:after="80" w:before="80"/>
        <w:jc w:val="both"/>
      </w:pPr>
      <w:r>
        <w:rPr>
          <w:rFonts w:ascii="Arial" w:cs="Arial" w:eastAsia="Arial" w:hAnsi="Arial"/>
          <w:color w:val="212529"/>
          <w:sz w:val="22"/>
          <w:szCs w:val="22"/>
        </w:rPr>
        <w:t xml:space="preserve">Place immediate purchase orders for the top 30 SKUs identified in the reorder priority queue — those with fewer than seven days of stock remaining or where on-hand stock has fallen below the calculated reorder point. Focus first on Class A products (top revenue contributors) to protect the revenue base.</w:t>
      </w:r>
    </w:p>
    <w:p>
      <w:pPr>
        <w:spacing w:after="0" w:before="80"/>
      </w:pPr>
      <w:r>
        <w:t xml:space="preserve"/>
      </w:r>
    </w:p>
    <w:p>
      <w:pPr>
        <w:spacing w:after="80" w:before="200"/>
      </w:pPr>
      <w:r>
        <w:rPr>
          <w:rFonts w:ascii="Arial" w:cs="Arial" w:eastAsia="Arial" w:hAnsi="Arial"/>
          <w:b/>
          <w:bCs/>
          <w:color w:val="00838F"/>
          <w:sz w:val="22"/>
          <w:szCs w:val="22"/>
        </w:rPr>
        <w:t xml:space="preserve">1.2  Supplier Performance Ultimatum: QuickShip &amp; FastTrack</w:t>
      </w:r>
    </w:p>
    <w:p>
      <w:pPr>
        <w:spacing w:after="80" w:before="80"/>
        <w:jc w:val="both"/>
      </w:pPr>
      <w:r>
        <w:rPr>
          <w:rFonts w:ascii="Arial" w:cs="Arial" w:eastAsia="Arial" w:hAnsi="Arial"/>
          <w:color w:val="212529"/>
          <w:sz w:val="22"/>
          <w:szCs w:val="22"/>
        </w:rPr>
        <w:t xml:space="preserve">Issue formal performance improvement notices to QuickShip Partners and FastTrack Logistics. Both suppliers have on-time delivery rates below 10%, which is operationally incompatible with a functioning supply chain. Set a 60-day improvement target of 75% OTD. Begin qualifying alternative suppliers as contingency in parallel. Consider contractual penalties for non-compliance.</w:t>
      </w:r>
    </w:p>
    <w:p>
      <w:pPr>
        <w:spacing w:after="0" w:before="80"/>
      </w:pPr>
      <w:r>
        <w:t xml:space="preserve"/>
      </w:r>
    </w:p>
    <w:p>
      <w:pPr>
        <w:spacing w:after="80" w:before="200"/>
      </w:pPr>
      <w:r>
        <w:rPr>
          <w:rFonts w:ascii="Arial" w:cs="Arial" w:eastAsia="Arial" w:hAnsi="Arial"/>
          <w:b/>
          <w:bCs/>
          <w:color w:val="00838F"/>
          <w:sz w:val="22"/>
          <w:szCs w:val="22"/>
        </w:rPr>
        <w:t xml:space="preserve">1.3  Damaged Stock Clearance Programme</w:t>
      </w:r>
    </w:p>
    <w:p>
      <w:pPr>
        <w:spacing w:after="80" w:before="80"/>
        <w:jc w:val="both"/>
      </w:pPr>
      <w:r>
        <w:rPr>
          <w:rFonts w:ascii="Arial" w:cs="Arial" w:eastAsia="Arial" w:hAnsi="Arial"/>
          <w:color w:val="212529"/>
          <w:sz w:val="22"/>
          <w:szCs w:val="22"/>
        </w:rPr>
        <w:t xml:space="preserve">Initiate a full damaged goods audit across all five warehouses. Classify each damaged SKU as resalable (rework required), scrap, or supplier return eligible. Clear all non-resalable stock within 30 days to free capacity and remove carrying costs. The £52,900 in damaged inventory is consuming approximately £13,200 per year in holding cost alone.</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Priority 2 — Structural Improvements (30–90 Days)</w:t>
      </w:r>
    </w:p>
    <w:p>
      <w:pPr>
        <w:spacing w:after="80" w:before="200"/>
      </w:pPr>
      <w:r>
        <w:rPr>
          <w:rFonts w:ascii="Arial" w:cs="Arial" w:eastAsia="Arial" w:hAnsi="Arial"/>
          <w:b/>
          <w:bCs/>
          <w:color w:val="00838F"/>
          <w:sz w:val="22"/>
          <w:szCs w:val="22"/>
        </w:rPr>
        <w:t xml:space="preserve">2.1  Recalculate Safety Stock Using Demand Variability</w:t>
      </w:r>
    </w:p>
    <w:p>
      <w:pPr>
        <w:spacing w:after="80" w:before="80"/>
        <w:jc w:val="both"/>
      </w:pPr>
      <w:r>
        <w:rPr>
          <w:rFonts w:ascii="Arial" w:cs="Arial" w:eastAsia="Arial" w:hAnsi="Arial"/>
          <w:color w:val="212529"/>
          <w:sz w:val="22"/>
          <w:szCs w:val="22"/>
        </w:rPr>
        <w:t xml:space="preserve">Current safety stock levels are insufficient relative to demand volatility and lead time uncertainty. Recalculate safety stock for all active SKUs using a 95% service level target (Z=1.65) and updated lead time standard deviations from actual supplier performance data. This analysis has provided the baseline calculations — implementation requires updating parameters in the ERP system.</w:t>
      </w:r>
    </w:p>
    <w:p>
      <w:pPr>
        <w:spacing w:after="0" w:before="80"/>
      </w:pPr>
      <w:r>
        <w:t xml:space="preserve"/>
      </w:r>
    </w:p>
    <w:p>
      <w:pPr>
        <w:spacing w:after="80" w:before="200"/>
      </w:pPr>
      <w:r>
        <w:rPr>
          <w:rFonts w:ascii="Arial" w:cs="Arial" w:eastAsia="Arial" w:hAnsi="Arial"/>
          <w:b/>
          <w:bCs/>
          <w:color w:val="00838F"/>
          <w:sz w:val="22"/>
          <w:szCs w:val="22"/>
        </w:rPr>
        <w:t xml:space="preserve">2.2  Implement Demand-Signal Driven Reorder Points</w:t>
      </w:r>
    </w:p>
    <w:p>
      <w:pPr>
        <w:spacing w:after="80" w:before="80"/>
        <w:jc w:val="both"/>
      </w:pPr>
      <w:r>
        <w:rPr>
          <w:rFonts w:ascii="Arial" w:cs="Arial" w:eastAsia="Arial" w:hAnsi="Arial"/>
          <w:color w:val="212529"/>
          <w:sz w:val="22"/>
          <w:szCs w:val="22"/>
        </w:rPr>
        <w:t xml:space="preserve">Replace static reorder point logic with dynamic reorder triggers that update based on rolling 8-week average demand and actual supplier lead times. Products with increasing demand trends should have their reorder points adjusted upward automatically. This eliminates the current situation where reorder points become obsolete as market demand changes.</w:t>
      </w:r>
    </w:p>
    <w:p>
      <w:pPr>
        <w:spacing w:after="0" w:before="80"/>
      </w:pPr>
      <w:r>
        <w:t xml:space="preserve"/>
      </w:r>
    </w:p>
    <w:p>
      <w:pPr>
        <w:spacing w:after="80" w:before="200"/>
      </w:pPr>
      <w:r>
        <w:rPr>
          <w:rFonts w:ascii="Arial" w:cs="Arial" w:eastAsia="Arial" w:hAnsi="Arial"/>
          <w:b/>
          <w:bCs/>
          <w:color w:val="00838F"/>
          <w:sz w:val="22"/>
          <w:szCs w:val="22"/>
        </w:rPr>
        <w:t xml:space="preserve">2.3  Dead Stock Liquidation</w:t>
      </w:r>
    </w:p>
    <w:p>
      <w:pPr>
        <w:spacing w:after="80" w:before="80"/>
        <w:jc w:val="both"/>
      </w:pPr>
      <w:r>
        <w:rPr>
          <w:rFonts w:ascii="Arial" w:cs="Arial" w:eastAsia="Arial" w:hAnsi="Arial"/>
          <w:color w:val="212529"/>
          <w:sz w:val="22"/>
          <w:szCs w:val="22"/>
        </w:rPr>
        <w:t xml:space="preserve">The 12 identified dead-stock SKUs (PRD-049 to PRD-060) are consuming warehouse space and generating holding costs without return. Develop a liquidation plan: consider trade sale to secondary market buyers, bundle promotions, or write-down and disposal. The holding cost savings, combined with the capital released, can be redirected to high-demand products.</w:t>
      </w:r>
    </w:p>
    <w:p>
      <w:pPr>
        <w:spacing w:after="0" w:before="120"/>
      </w:pPr>
      <w:r>
        <w:t xml:space="preserve"/>
      </w:r>
    </w:p>
    <w:p>
      <w:pPr>
        <w:pStyle w:val="Heading2"/>
        <w:spacing w:after="120" w:before="280"/>
      </w:pPr>
      <w:r>
        <w:rPr>
          <w:rFonts w:ascii="Arial" w:cs="Arial" w:eastAsia="Arial" w:hAnsi="Arial"/>
          <w:b/>
          <w:bCs/>
          <w:color w:val="1565C0"/>
          <w:sz w:val="26"/>
          <w:szCs w:val="26"/>
        </w:rPr>
        <w:t xml:space="preserve">Priority 3 — Long-Term Optimisation (90–180 Days)</w:t>
      </w:r>
    </w:p>
    <w:p>
      <w:pPr>
        <w:spacing w:after="80" w:before="200"/>
      </w:pPr>
      <w:r>
        <w:rPr>
          <w:rFonts w:ascii="Arial" w:cs="Arial" w:eastAsia="Arial" w:hAnsi="Arial"/>
          <w:b/>
          <w:bCs/>
          <w:color w:val="00838F"/>
          <w:sz w:val="22"/>
          <w:szCs w:val="22"/>
        </w:rPr>
        <w:t xml:space="preserve">3.1  Supplier Diversification for High-Risk Categories</w:t>
      </w:r>
    </w:p>
    <w:p>
      <w:pPr>
        <w:spacing w:after="80" w:before="80"/>
        <w:jc w:val="both"/>
      </w:pPr>
      <w:r>
        <w:rPr>
          <w:rFonts w:ascii="Arial" w:cs="Arial" w:eastAsia="Arial" w:hAnsi="Arial"/>
          <w:color w:val="212529"/>
          <w:sz w:val="22"/>
          <w:szCs w:val="22"/>
        </w:rPr>
        <w:t xml:space="preserve">Electronics and Apparel products depend on TechSource Global and GlobalFit Wholesale as primary suppliers — both from regions with higher logistics risk (Asia, Southern Europe). Qualify at least one additional near-shore supplier for each of the top 15 Class A SKUs to reduce single-source dependency and improve supply chain resilience.</w:t>
      </w:r>
    </w:p>
    <w:p>
      <w:pPr>
        <w:spacing w:after="0" w:before="80"/>
      </w:pPr>
      <w:r>
        <w:t xml:space="preserve"/>
      </w:r>
    </w:p>
    <w:p>
      <w:pPr>
        <w:spacing w:after="80" w:before="200"/>
      </w:pPr>
      <w:r>
        <w:rPr>
          <w:rFonts w:ascii="Arial" w:cs="Arial" w:eastAsia="Arial" w:hAnsi="Arial"/>
          <w:b/>
          <w:bCs/>
          <w:color w:val="00838F"/>
          <w:sz w:val="22"/>
          <w:szCs w:val="22"/>
        </w:rPr>
        <w:t xml:space="preserve">3.2  Seasonal Inventory Pre-Positioning</w:t>
      </w:r>
    </w:p>
    <w:p>
      <w:pPr>
        <w:spacing w:after="80" w:before="80"/>
        <w:jc w:val="both"/>
      </w:pPr>
      <w:r>
        <w:rPr>
          <w:rFonts w:ascii="Arial" w:cs="Arial" w:eastAsia="Arial" w:hAnsi="Arial"/>
          <w:color w:val="212529"/>
          <w:sz w:val="22"/>
          <w:szCs w:val="22"/>
        </w:rPr>
        <w:t xml:space="preserve">Develop a formal seasonal planning calendar that triggers pre-build orders six to eight weeks before peak demand periods. For Electronics (Black Friday/Christmas) and Apparel (spring/autumn changeovers), the demand uplift is highly predictable. Planning inventory positions in advance eliminates the reactive, costly emergency orders that currently characterise peak season management.</w:t>
      </w:r>
    </w:p>
    <w:p>
      <w:pPr>
        <w:spacing w:after="0" w:before="80"/>
      </w:pPr>
      <w:r>
        <w:t xml:space="preserve"/>
      </w:r>
    </w:p>
    <w:p>
      <w:pPr>
        <w:spacing w:after="80" w:before="200"/>
      </w:pPr>
      <w:r>
        <w:rPr>
          <w:rFonts w:ascii="Arial" w:cs="Arial" w:eastAsia="Arial" w:hAnsi="Arial"/>
          <w:b/>
          <w:bCs/>
          <w:color w:val="00838F"/>
          <w:sz w:val="22"/>
          <w:szCs w:val="22"/>
        </w:rPr>
        <w:t xml:space="preserve">3.3  Warehouse Performance Differentiation</w:t>
      </w:r>
    </w:p>
    <w:p>
      <w:pPr>
        <w:spacing w:after="80" w:before="80"/>
        <w:jc w:val="both"/>
      </w:pPr>
      <w:r>
        <w:rPr>
          <w:rFonts w:ascii="Arial" w:cs="Arial" w:eastAsia="Arial" w:hAnsi="Arial"/>
          <w:color w:val="212529"/>
          <w:sz w:val="22"/>
          <w:szCs w:val="22"/>
        </w:rPr>
        <w:t xml:space="preserve">London and Manchester, as the highest-demand locations with the worst stockout rates, should receive disproportionately larger safety stock allocations. Glasgow and Bristol, with lower stockout rates and smaller demand bases, can operate with tighter inventory positions. A network-wide inventory rebalancing exercise, guided by the warehouse performance data in this report, would improve system-wide availability without increasing total inventory value.</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8.  Financial Impact Summary</w:t>
      </w:r>
    </w:p>
    <w:p>
      <w:pPr>
        <w:spacing w:after="80" w:before="80"/>
        <w:jc w:val="both"/>
      </w:pPr>
      <w:r>
        <w:rPr>
          <w:rFonts w:ascii="Arial" w:cs="Arial" w:eastAsia="Arial" w:hAnsi="Arial"/>
          <w:color w:val="212529"/>
          <w:sz w:val="22"/>
          <w:szCs w:val="22"/>
        </w:rPr>
        <w:t xml:space="preserve">The recommendations in this report carry a compelling financial case. The costs of implementation are far outweighed by the revenue at risk and the operational savings achievable.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Initiative</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Estimated Saving / Impact</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Timeframe</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Fill rate recovery to 95% (revenue uplift)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~£220K additional annual revenue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90-120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Damaged stock write-off &amp; holding cost elimination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£13.2K annual holding cost saving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30 days</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Dead stock liquidation</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£8-12K capital release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60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Supplier contract renegotiation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Reduced emergency freight costs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60-90 days</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Safety stock recalibration</w:t>
            </w:r>
          </w:p>
        </w:tc>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10-15% reduction in excess stock</w:t>
            </w:r>
          </w:p>
        </w:tc>
        <w:tc>
          <w:tcPr>
            <w:tcW w:type="dxa" w:w="2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60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Seasonal pre-positioning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Reduced stockout-driven lost sales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Ongoing</w:t>
            </w:r>
          </w:p>
        </w:tc>
      </w:tr>
    </w:tbl>
    <w:p>
      <w:pPr>
        <w:spacing w:after="0" w:before="160"/>
      </w:pPr>
      <w:r>
        <w:t xml:space="preserve"/>
      </w:r>
    </w:p>
    <w:p>
      <w:pPr>
        <w:spacing w:after="80" w:before="80"/>
        <w:jc w:val="both"/>
      </w:pPr>
      <w:r>
        <w:rPr>
          <w:rFonts w:ascii="Arial" w:cs="Arial" w:eastAsia="Arial" w:hAnsi="Arial"/>
          <w:color w:val="212529"/>
          <w:sz w:val="22"/>
          <w:szCs w:val="22"/>
        </w:rPr>
        <w:t xml:space="preserve">The single largest value driver is fill rate recovery. At current demand levels, moving from a 21% fill rate to a 95% fill rate would increase fulfilled unit volumes by approximately 4.5 times. Even accounting for additional inventory investment required, the return on that investment is achieved within the first quarter of improved performance.</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9.  Data Methodology &amp; Technical Notes</w:t>
      </w:r>
    </w:p>
    <w:p>
      <w:pPr>
        <w:pStyle w:val="Heading2"/>
        <w:spacing w:after="120" w:before="280"/>
      </w:pPr>
      <w:r>
        <w:rPr>
          <w:rFonts w:ascii="Arial" w:cs="Arial" w:eastAsia="Arial" w:hAnsi="Arial"/>
          <w:b/>
          <w:bCs/>
          <w:color w:val="1565C0"/>
          <w:sz w:val="26"/>
          <w:szCs w:val="26"/>
        </w:rPr>
        <w:t xml:space="preserve">9.1  Data Sources &amp; Scope</w:t>
      </w:r>
    </w:p>
    <w:p>
      <w:pPr>
        <w:spacing w:after="80" w:before="80"/>
        <w:jc w:val="both"/>
      </w:pPr>
      <w:r>
        <w:rPr>
          <w:rFonts w:ascii="Arial" w:cs="Arial" w:eastAsia="Arial" w:hAnsi="Arial"/>
          <w:color w:val="212529"/>
          <w:sz w:val="22"/>
          <w:szCs w:val="22"/>
        </w:rPr>
        <w:t xml:space="preserve">This report is based on an 18-month operational dataset drawn from the FlowTech ERP system, covering the period 1 January 2023 to 30 June 2024. The dataset includes 59,035 sales order lines, 2,595 purchase orders, 2,495 shipment records, 21,291 weekly demand history records, and 600 supplier lead time observations across all five warehouses and 60 active SKUs.</w:t>
      </w:r>
    </w:p>
    <w:p>
      <w:pPr>
        <w:spacing w:after="0" w:before="80"/>
      </w:pPr>
      <w:r>
        <w:t xml:space="preserve"/>
      </w:r>
    </w:p>
    <w:p>
      <w:pPr>
        <w:pStyle w:val="Heading2"/>
        <w:spacing w:after="120" w:before="280"/>
      </w:pPr>
      <w:r>
        <w:rPr>
          <w:rFonts w:ascii="Arial" w:cs="Arial" w:eastAsia="Arial" w:hAnsi="Arial"/>
          <w:b/>
          <w:bCs/>
          <w:color w:val="1565C0"/>
          <w:sz w:val="26"/>
          <w:szCs w:val="26"/>
        </w:rPr>
        <w:t xml:space="preserve">9.2  SQL Analytics Framework</w:t>
      </w:r>
    </w:p>
    <w:p>
      <w:pPr>
        <w:spacing w:after="80" w:before="80"/>
        <w:jc w:val="both"/>
      </w:pPr>
      <w:r>
        <w:rPr>
          <w:rFonts w:ascii="Arial" w:cs="Arial" w:eastAsia="Arial" w:hAnsi="Arial"/>
          <w:color w:val="212529"/>
          <w:sz w:val="22"/>
          <w:szCs w:val="22"/>
        </w:rPr>
        <w:t xml:space="preserve">All quantitative findings are derived from a purpose-built SQL analytics layer comprising twelve advanced query modules. These include: ABC classification using window functions and cumulative revenue ranking; stockout risk scoring combining rolling demand averages with safety stock calculations (Z=1.65, 95% service level); supplier performance scoring across three weighted dimensions (OTD 40%, fill rate 40%, deviation 20%); inventory turnover and Days Inventory Outstanding (DIO) calculated on annualised COGS; and demand anomaly detection using rolling three-month average comparison with a 2x spike threshold.</w:t>
      </w:r>
    </w:p>
    <w:p>
      <w:pPr>
        <w:spacing w:after="0" w:before="80"/>
      </w:pPr>
      <w:r>
        <w:t xml:space="preserve"/>
      </w:r>
    </w:p>
    <w:p>
      <w:pPr>
        <w:pStyle w:val="Heading2"/>
        <w:spacing w:after="120" w:before="280"/>
      </w:pPr>
      <w:r>
        <w:rPr>
          <w:rFonts w:ascii="Arial" w:cs="Arial" w:eastAsia="Arial" w:hAnsi="Arial"/>
          <w:b/>
          <w:bCs/>
          <w:color w:val="1565C0"/>
          <w:sz w:val="26"/>
          <w:szCs w:val="26"/>
        </w:rPr>
        <w:t xml:space="preserve">9.3  Statistical Approach</w:t>
      </w:r>
    </w:p>
    <w:p>
      <w:pPr>
        <w:spacing w:after="80" w:before="80"/>
        <w:jc w:val="both"/>
      </w:pPr>
      <w:r>
        <w:rPr>
          <w:rFonts w:ascii="Arial" w:cs="Arial" w:eastAsia="Arial" w:hAnsi="Arial"/>
          <w:color w:val="212529"/>
          <w:sz w:val="22"/>
          <w:szCs w:val="22"/>
        </w:rPr>
        <w:t xml:space="preserve">Safety stock calculations use the standard formula incorporating demand standard deviation and lead time variability. Service level Z-scores are set at 1.65 (95th percentile) as a default, with an option to increase to 2.05 (98th percentile) for critical SKUs. Lead time coefficient of variation (CV) is used as the primary measure of supplier reliability risk, where CV exceeding 30% is flagged as requiring additional safety stock buffer.</w:t>
      </w:r>
    </w:p>
    <w:p>
      <w:pPr>
        <w:spacing w:after="0" w:before="80"/>
      </w:pPr>
      <w:r>
        <w:t xml:space="preserve"/>
      </w:r>
    </w:p>
    <w:p>
      <w:pPr>
        <w:pStyle w:val="Heading2"/>
        <w:spacing w:after="120" w:before="280"/>
      </w:pPr>
      <w:r>
        <w:rPr>
          <w:rFonts w:ascii="Arial" w:cs="Arial" w:eastAsia="Arial" w:hAnsi="Arial"/>
          <w:b/>
          <w:bCs/>
          <w:color w:val="1565C0"/>
          <w:sz w:val="26"/>
          <w:szCs w:val="26"/>
        </w:rPr>
        <w:t xml:space="preserve">9.4  Assumptions &amp; Limitations</w:t>
      </w:r>
    </w:p>
    <w:p>
      <w:pPr>
        <w:pStyle w:val="ListParagraph"/>
        <w:numPr>
          <w:ilvl w:val="0"/>
          <w:numId w:val="2"/>
        </w:numPr>
        <w:spacing w:after="60" w:before="60"/>
      </w:pPr>
      <w:r>
        <w:rPr>
          <w:rFonts w:ascii="Arial" w:cs="Arial" w:eastAsia="Arial" w:hAnsi="Arial"/>
          <w:color w:val="212529"/>
          <w:sz w:val="22"/>
          <w:szCs w:val="22"/>
        </w:rPr>
        <w:t xml:space="preserve">Inventory opening balances represent the position at the start of the analysis period. Movements are tracked cumulatively.</w:t>
      </w:r>
    </w:p>
    <w:p>
      <w:pPr>
        <w:pStyle w:val="ListParagraph"/>
        <w:numPr>
          <w:ilvl w:val="0"/>
          <w:numId w:val="2"/>
        </w:numPr>
        <w:spacing w:after="60" w:before="60"/>
      </w:pPr>
      <w:r>
        <w:rPr>
          <w:rFonts w:ascii="Arial" w:cs="Arial" w:eastAsia="Arial" w:hAnsi="Arial"/>
          <w:color w:val="212529"/>
          <w:sz w:val="22"/>
          <w:szCs w:val="22"/>
        </w:rPr>
        <w:t xml:space="preserve">Holding cost rate is set at 25% of unit cost per annum, consistent with UK distribution industry standards.</w:t>
      </w:r>
    </w:p>
    <w:p>
      <w:pPr>
        <w:pStyle w:val="ListParagraph"/>
        <w:numPr>
          <w:ilvl w:val="0"/>
          <w:numId w:val="2"/>
        </w:numPr>
        <w:spacing w:after="60" w:before="60"/>
      </w:pPr>
      <w:r>
        <w:rPr>
          <w:rFonts w:ascii="Arial" w:cs="Arial" w:eastAsia="Arial" w:hAnsi="Arial"/>
          <w:color w:val="212529"/>
          <w:sz w:val="22"/>
          <w:szCs w:val="22"/>
        </w:rPr>
        <w:t xml:space="preserve">Demand history records weekly aggregated demand per product per warehouse. Individual order-level seasonality is smoothed at this granularity.</w:t>
      </w:r>
    </w:p>
    <w:p>
      <w:pPr>
        <w:pStyle w:val="ListParagraph"/>
        <w:numPr>
          <w:ilvl w:val="0"/>
          <w:numId w:val="2"/>
        </w:numPr>
        <w:spacing w:after="60" w:before="60"/>
      </w:pPr>
      <w:r>
        <w:rPr>
          <w:rFonts w:ascii="Arial" w:cs="Arial" w:eastAsia="Arial" w:hAnsi="Arial"/>
          <w:color w:val="212529"/>
          <w:sz w:val="22"/>
          <w:szCs w:val="22"/>
        </w:rPr>
        <w:t xml:space="preserve">Supplier lead time coefficients of variation are calculated from the available lead time records and may not capture structural changes in supplier capability occurring during the period.</w:t>
      </w:r>
    </w:p>
    <w:p>
      <w:r>
        <w:br w:type="page"/>
      </w:r>
    </w:p>
    <w:p>
      <w:pPr>
        <w:pStyle w:val="Heading1"/>
        <w:pBdr>
          <w:bottom w:val="single" w:color="1565C0" w:sz="8" w:space="6"/>
        </w:pBdr>
        <w:spacing w:after="200" w:before="360"/>
      </w:pPr>
      <w:r>
        <w:rPr>
          <w:rFonts w:ascii="Arial" w:cs="Arial" w:eastAsia="Arial" w:hAnsi="Arial"/>
          <w:b/>
          <w:bCs/>
          <w:color w:val="0D1B2A"/>
          <w:sz w:val="34"/>
          <w:szCs w:val="34"/>
        </w:rPr>
        <w:t xml:space="preserve">Appendix: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Term</w:t>
            </w:r>
          </w:p>
        </w:tc>
        <w:tc>
          <w:tcPr>
            <w:tcW w:type="dxa" w:w="5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Fill Rate</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Percentage of demanded units successfully fulfilled from available stock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Backorder Rate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Percentage of order lines that cannot be fulfilled on time due to stock unavailability</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On-Time Delivery (OTD)</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Percentage of purchase orders received by the agreed delivery date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Safety Stock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Buffer inventory held to protect against demand spikes and supply delays</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Reorder Point</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Stock level at which a new replenishment order should be placed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Lead Time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Number of days from purchase order placement to goods receipt</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ABC Classification</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Revenue-based segmentation: A=top 80%, B=next 15%, C=bottom 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Days Inventory Outstanding (DIO)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Average number of days inventory is held before being sold</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Inventory Turnover</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Number of times inventory is sold and replaced over a period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Coefficient of Variation (CV)</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Standard deviation / mean × 100; measures relative variability</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left"/>
            </w:pPr>
            <w:r>
              <w:rPr>
                <w:rFonts w:ascii="Arial" w:cs="Arial" w:eastAsia="Arial" w:hAnsi="Arial"/>
                <w:color w:val="212529"/>
                <w:sz w:val="20"/>
                <w:szCs w:val="20"/>
              </w:rPr>
              <w:t xml:space="preserve">Holding Cost</w:t>
            </w:r>
          </w:p>
        </w:tc>
        <w:tc>
          <w:tcPr>
            <w:tcW w:type="dxa" w:w="58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Arial" w:cs="Arial" w:eastAsia="Arial" w:hAnsi="Arial"/>
                <w:color w:val="212529"/>
                <w:sz w:val="20"/>
                <w:szCs w:val="20"/>
              </w:rPr>
              <w:t xml:space="preserve">Annual cost of storing inventory, typically 20-30% of unit 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12529"/>
                <w:sz w:val="20"/>
                <w:szCs w:val="20"/>
              </w:rPr>
              <w:t xml:space="preserve">Stockout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12529"/>
                <w:sz w:val="20"/>
                <w:szCs w:val="20"/>
              </w:rPr>
              <w:t xml:space="preserve">Event where demand exceeds available stock, resulting in unfulfilled orders</w:t>
            </w:r>
          </w:p>
        </w:tc>
      </w:tr>
    </w:tbl>
    <w:p>
      <w:pPr>
        <w:spacing w:after="0" w:before="200"/>
      </w:pPr>
      <w:r>
        <w:t xml:space="preserve"/>
      </w:r>
    </w:p>
    <w:p>
      <w:pPr>
        <w:pBdr>
          <w:top w:val="single" w:color="1565C0" w:sz="6" w:space="8"/>
        </w:pBdr>
        <w:spacing w:after="60" w:before="200"/>
        <w:jc w:val="center"/>
      </w:pPr>
      <w:r>
        <w:rPr>
          <w:rFonts w:ascii="Arial" w:cs="Arial" w:eastAsia="Arial" w:hAnsi="Arial"/>
          <w:color w:val="888888"/>
          <w:sz w:val="18"/>
          <w:szCs w:val="18"/>
        </w:rPr>
        <w:t xml:space="preserve">FlowTech Operations Ltd  |  Supply Chain &amp; Inventory Analytics Report</w:t>
      </w:r>
    </w:p>
    <w:p>
      <w:pPr>
        <w:spacing w:after="0" w:before="0"/>
        <w:jc w:val="center"/>
      </w:pPr>
      <w:r>
        <w:rPr>
          <w:rFonts w:ascii="Arial" w:cs="Arial" w:eastAsia="Arial" w:hAnsi="Arial"/>
          <w:color w:val="AAAAAA"/>
          <w:sz w:val="16"/>
          <w:szCs w:val="16"/>
        </w:rPr>
        <w:t xml:space="preserve">This document is confidential and intended solely for the use of FlowTech management. Any reproduction or distribution without prior written consent is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360"/>
      </w:tabs>
      <w:spacing w:after="0" w:before="100"/>
    </w:pPr>
    <w:r>
      <w:rPr>
        <w:rFonts w:ascii="Arial" w:cs="Arial" w:eastAsia="Arial" w:hAnsi="Arial"/>
        <w:color w:val="888888"/>
        <w:sz w:val="16"/>
        <w:szCs w:val="16"/>
      </w:rPr>
      <w:t xml:space="preserve">FlowTech Operations Ltd  |  Supply Chain &amp; Inventory Analytics  |  January 2023 – June 2024</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spacing w:after="120" w:before="0"/>
    </w:pPr>
    <w:r>
      <w:rPr>
        <w:rFonts w:ascii="Arial" w:cs="Arial" w:eastAsia="Arial" w:hAnsi="Arial"/>
        <w:color w:val="888888"/>
        <w:sz w:val="16"/>
        <w:szCs w:val="16"/>
      </w:rPr>
      <w:t xml:space="preserve">SUPPLY CHAIN ANALYTICS REPORT  |  CONFIDENTIAL</w:t>
    </w:r>
    <w:r>
      <w:rPr>
        <w:rFonts w:ascii="Arial" w:cs="Arial" w:eastAsia="Arial" w:hAnsi="Arial"/>
      </w:rPr>
      <w:t xml:space="preserve">	</w:t>
    </w:r>
    <w:r>
      <w:rPr>
        <w:rFonts w:ascii="Arial" w:cs="Arial" w:eastAsia="Arial" w:hAnsi="Arial"/>
        <w:b/>
        <w:bCs/>
        <w:color w:val="0D1B2A"/>
        <w:sz w:val="16"/>
        <w:szCs w:val="16"/>
      </w:rPr>
      <w:t xml:space="preserve">FlowTech Operations Ltd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2026-04-01T22:54:17.692Z</dcterms:created>
  <dcterms:modified xsi:type="dcterms:W3CDTF">2026-04-01T22:54:17.692Z</dcterms:modified>
</cp:coreProperties>
</file>

<file path=docProps/custom.xml><?xml version="1.0" encoding="utf-8"?>
<Properties xmlns="http://schemas.openxmlformats.org/officeDocument/2006/custom-properties" xmlns:vt="http://schemas.openxmlformats.org/officeDocument/2006/docPropsVTypes"/>
</file>