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FF415" w14:textId="77777777" w:rsidR="00E84998" w:rsidRPr="00E84998" w:rsidRDefault="00E84998" w:rsidP="00E84998">
      <w:pPr>
        <w:spacing w:line="360" w:lineRule="auto"/>
        <w:rPr>
          <w:rFonts w:asciiTheme="majorBidi" w:hAnsiTheme="majorBidi" w:cstheme="majorBidi"/>
          <w:b/>
          <w:bCs/>
          <w:sz w:val="32"/>
          <w:szCs w:val="32"/>
        </w:rPr>
      </w:pPr>
      <w:r w:rsidRPr="00E84998">
        <w:rPr>
          <w:rFonts w:asciiTheme="majorBidi" w:hAnsiTheme="majorBidi" w:cstheme="majorBidi"/>
          <w:b/>
          <w:bCs/>
          <w:sz w:val="32"/>
          <w:szCs w:val="32"/>
        </w:rPr>
        <w:t>Article Review: “A Critical Analysis of Fundamental Rights under the Constitution of Pakistan, 1973”</w:t>
      </w:r>
    </w:p>
    <w:p w14:paraId="16839CCD"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The article by Dr. Naveed Ahmed takes an in-depth view of fundamental rights as enshrined in the Constitution of the Islamic Republic of Pakistan. Instead of just an array of rules, the author has tried to correlate philosophical perspectives, Islamic law, and Pakistan's very own legal history. This review reflects upon how the article achieves this, the strength of its arguments, and its overall contribution toward understanding Pakistan's constitution.</w:t>
      </w:r>
    </w:p>
    <w:p w14:paraId="52232FC6"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________________________________________</w:t>
      </w:r>
    </w:p>
    <w:p w14:paraId="2AECADD3" w14:textId="77777777" w:rsidR="00E84998" w:rsidRPr="00E84998" w:rsidRDefault="00E84998" w:rsidP="00E84998">
      <w:pPr>
        <w:spacing w:line="360" w:lineRule="auto"/>
        <w:rPr>
          <w:rFonts w:asciiTheme="majorBidi" w:hAnsiTheme="majorBidi" w:cstheme="majorBidi"/>
          <w:b/>
          <w:bCs/>
        </w:rPr>
      </w:pPr>
      <w:r w:rsidRPr="00E84998">
        <w:rPr>
          <w:rFonts w:asciiTheme="majorBidi" w:hAnsiTheme="majorBidi" w:cstheme="majorBidi"/>
          <w:b/>
          <w:bCs/>
        </w:rPr>
        <w:t>Overview of the Article</w:t>
      </w:r>
    </w:p>
    <w:p w14:paraId="54D54AE6"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The article begins by tracing the origins of fundamental rights. From the mention of influential Western philosophers, such as John Locke and Rousseau, to the foundational documents in history, namely the Magna Carta, this piece follows the evolution of the "natural rights" theory from the Enlightenment to modern international law.</w:t>
      </w:r>
    </w:p>
    <w:p w14:paraId="15A72BD4"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Thereafter, the author discussed the Islamic characterization of rights. He began by asserting that human dignity, equality, and justice are encapsulated in Quranic teachings, and further asserted that the Constitution of Pakistan, being founded on Islamic principles, is in harmony with international human rights norms.</w:t>
      </w:r>
    </w:p>
    <w:p w14:paraId="4949286D"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One major component of the article summarizes some fundamental rights under the 1973 Constitution: right to life, freedom from slavery, freedom of speech, protection against double punishment, freedom of movement, and equality before the law, amongst others. In each case, the right is analyzed in the context of relevant judicial decisions through which courts interpret constitutional guarantees.</w:t>
      </w:r>
    </w:p>
    <w:p w14:paraId="16A0B138"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________________________________________</w:t>
      </w:r>
    </w:p>
    <w:p w14:paraId="2DBB8018" w14:textId="77777777" w:rsidR="00E84998" w:rsidRPr="00E84998" w:rsidRDefault="00E84998" w:rsidP="00E84998">
      <w:pPr>
        <w:spacing w:line="360" w:lineRule="auto"/>
        <w:rPr>
          <w:rFonts w:asciiTheme="majorBidi" w:hAnsiTheme="majorBidi" w:cstheme="majorBidi"/>
          <w:b/>
          <w:bCs/>
        </w:rPr>
      </w:pPr>
      <w:r w:rsidRPr="00E84998">
        <w:rPr>
          <w:rFonts w:asciiTheme="majorBidi" w:hAnsiTheme="majorBidi" w:cstheme="majorBidi"/>
          <w:b/>
          <w:bCs/>
        </w:rPr>
        <w:t>Strength of the Article</w:t>
      </w:r>
    </w:p>
    <w:p w14:paraId="0D2DEEE4" w14:textId="77777777" w:rsidR="00E84998" w:rsidRPr="00E84998" w:rsidRDefault="00E84998" w:rsidP="00E84998">
      <w:pPr>
        <w:spacing w:line="360" w:lineRule="auto"/>
        <w:rPr>
          <w:rFonts w:asciiTheme="majorBidi" w:hAnsiTheme="majorBidi" w:cstheme="majorBidi"/>
          <w:b/>
          <w:bCs/>
        </w:rPr>
      </w:pPr>
      <w:r w:rsidRPr="00E84998">
        <w:rPr>
          <w:rFonts w:asciiTheme="majorBidi" w:hAnsiTheme="majorBidi" w:cstheme="majorBidi"/>
          <w:b/>
          <w:bCs/>
        </w:rPr>
        <w:t>1. Strong Legal-Judicial Orientation</w:t>
      </w:r>
    </w:p>
    <w:p w14:paraId="36324FF5"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 xml:space="preserve">One of the striking aspects of this contribution is the relentless use of case law. The paper constantly grounds its theoretical discussion in judicial practice. By referring to landmark cases like Sakhi Daler Khan, Zahid Bano, Muhammad Ashiq, or the Nasrullah Khan Extradition case, the author shows how fundamental rights work in routine legal disputes. A </w:t>
      </w:r>
      <w:r w:rsidRPr="00E84998">
        <w:rPr>
          <w:rFonts w:asciiTheme="majorBidi" w:hAnsiTheme="majorBidi" w:cstheme="majorBidi"/>
        </w:rPr>
        <w:lastRenderedPageBreak/>
        <w:t>clear link is thus drawn between constitutional text and its effective implementation in the field.</w:t>
      </w:r>
    </w:p>
    <w:p w14:paraId="43324D82" w14:textId="77777777" w:rsidR="00E84998" w:rsidRPr="00E84998" w:rsidRDefault="00E84998" w:rsidP="00E84998">
      <w:pPr>
        <w:spacing w:line="360" w:lineRule="auto"/>
        <w:rPr>
          <w:rFonts w:asciiTheme="majorBidi" w:hAnsiTheme="majorBidi" w:cstheme="majorBidi"/>
          <w:b/>
          <w:bCs/>
        </w:rPr>
      </w:pPr>
      <w:r w:rsidRPr="00E84998">
        <w:rPr>
          <w:rFonts w:asciiTheme="majorBidi" w:hAnsiTheme="majorBidi" w:cstheme="majorBidi"/>
          <w:b/>
          <w:bCs/>
        </w:rPr>
        <w:t>2. Integrating Islamic and Constitutional Perspectives</w:t>
      </w:r>
    </w:p>
    <w:p w14:paraId="7BD45674"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He does well to underline that the Constitution of Pakistan is neither purely a Western legal creation nor basically a theological document but incorporates universal human rights norms with Islamic moral values. He refers to Quran teachings concerning dignity, justice, and equality to emphasize that fundamental rights in Pakistan do not constitute alien notions but are part of the country's ideological identity.</w:t>
      </w:r>
    </w:p>
    <w:p w14:paraId="1C05A55E" w14:textId="77777777" w:rsidR="00E84998" w:rsidRPr="00E84998" w:rsidRDefault="00E84998" w:rsidP="00E84998">
      <w:pPr>
        <w:spacing w:line="360" w:lineRule="auto"/>
        <w:rPr>
          <w:rFonts w:asciiTheme="majorBidi" w:hAnsiTheme="majorBidi" w:cstheme="majorBidi"/>
          <w:b/>
          <w:bCs/>
        </w:rPr>
      </w:pPr>
      <w:r w:rsidRPr="00E84998">
        <w:rPr>
          <w:rFonts w:asciiTheme="majorBidi" w:hAnsiTheme="majorBidi" w:cstheme="majorBidi"/>
          <w:b/>
          <w:bCs/>
        </w:rPr>
        <w:t>3. Full Coverage of Rights</w:t>
      </w:r>
    </w:p>
    <w:p w14:paraId="1FA5B921"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The article surveys a wide range of fundamental rights, showing how each is conceptualized, its scope, and the legal safeguards provided. Inclusion of rights like protection from slavery, protection from retrospective punishments, and safeguards against self-incrimination testifies to such a detailed approach. Thus, this article is of particular use to students, academics, and practitioners in need of a consolidated discussion on constitutional rights.</w:t>
      </w:r>
    </w:p>
    <w:p w14:paraId="33BBE062" w14:textId="77777777" w:rsidR="00E84998" w:rsidRPr="00E84998" w:rsidRDefault="00E84998" w:rsidP="00E84998">
      <w:pPr>
        <w:spacing w:line="360" w:lineRule="auto"/>
        <w:rPr>
          <w:rFonts w:asciiTheme="majorBidi" w:hAnsiTheme="majorBidi" w:cstheme="majorBidi"/>
          <w:b/>
          <w:bCs/>
        </w:rPr>
      </w:pPr>
      <w:r w:rsidRPr="00E84998">
        <w:rPr>
          <w:rFonts w:asciiTheme="majorBidi" w:hAnsiTheme="majorBidi" w:cstheme="majorBidi"/>
          <w:b/>
          <w:bCs/>
        </w:rPr>
        <w:t>4. Effective Use of Historical Literature</w:t>
      </w:r>
    </w:p>
    <w:p w14:paraId="499BEEAF"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The article demonstrates that our concept of human rights does not emanate from a single source but rather from a blend of the ideas of Western thinkers, Muslim scholars, and global agreements founded on a centuries-long tradition of moral and political thought.</w:t>
      </w:r>
    </w:p>
    <w:p w14:paraId="7E209CAB"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__________________________________________</w:t>
      </w:r>
    </w:p>
    <w:p w14:paraId="442737F1" w14:textId="77777777" w:rsidR="00E84998" w:rsidRPr="00E84998" w:rsidRDefault="00E84998" w:rsidP="00E84998">
      <w:pPr>
        <w:spacing w:line="360" w:lineRule="auto"/>
        <w:rPr>
          <w:rFonts w:asciiTheme="majorBidi" w:hAnsiTheme="majorBidi" w:cstheme="majorBidi"/>
          <w:b/>
          <w:bCs/>
        </w:rPr>
      </w:pPr>
      <w:r w:rsidRPr="00E84998">
        <w:rPr>
          <w:rFonts w:asciiTheme="majorBidi" w:hAnsiTheme="majorBidi" w:cstheme="majorBidi"/>
          <w:b/>
          <w:bCs/>
        </w:rPr>
        <w:t>Critical Shortcomings of the Article</w:t>
      </w:r>
    </w:p>
    <w:p w14:paraId="2F9A0114"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While the article is rich in information, there are a variety of weaknesses that detract from its critical depth.</w:t>
      </w:r>
    </w:p>
    <w:p w14:paraId="42281EA7" w14:textId="77777777" w:rsidR="00E84998" w:rsidRPr="00E84998" w:rsidRDefault="00E84998" w:rsidP="00E84998">
      <w:pPr>
        <w:spacing w:line="360" w:lineRule="auto"/>
        <w:rPr>
          <w:rFonts w:asciiTheme="majorBidi" w:hAnsiTheme="majorBidi" w:cstheme="majorBidi"/>
          <w:b/>
          <w:bCs/>
        </w:rPr>
      </w:pPr>
      <w:r w:rsidRPr="00E84998">
        <w:rPr>
          <w:rFonts w:asciiTheme="majorBidi" w:hAnsiTheme="majorBidi" w:cstheme="majorBidi"/>
          <w:b/>
          <w:bCs/>
        </w:rPr>
        <w:t>1. Minimal Analysis of Pakistan's Contemporary Rights Challenges</w:t>
      </w:r>
    </w:p>
    <w:p w14:paraId="182CC3F6"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The author does not meaningfully discuss ongoing rights violations or the social and political obstacles to their enforcement in the present day. For example, issues such as:</w:t>
      </w:r>
    </w:p>
    <w:p w14:paraId="08667F4D"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 enforced disappearances,</w:t>
      </w:r>
    </w:p>
    <w:p w14:paraId="5F2E52A9"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w:t>
      </w:r>
      <w:r w:rsidRPr="00E84998">
        <w:rPr>
          <w:rFonts w:asciiTheme="majorBidi" w:hAnsiTheme="majorBidi" w:cstheme="majorBidi"/>
        </w:rPr>
        <w:tab/>
      </w:r>
      <w:r w:rsidRPr="00E84998">
        <w:rPr>
          <w:rFonts w:asciiTheme="majorBidi" w:hAnsiTheme="majorBidi" w:cstheme="majorBidi"/>
        </w:rPr>
        <w:tab/>
        <w:t>custodial torture,</w:t>
      </w:r>
    </w:p>
    <w:p w14:paraId="0F260540"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w:t>
      </w:r>
      <w:r w:rsidRPr="00E84998">
        <w:rPr>
          <w:rFonts w:asciiTheme="majorBidi" w:hAnsiTheme="majorBidi" w:cstheme="majorBidi"/>
        </w:rPr>
        <w:tab/>
        <w:t>there are restrictions on press freedom,</w:t>
      </w:r>
    </w:p>
    <w:p w14:paraId="40A41249"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lastRenderedPageBreak/>
        <w:t>• Minority discrimination</w:t>
      </w:r>
    </w:p>
    <w:p w14:paraId="715E5089"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 Women's rights violations</w:t>
      </w:r>
    </w:p>
    <w:p w14:paraId="4A4485B0"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 digital surveillance,</w:t>
      </w:r>
    </w:p>
    <w:p w14:paraId="41C99CC2"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w:t>
      </w:r>
      <w:r w:rsidRPr="00E84998">
        <w:rPr>
          <w:rFonts w:asciiTheme="majorBidi" w:hAnsiTheme="majorBidi" w:cstheme="majorBidi"/>
        </w:rPr>
        <w:tab/>
        <w:t>misuse of blasphemy laws</w:t>
      </w:r>
    </w:p>
    <w:p w14:paraId="6E8FA6ED"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These are not touched upon, and considering that they are core to the human rights discourse in Pakistan, their absence makes the analysis incomplete. The paper remains largely confined to constitutional theory, without connecting it to present realities.</w:t>
      </w:r>
    </w:p>
    <w:p w14:paraId="1803B3E2" w14:textId="77777777" w:rsidR="00E84998" w:rsidRPr="00E84998" w:rsidRDefault="00E84998" w:rsidP="00E84998">
      <w:pPr>
        <w:spacing w:line="360" w:lineRule="auto"/>
        <w:rPr>
          <w:rFonts w:asciiTheme="majorBidi" w:hAnsiTheme="majorBidi" w:cstheme="majorBidi"/>
          <w:b/>
          <w:bCs/>
        </w:rPr>
      </w:pPr>
      <w:r w:rsidRPr="00E84998">
        <w:rPr>
          <w:rFonts w:asciiTheme="majorBidi" w:hAnsiTheme="majorBidi" w:cstheme="majorBidi"/>
          <w:b/>
          <w:bCs/>
        </w:rPr>
        <w:t>2. Over-Reliance on Historical Context</w:t>
      </w:r>
    </w:p>
    <w:p w14:paraId="61189A39"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There is a long discussion in the article about ancient Greek ideas, medieval charters, and European philosophy. The section is informative but occupies space that could have been used for a deeper critique of Pakistan's own constitutional and political system. The historical overview, though useful, enters superfluous details and shifts focus from what should be its main subject: the fundamental rights regime in Pakistan.</w:t>
      </w:r>
    </w:p>
    <w:p w14:paraId="07E17499" w14:textId="77777777" w:rsidR="00E84998" w:rsidRPr="00E84998" w:rsidRDefault="00E84998" w:rsidP="00E84998">
      <w:pPr>
        <w:spacing w:line="360" w:lineRule="auto"/>
        <w:rPr>
          <w:rFonts w:asciiTheme="majorBidi" w:hAnsiTheme="majorBidi" w:cstheme="majorBidi"/>
          <w:b/>
          <w:bCs/>
        </w:rPr>
      </w:pPr>
      <w:r w:rsidRPr="00E84998">
        <w:rPr>
          <w:rFonts w:asciiTheme="majorBidi" w:hAnsiTheme="majorBidi" w:cstheme="majorBidi"/>
          <w:b/>
          <w:bCs/>
        </w:rPr>
        <w:t>3. Lack of Comparative Evaluation</w:t>
      </w:r>
    </w:p>
    <w:p w14:paraId="6F42B6AB"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While the references encompass works pertaining to India, Canada, and the West, no meaningful comparison is made in the article. A comparison, particularly with India's Constitution—having a similar colonial genesis and structure—would have enriched the analytical dimension. The article reads predominantly descriptive without any comparative or evaluative elements.</w:t>
      </w:r>
    </w:p>
    <w:p w14:paraId="6D66BAF3" w14:textId="77777777" w:rsidR="00E84998" w:rsidRPr="00E84998" w:rsidRDefault="00E84998" w:rsidP="00E84998">
      <w:pPr>
        <w:spacing w:line="360" w:lineRule="auto"/>
        <w:rPr>
          <w:rFonts w:asciiTheme="majorBidi" w:hAnsiTheme="majorBidi" w:cstheme="majorBidi"/>
          <w:b/>
          <w:bCs/>
        </w:rPr>
      </w:pPr>
      <w:r w:rsidRPr="00E84998">
        <w:rPr>
          <w:rFonts w:asciiTheme="majorBidi" w:hAnsiTheme="majorBidi" w:cstheme="majorBidi"/>
          <w:b/>
          <w:bCs/>
        </w:rPr>
        <w:t>4. Limited Institutional Weaknesses Discussion</w:t>
      </w:r>
    </w:p>
    <w:p w14:paraId="191EEDCC"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While the author praises the role of the judiciary, he falls short of a critical examination of the institutional gaps that prevent enforcement of rights on issues such as:</w:t>
      </w:r>
    </w:p>
    <w:p w14:paraId="529565C7"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•Executive overreach,</w:t>
      </w:r>
    </w:p>
    <w:p w14:paraId="486E65C0"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 legislative inconsistencies,</w:t>
      </w:r>
    </w:p>
    <w:p w14:paraId="4E424426"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w:t>
      </w:r>
      <w:proofErr w:type="spellStart"/>
      <w:r w:rsidRPr="00E84998">
        <w:rPr>
          <w:rFonts w:asciiTheme="majorBidi" w:hAnsiTheme="majorBidi" w:cstheme="majorBidi"/>
        </w:rPr>
        <w:t>tWeaken</w:t>
      </w:r>
      <w:proofErr w:type="spellEnd"/>
      <w:r w:rsidRPr="00E84998">
        <w:rPr>
          <w:rFonts w:asciiTheme="majorBidi" w:hAnsiTheme="majorBidi" w:cstheme="majorBidi"/>
        </w:rPr>
        <w:t xml:space="preserve"> accountability mechanisms,</w:t>
      </w:r>
    </w:p>
    <w:p w14:paraId="5F3D57FE"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 lack of police and bureaucratic reforms,</w:t>
      </w:r>
    </w:p>
    <w:p w14:paraId="4F65A495"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 Limited judicial capacity in remote areas.</w:t>
      </w:r>
    </w:p>
    <w:p w14:paraId="0967C4E5"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lastRenderedPageBreak/>
        <w:t>The critical paper should have identified such lacunae and suggested reforms. Instead, what the article does is provide general praise of the judiciary without complete analysis of the institutional challenges.</w:t>
      </w:r>
    </w:p>
    <w:p w14:paraId="6CF933B8" w14:textId="77777777" w:rsidR="00E84998" w:rsidRPr="00E84998" w:rsidRDefault="00E84998" w:rsidP="00E84998">
      <w:pPr>
        <w:spacing w:line="360" w:lineRule="auto"/>
        <w:rPr>
          <w:rFonts w:asciiTheme="majorBidi" w:hAnsiTheme="majorBidi" w:cstheme="majorBidi"/>
          <w:b/>
          <w:bCs/>
        </w:rPr>
      </w:pPr>
      <w:r w:rsidRPr="00E84998">
        <w:rPr>
          <w:rFonts w:asciiTheme="majorBidi" w:hAnsiTheme="majorBidi" w:cstheme="majorBidi"/>
          <w:b/>
          <w:bCs/>
        </w:rPr>
        <w:t>5. Lack of Empirical Data</w:t>
      </w:r>
    </w:p>
    <w:p w14:paraId="2F421254"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The article is heavily reliant on judicial decisions and philosophical literature but does not provide any empirical data, such as statistics of human rights violations, official reports, UN treaty body findings, or surveys. This reduces the analytical depth and limits the usefulness of the paper for policy formulation or academic research that requires evidence based on data.</w:t>
      </w:r>
    </w:p>
    <w:p w14:paraId="14C5FD5B" w14:textId="77777777" w:rsidR="00E84998" w:rsidRPr="00E84998" w:rsidRDefault="00E84998" w:rsidP="00E84998">
      <w:pPr>
        <w:spacing w:line="360" w:lineRule="auto"/>
        <w:rPr>
          <w:rFonts w:asciiTheme="majorBidi" w:hAnsiTheme="majorBidi" w:cstheme="majorBidi"/>
          <w:b/>
          <w:bCs/>
        </w:rPr>
      </w:pPr>
      <w:r w:rsidRPr="00E84998">
        <w:rPr>
          <w:rFonts w:asciiTheme="majorBidi" w:hAnsiTheme="majorBidi" w:cstheme="majorBidi"/>
          <w:b/>
          <w:bCs/>
        </w:rPr>
        <w:t>__________________________________________</w:t>
      </w:r>
    </w:p>
    <w:p w14:paraId="0A954190" w14:textId="77777777" w:rsidR="00E84998" w:rsidRPr="00E84998" w:rsidRDefault="00E84998" w:rsidP="00E84998">
      <w:pPr>
        <w:spacing w:line="360" w:lineRule="auto"/>
        <w:rPr>
          <w:rFonts w:asciiTheme="majorBidi" w:hAnsiTheme="majorBidi" w:cstheme="majorBidi"/>
          <w:b/>
          <w:bCs/>
        </w:rPr>
      </w:pPr>
      <w:r w:rsidRPr="00E84998">
        <w:rPr>
          <w:rFonts w:asciiTheme="majorBidi" w:hAnsiTheme="majorBidi" w:cstheme="majorBidi"/>
          <w:b/>
          <w:bCs/>
        </w:rPr>
        <w:t>Assessment of Scholarly Contribution</w:t>
      </w:r>
    </w:p>
    <w:p w14:paraId="1B00D8F4"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Despite the limitations identified, the article meaningfully contributes to constitutional scholarship in Pakistan. Its strengths lie primarily in:</w:t>
      </w:r>
    </w:p>
    <w:p w14:paraId="0A8FBF7E"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 providing a clear and structured explanation of every basic right;</w:t>
      </w:r>
    </w:p>
    <w:p w14:paraId="47B1F6C0"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 Grounding constitutional protections in both Islamic and universal human rights frameworks</w:t>
      </w:r>
    </w:p>
    <w:p w14:paraId="11540383"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 indicating judicial enforcement through case law,</w:t>
      </w:r>
    </w:p>
    <w:p w14:paraId="5F17714F"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 Synthesizing historical, philosophical, and legal perspectives.</w:t>
      </w:r>
    </w:p>
    <w:p w14:paraId="2162D0CC"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This article is useful both for students of constitutional law and for anyone desiring a general introduction to the rights regime of Pakistan. It also serves as a quick reference for practitioners in search of summaries of the essential rights and applicable case law.</w:t>
      </w:r>
    </w:p>
    <w:p w14:paraId="66F0E791"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However, for the advanced scholar or policymaker, the article will perhaps be insufficiently critical or analytical in that it describes what the Constitution has to say rather than why its implementation remains so weak, what the political or structural issues undermine enforcement, or how international standards influence Pakistan's obligations.</w:t>
      </w:r>
    </w:p>
    <w:p w14:paraId="42F08E20"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_______________________________________</w:t>
      </w:r>
    </w:p>
    <w:p w14:paraId="0CA0AED9" w14:textId="77777777" w:rsidR="00E84998" w:rsidRDefault="00E84998" w:rsidP="00E84998">
      <w:pPr>
        <w:spacing w:line="360" w:lineRule="auto"/>
        <w:rPr>
          <w:rFonts w:asciiTheme="majorBidi" w:hAnsiTheme="majorBidi" w:cstheme="majorBidi"/>
          <w:b/>
          <w:bCs/>
        </w:rPr>
      </w:pPr>
    </w:p>
    <w:p w14:paraId="0D0D2308" w14:textId="77777777" w:rsidR="00E84998" w:rsidRDefault="00E84998" w:rsidP="00E84998">
      <w:pPr>
        <w:spacing w:line="360" w:lineRule="auto"/>
        <w:rPr>
          <w:rFonts w:asciiTheme="majorBidi" w:hAnsiTheme="majorBidi" w:cstheme="majorBidi"/>
          <w:b/>
          <w:bCs/>
        </w:rPr>
      </w:pPr>
    </w:p>
    <w:p w14:paraId="0D9ED3D9" w14:textId="77777777" w:rsidR="00E84998" w:rsidRDefault="00E84998" w:rsidP="00E84998">
      <w:pPr>
        <w:spacing w:line="360" w:lineRule="auto"/>
        <w:rPr>
          <w:rFonts w:asciiTheme="majorBidi" w:hAnsiTheme="majorBidi" w:cstheme="majorBidi"/>
          <w:b/>
          <w:bCs/>
        </w:rPr>
      </w:pPr>
    </w:p>
    <w:p w14:paraId="51449335" w14:textId="2131DCEA" w:rsidR="00E84998" w:rsidRPr="00E84998" w:rsidRDefault="00E84998" w:rsidP="00E84998">
      <w:pPr>
        <w:spacing w:line="360" w:lineRule="auto"/>
        <w:rPr>
          <w:rFonts w:asciiTheme="majorBidi" w:hAnsiTheme="majorBidi" w:cstheme="majorBidi"/>
          <w:b/>
          <w:bCs/>
        </w:rPr>
      </w:pPr>
      <w:r w:rsidRPr="00E84998">
        <w:rPr>
          <w:rFonts w:asciiTheme="majorBidi" w:hAnsiTheme="majorBidi" w:cstheme="majorBidi"/>
          <w:b/>
          <w:bCs/>
        </w:rPr>
        <w:lastRenderedPageBreak/>
        <w:t>Conclusion</w:t>
      </w:r>
    </w:p>
    <w:p w14:paraId="29EBC832"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 xml:space="preserve"> It serves as an excellent beginning to an academic text on the subject of fundamental rights in Pakistan. The incorporation of Islamic principles, natural law theory, and constitutional text testifies to the multi-layered nature of human rights discourse in the country.</w:t>
      </w:r>
    </w:p>
    <w:p w14:paraId="556BF0B7" w14:textId="77777777" w:rsidR="00E84998" w:rsidRPr="00E84998" w:rsidRDefault="00E84998" w:rsidP="00E84998">
      <w:pPr>
        <w:spacing w:line="360" w:lineRule="auto"/>
        <w:rPr>
          <w:rFonts w:asciiTheme="majorBidi" w:hAnsiTheme="majorBidi" w:cstheme="majorBidi"/>
        </w:rPr>
      </w:pPr>
      <w:r w:rsidRPr="00E84998">
        <w:rPr>
          <w:rFonts w:asciiTheme="majorBidi" w:hAnsiTheme="majorBidi" w:cstheme="majorBidi"/>
        </w:rPr>
        <w:t>However, it is only partially a “critical analysis” inasmuch as the article provides a descriptive and doctrinal explanation, lacking deeper critique of state institutions, political culture, and contemporary rights challenges. Work that may develop from this article could benefit from more direct engagement with contemporary conditions pertaining to human rights, empirical evidence, and comparative constitutional frameworks.</w:t>
      </w:r>
    </w:p>
    <w:p w14:paraId="5BE8ADE7" w14:textId="77777777" w:rsidR="00D06B72" w:rsidRPr="00E84998" w:rsidRDefault="00D06B72" w:rsidP="00E84998">
      <w:pPr>
        <w:spacing w:line="360" w:lineRule="auto"/>
        <w:rPr>
          <w:rFonts w:asciiTheme="majorBidi" w:hAnsiTheme="majorBidi" w:cstheme="majorBidi"/>
        </w:rPr>
      </w:pPr>
    </w:p>
    <w:sectPr w:rsidR="00D06B72" w:rsidRPr="00E8499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633EC"/>
    <w:multiLevelType w:val="multilevel"/>
    <w:tmpl w:val="603E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DA0E50"/>
    <w:multiLevelType w:val="multilevel"/>
    <w:tmpl w:val="7714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41667D"/>
    <w:multiLevelType w:val="multilevel"/>
    <w:tmpl w:val="2788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467952">
    <w:abstractNumId w:val="0"/>
  </w:num>
  <w:num w:numId="2" w16cid:durableId="605426344">
    <w:abstractNumId w:val="1"/>
  </w:num>
  <w:num w:numId="3" w16cid:durableId="13011544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B72"/>
    <w:rsid w:val="00692BBF"/>
    <w:rsid w:val="00D06B72"/>
    <w:rsid w:val="00E849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9C8CB"/>
  <w15:chartTrackingRefBased/>
  <w15:docId w15:val="{CDB0E244-CECD-4AAF-B11C-717F977F8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B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6B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B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B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B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B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6B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B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B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B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B72"/>
    <w:rPr>
      <w:rFonts w:eastAsiaTheme="majorEastAsia" w:cstheme="majorBidi"/>
      <w:color w:val="272727" w:themeColor="text1" w:themeTint="D8"/>
    </w:rPr>
  </w:style>
  <w:style w:type="paragraph" w:styleId="Title">
    <w:name w:val="Title"/>
    <w:basedOn w:val="Normal"/>
    <w:next w:val="Normal"/>
    <w:link w:val="TitleChar"/>
    <w:uiPriority w:val="10"/>
    <w:qFormat/>
    <w:rsid w:val="00D06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B72"/>
    <w:pPr>
      <w:spacing w:before="160"/>
      <w:jc w:val="center"/>
    </w:pPr>
    <w:rPr>
      <w:i/>
      <w:iCs/>
      <w:color w:val="404040" w:themeColor="text1" w:themeTint="BF"/>
    </w:rPr>
  </w:style>
  <w:style w:type="character" w:customStyle="1" w:styleId="QuoteChar">
    <w:name w:val="Quote Char"/>
    <w:basedOn w:val="DefaultParagraphFont"/>
    <w:link w:val="Quote"/>
    <w:uiPriority w:val="29"/>
    <w:rsid w:val="00D06B72"/>
    <w:rPr>
      <w:i/>
      <w:iCs/>
      <w:color w:val="404040" w:themeColor="text1" w:themeTint="BF"/>
    </w:rPr>
  </w:style>
  <w:style w:type="paragraph" w:styleId="ListParagraph">
    <w:name w:val="List Paragraph"/>
    <w:basedOn w:val="Normal"/>
    <w:uiPriority w:val="34"/>
    <w:qFormat/>
    <w:rsid w:val="00D06B72"/>
    <w:pPr>
      <w:ind w:left="720"/>
      <w:contextualSpacing/>
    </w:pPr>
  </w:style>
  <w:style w:type="character" w:styleId="IntenseEmphasis">
    <w:name w:val="Intense Emphasis"/>
    <w:basedOn w:val="DefaultParagraphFont"/>
    <w:uiPriority w:val="21"/>
    <w:qFormat/>
    <w:rsid w:val="00D06B72"/>
    <w:rPr>
      <w:i/>
      <w:iCs/>
      <w:color w:val="0F4761" w:themeColor="accent1" w:themeShade="BF"/>
    </w:rPr>
  </w:style>
  <w:style w:type="paragraph" w:styleId="IntenseQuote">
    <w:name w:val="Intense Quote"/>
    <w:basedOn w:val="Normal"/>
    <w:next w:val="Normal"/>
    <w:link w:val="IntenseQuoteChar"/>
    <w:uiPriority w:val="30"/>
    <w:qFormat/>
    <w:rsid w:val="00D06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B72"/>
    <w:rPr>
      <w:i/>
      <w:iCs/>
      <w:color w:val="0F4761" w:themeColor="accent1" w:themeShade="BF"/>
    </w:rPr>
  </w:style>
  <w:style w:type="character" w:styleId="IntenseReference">
    <w:name w:val="Intense Reference"/>
    <w:basedOn w:val="DefaultParagraphFont"/>
    <w:uiPriority w:val="32"/>
    <w:qFormat/>
    <w:rsid w:val="00D06B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1217</Words>
  <Characters>6939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D!akov RePack</dc:creator>
  <cp:keywords/>
  <dc:description/>
  <cp:lastModifiedBy>D!akov RePack</cp:lastModifiedBy>
  <cp:revision>1</cp:revision>
  <dcterms:created xsi:type="dcterms:W3CDTF">2025-11-23T17:16:00Z</dcterms:created>
  <dcterms:modified xsi:type="dcterms:W3CDTF">2025-11-23T17:44:00Z</dcterms:modified>
</cp:coreProperties>
</file>