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00"/>
      </w:pPr>
      <w:r>
        <w:rPr>
          <w:rFonts w:ascii="Arial" w:cs="Arial" w:eastAsia="Arial" w:hAnsi="Arial"/>
          <w:b/>
          <w:bCs/>
          <w:color w:val="1F3864"/>
          <w:sz w:val="38"/>
          <w:szCs w:val="38"/>
        </w:rPr>
        <w:t xml:space="preserve">Customer Value Forecasting System: Modeling Purchase Lifecycles to Maximize Retention</w:t>
      </w:r>
    </w:p>
    <w:p>
      <w:pPr>
        <w:pBdr>
          <w:bottom w:val="single" w:color="1F3864" w:sz="12" w:space="4"/>
        </w:pBdr>
        <w:spacing w:after="160"/>
      </w:pPr>
      <w:r>
        <w:rPr>
          <w:rFonts w:ascii="Arial" w:cs="Arial" w:eastAsia="Arial" w:hAnsi="Arial"/>
          <w:b/>
          <w:bCs/>
          <w:sz w:val="22"/>
          <w:szCs w:val="22"/>
        </w:rPr>
        <w:t xml:space="preserve">Made by Huzaifa Saqib</w:t>
      </w:r>
      <w:r>
        <w:rPr>
          <w:rFonts w:ascii="Arial" w:cs="Arial" w:eastAsia="Arial" w:hAnsi="Arial"/>
          <w:color w:val="595959"/>
          <w:sz w:val="22"/>
          <w:szCs w:val="22"/>
        </w:rPr>
        <w:t xml:space="preserve">   |   17 October 2026</w:t>
      </w:r>
    </w:p>
    <w:p>
      <w:pPr>
        <w:keepNext/>
        <w:pBdr>
          <w:bottom w:val="single" w:color="1F3864" w:sz="6" w:space="2"/>
        </w:pBdr>
        <w:spacing w:after="70" w:before="170"/>
      </w:pPr>
      <w:r>
        <w:rPr>
          <w:rFonts w:ascii="Arial" w:cs="Arial" w:eastAsia="Arial" w:hAnsi="Arial"/>
          <w:b/>
          <w:bCs/>
          <w:color w:val="1F3864"/>
          <w:sz w:val="24"/>
          <w:szCs w:val="24"/>
        </w:rPr>
        <w:t xml:space="preserve">Executive Summary</w:t>
      </w:r>
    </w:p>
    <w:p>
      <w:pPr>
        <w:spacing w:after="80" w:line="257"/>
      </w:pPr>
      <w:r>
        <w:rPr>
          <w:rFonts w:ascii="Arial" w:cs="Arial" w:eastAsia="Arial" w:hAnsi="Arial"/>
          <w:sz w:val="20"/>
          <w:szCs w:val="20"/>
        </w:rPr>
        <w:t xml:space="preserve">This project builds a customer value forecasting system on retail transaction data from January 2022 to December 2025. Using purchase history up to the end of 2024, it predicts how much each of 11,459 customers will spend in 2025, estimates whether each customer is still active, and flags customers who are drifting away. Probabilistic models (BG/NBD and Gamma-Gamma) were combined with XGBoost, and the outputs were turned into value segments, a time-to-second-purchase analysis, a churn and win-back framework, and a SHAP explanation of what drives the forecasts.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6700"/>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tcPr>
          <w:p>
            <w:pPr>
              <w:keepNext w:val="false"/>
              <w:jc w:val="left"/>
            </w:pPr>
            <w:r>
              <w:rPr>
                <w:rFonts w:ascii="Arial" w:cs="Arial" w:eastAsia="Arial" w:hAnsi="Arial"/>
                <w:b/>
                <w:bCs/>
                <w:color w:val="FFFFFF"/>
                <w:sz w:val="18"/>
                <w:szCs w:val="18"/>
              </w:rPr>
              <w:t xml:space="preserve">Headline</w:t>
            </w:r>
          </w:p>
        </w:tc>
        <w:tc>
          <w:tcPr>
            <w:tcW w:type="dxa" w:w="67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tcPr>
          <w:p>
            <w:pPr>
              <w:keepNext w:val="false"/>
              <w:jc w:val="left"/>
            </w:pPr>
            <w:r>
              <w:rPr>
                <w:rFonts w:ascii="Arial" w:cs="Arial" w:eastAsia="Arial" w:hAnsi="Arial"/>
                <w:b/>
                <w:bCs/>
                <w:color w:val="FFFFFF"/>
                <w:sz w:val="18"/>
                <w:szCs w:val="18"/>
              </w:rPr>
              <w:t xml:space="preserve">Result</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bCs/>
                <w:sz w:val="18"/>
                <w:szCs w:val="18"/>
              </w:rPr>
              <w:t xml:space="preserve">Forecast accuracy (2,292 unseen customers)</w:t>
            </w:r>
          </w:p>
        </w:tc>
        <w:tc>
          <w:tcPr>
            <w:tcW w:type="dxa" w:w="67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Hybrid XGBoost: MAE 811.90, RMSE 1,436.69, R² 0.60. This beats the behavioural-only model (MAE 817.58) by under 1%.</w:t>
            </w:r>
          </w:p>
        </w:tc>
      </w:tr>
      <w:tr>
        <w:trPr>
          <w:cantSplit/>
          <w:tblHeader w:val="false"/>
        </w:trPr>
        <w:tc>
          <w:tcPr>
            <w:tcW w:type="dxa" w:w="30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bCs/>
                <w:sz w:val="18"/>
                <w:szCs w:val="18"/>
              </w:rPr>
              <w:t xml:space="preserve">What drives revenue</w:t>
            </w:r>
          </w:p>
        </w:tc>
        <w:tc>
          <w:tcPr>
            <w:tcW w:type="dxa" w:w="67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Spend per order (AverageOrderValue) and TotalRevenue account for about two-thirds of model importance. Purchase frequency barely matters.</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bCs/>
                <w:sz w:val="18"/>
                <w:szCs w:val="18"/>
              </w:rPr>
              <w:t xml:space="preserve">Customer lifecycle</w:t>
            </w:r>
          </w:p>
        </w:tc>
        <w:tc>
          <w:tcPr>
            <w:tcW w:type="dxa" w:w="67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Roughly half of new customers make a second purchase within about 110 days, and about 90% do so eventually (read from the survival curve).</w:t>
            </w:r>
          </w:p>
        </w:tc>
      </w:tr>
      <w:tr>
        <w:trPr>
          <w:cantSplit/>
          <w:tblHeader w:val="false"/>
        </w:trPr>
        <w:tc>
          <w:tcPr>
            <w:tcW w:type="dxa" w:w="30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bCs/>
                <w:sz w:val="18"/>
                <w:szCs w:val="18"/>
              </w:rPr>
              <w:t xml:space="preserve">Churn</w:t>
            </w:r>
          </w:p>
        </w:tc>
        <w:tc>
          <w:tcPr>
            <w:tcW w:type="dxa" w:w="67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3,481 customers (30.4%) are churned; 99.7% of them are in the Low-Value segment. Only 11 churned customers are VIP, Loyal or Occasional.</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bCs/>
                <w:sz w:val="18"/>
                <w:szCs w:val="18"/>
              </w:rPr>
              <w:t xml:space="preserve">Win-back</w:t>
            </w:r>
          </w:p>
        </w:tc>
        <w:tc>
          <w:tcPr>
            <w:tcW w:type="dxa" w:w="67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1,414 customers sit in the 300 to 400 day Win-Back window, 311 of them VIP or Loyal. A 10% recovery scenario is worth about $307,339 (assumption-based).</w:t>
            </w:r>
          </w:p>
        </w:tc>
      </w:tr>
    </w:tbl>
    <w:p>
      <w:pPr>
        <w:spacing w:after="40"/>
      </w:pPr>
    </w:p>
    <w:p>
      <w:pPr>
        <w:spacing w:after="80" w:line="257"/>
      </w:pPr>
      <w:r>
        <w:rPr>
          <w:rFonts w:ascii="Arial" w:cs="Arial" w:eastAsia="Arial" w:hAnsi="Arial"/>
          <w:b/>
          <w:bCs/>
          <w:sz w:val="20"/>
          <w:szCs w:val="20"/>
        </w:rPr>
        <w:t xml:space="preserve">Main recommendation: </w:t>
      </w:r>
      <w:r>
        <w:rPr>
          <w:rFonts w:ascii="Arial" w:cs="Arial" w:eastAsia="Arial" w:hAnsi="Arial"/>
          <w:sz w:val="20"/>
          <w:szCs w:val="20"/>
        </w:rPr>
        <w:t xml:space="preserve">act on the Win-Back window now, starting with the 311 high-value customers, build lifecycle nudges around the first 100 to 200 days after a first purchase, and treat the Low-Value segment with low-cost automated contact only. Section 7 gives the full action plan.</w:t>
      </w:r>
    </w:p>
    <w:p>
      <w:pPr>
        <w:keepNext/>
        <w:pBdr>
          <w:bottom w:val="single" w:color="1F3864" w:sz="6" w:space="2"/>
        </w:pBdr>
        <w:spacing w:after="70" w:before="170"/>
      </w:pPr>
      <w:r>
        <w:rPr>
          <w:rFonts w:ascii="Arial" w:cs="Arial" w:eastAsia="Arial" w:hAnsi="Arial"/>
          <w:b/>
          <w:bCs/>
          <w:color w:val="1F3864"/>
          <w:sz w:val="24"/>
          <w:szCs w:val="24"/>
        </w:rPr>
        <w:t xml:space="preserve">1. Data and Cleaning</w:t>
      </w:r>
    </w:p>
    <w:p>
      <w:pPr>
        <w:spacing w:after="80" w:line="257"/>
      </w:pPr>
      <w:r>
        <w:rPr>
          <w:rFonts w:ascii="Arial" w:cs="Arial" w:eastAsia="Arial" w:hAnsi="Arial"/>
          <w:sz w:val="20"/>
          <w:szCs w:val="20"/>
        </w:rPr>
        <w:t xml:space="preserve">The dataset holds order-line transactions (customer, order, product, category, country, date, quantity, unit price). The analysis window is 1 January 2022 to 31 December 2025. Revenue is Quantity x UnitPrice, summed to order level. Rows with negative quantity are kept as returns, so a customer's revenue is net of returns.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700"/>
        <w:gridCol w:w="3800"/>
        <w:gridCol w:w="3200"/>
      </w:tblGrid>
      <w:tr>
        <w:trPr>
          <w:cantSplit/>
          <w:tblHeader/>
        </w:trPr>
        <w:tc>
          <w:tcPr>
            <w:tcW w:type="dxa" w:w="27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tcPr>
          <w:p>
            <w:pPr>
              <w:keepNext w:val="false"/>
              <w:jc w:val="left"/>
            </w:pPr>
            <w:r>
              <w:rPr>
                <w:rFonts w:ascii="Arial" w:cs="Arial" w:eastAsia="Arial" w:hAnsi="Arial"/>
                <w:b/>
                <w:bCs/>
                <w:color w:val="FFFFFF"/>
                <w:sz w:val="18"/>
                <w:szCs w:val="18"/>
              </w:rPr>
              <w:t xml:space="preserve">Issue found</w:t>
            </w:r>
          </w:p>
        </w:tc>
        <w:tc>
          <w:tcPr>
            <w:tcW w:type="dxa" w:w="38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tcPr>
          <w:p>
            <w:pPr>
              <w:keepNext w:val="false"/>
              <w:jc w:val="left"/>
            </w:pPr>
            <w:r>
              <w:rPr>
                <w:rFonts w:ascii="Arial" w:cs="Arial" w:eastAsia="Arial" w:hAnsi="Arial"/>
                <w:b/>
                <w:bCs/>
                <w:color w:val="FFFFFF"/>
                <w:sz w:val="18"/>
                <w:szCs w:val="18"/>
              </w:rPr>
              <w:t xml:space="preserve">Action taken</w:t>
            </w:r>
          </w:p>
        </w:tc>
        <w:tc>
          <w:tcPr>
            <w:tcW w:type="dxa" w:w="32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tcPr>
          <w:p>
            <w:pPr>
              <w:keepNext w:val="false"/>
              <w:jc w:val="left"/>
            </w:pPr>
            <w:r>
              <w:rPr>
                <w:rFonts w:ascii="Arial" w:cs="Arial" w:eastAsia="Arial" w:hAnsi="Arial"/>
                <w:b/>
                <w:bCs/>
                <w:color w:val="FFFFFF"/>
                <w:sz w:val="18"/>
                <w:szCs w:val="18"/>
              </w:rPr>
              <w:t xml:space="preserve">Reason</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bCs/>
                <w:sz w:val="18"/>
                <w:szCs w:val="18"/>
              </w:rPr>
              <w:t xml:space="preserve">Missing values</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Rows with missing fields dropped</w:t>
            </w:r>
          </w:p>
        </w:tc>
        <w:tc>
          <w:tcPr>
            <w:tcW w:type="dxa" w:w="32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Incomplete records cannot be modelled reliably</w:t>
            </w:r>
          </w:p>
        </w:tc>
      </w:tr>
      <w:tr>
        <w:trPr>
          <w:cantSplit/>
          <w:tblHeader w:val="false"/>
        </w:trPr>
        <w:tc>
          <w:tcPr>
            <w:tcW w:type="dxa" w:w="27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bCs/>
                <w:sz w:val="18"/>
                <w:szCs w:val="18"/>
              </w:rPr>
              <w:t xml:space="preserve">Mixed date formats</w:t>
            </w:r>
          </w:p>
        </w:tc>
        <w:tc>
          <w:tcPr>
            <w:tcW w:type="dxa" w:w="38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Parsed with flexible date parsing</w:t>
            </w:r>
          </w:p>
        </w:tc>
        <w:tc>
          <w:tcPr>
            <w:tcW w:type="dxa" w:w="32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Consistent time ordering</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bCs/>
                <w:sz w:val="18"/>
                <w:szCs w:val="18"/>
              </w:rPr>
              <w:t xml:space="preserve">Dates outside 2022 to 2025</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Rows removed</w:t>
            </w:r>
          </w:p>
        </w:tc>
        <w:tc>
          <w:tcPr>
            <w:tcW w:type="dxa" w:w="32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Outside the analysis window</w:t>
            </w:r>
          </w:p>
        </w:tc>
      </w:tr>
      <w:tr>
        <w:trPr>
          <w:cantSplit/>
          <w:tblHeader w:val="false"/>
        </w:trPr>
        <w:tc>
          <w:tcPr>
            <w:tcW w:type="dxa" w:w="27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bCs/>
                <w:sz w:val="18"/>
                <w:szCs w:val="18"/>
              </w:rPr>
              <w:t xml:space="preserve">Negative unit prices</w:t>
            </w:r>
          </w:p>
        </w:tc>
        <w:tc>
          <w:tcPr>
            <w:tcW w:type="dxa" w:w="38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Converted to absolute values</w:t>
            </w:r>
          </w:p>
        </w:tc>
        <w:tc>
          <w:tcPr>
            <w:tcW w:type="dxa" w:w="32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Treated as sign entry errors</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bCs/>
                <w:sz w:val="18"/>
                <w:szCs w:val="18"/>
              </w:rPr>
              <w:t xml:space="preserve">Zero quantity or zero price</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Rows removed</w:t>
            </w:r>
          </w:p>
        </w:tc>
        <w:tc>
          <w:tcPr>
            <w:tcW w:type="dxa" w:w="32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No commercial meaning</w:t>
            </w:r>
          </w:p>
        </w:tc>
      </w:tr>
      <w:tr>
        <w:trPr>
          <w:cantSplit/>
          <w:tblHeader w:val="false"/>
        </w:trPr>
        <w:tc>
          <w:tcPr>
            <w:tcW w:type="dxa" w:w="27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bCs/>
                <w:sz w:val="18"/>
                <w:szCs w:val="18"/>
              </w:rPr>
              <w:t xml:space="preserve">Extreme prices (above 1,292.04)</w:t>
            </w:r>
          </w:p>
        </w:tc>
        <w:tc>
          <w:tcPr>
            <w:tcW w:type="dxa" w:w="38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Rows removed</w:t>
            </w:r>
          </w:p>
        </w:tc>
        <w:tc>
          <w:tcPr>
            <w:tcW w:type="dxa" w:w="32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Outliers chosen after inspecting the upper price percentiles</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bCs/>
                <w:sz w:val="18"/>
                <w:szCs w:val="18"/>
              </w:rPr>
              <w:t xml:space="preserve">Inconsistent text</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Trimmed and standardized IDs, product, category and country</w:t>
            </w:r>
          </w:p>
        </w:tc>
        <w:tc>
          <w:tcPr>
            <w:tcW w:type="dxa" w:w="32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Avoids duplicate labels</w:t>
            </w:r>
          </w:p>
        </w:tc>
      </w:tr>
      <w:tr>
        <w:trPr>
          <w:cantSplit/>
          <w:tblHeader w:val="false"/>
        </w:trPr>
        <w:tc>
          <w:tcPr>
            <w:tcW w:type="dxa" w:w="27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bCs/>
                <w:sz w:val="18"/>
                <w:szCs w:val="18"/>
              </w:rPr>
              <w:t xml:space="preserve">Country variants (UK, U.S.A., UAE...)</w:t>
            </w:r>
          </w:p>
        </w:tc>
        <w:tc>
          <w:tcPr>
            <w:tcW w:type="dxa" w:w="38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Mapped to United Kingdom, United States, United Arab Emirates</w:t>
            </w:r>
          </w:p>
        </w:tc>
        <w:tc>
          <w:tcPr>
            <w:tcW w:type="dxa" w:w="32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One label per country</w:t>
            </w:r>
          </w:p>
        </w:tc>
      </w:tr>
    </w:tbl>
    <w:p>
      <w:pPr>
        <w:keepNext/>
        <w:pBdr>
          <w:bottom w:val="single" w:color="1F3864" w:sz="6" w:space="2"/>
        </w:pBdr>
        <w:spacing w:after="70" w:before="170"/>
      </w:pPr>
      <w:r>
        <w:rPr>
          <w:rFonts w:ascii="Arial" w:cs="Arial" w:eastAsia="Arial" w:hAnsi="Arial"/>
          <w:b/>
          <w:bCs/>
          <w:color w:val="1F3864"/>
          <w:sz w:val="24"/>
          <w:szCs w:val="24"/>
        </w:rPr>
        <w:t xml:space="preserve">2. Methodology</w:t>
      </w:r>
    </w:p>
    <w:p>
      <w:pPr>
        <w:spacing w:after="80" w:line="257"/>
      </w:pPr>
      <w:r>
        <w:rPr>
          <w:rFonts w:ascii="Arial" w:cs="Arial" w:eastAsia="Arial" w:hAnsi="Arial"/>
          <w:b/>
          <w:bCs/>
          <w:sz w:val="20"/>
          <w:szCs w:val="20"/>
        </w:rPr>
        <w:t xml:space="preserve">Design. </w:t>
      </w:r>
      <w:r>
        <w:rPr>
          <w:rFonts w:ascii="Arial" w:cs="Arial" w:eastAsia="Arial" w:hAnsi="Arial"/>
          <w:sz w:val="20"/>
          <w:szCs w:val="20"/>
        </w:rPr>
        <w:t xml:space="preserve">The data was split in time. Orders up to 31 December 2024 form the calibration period used to build features; 2025 is the holdout period used as the target. 11,459 customers have at least one order before 2025.</w:t>
      </w:r>
    </w:p>
    <w:p>
      <w:pPr>
        <w:spacing w:after="80" w:line="257"/>
      </w:pPr>
      <w:r>
        <w:rPr>
          <w:rFonts w:ascii="Arial" w:cs="Arial" w:eastAsia="Arial" w:hAnsi="Arial"/>
          <w:b/>
          <w:bCs/>
          <w:sz w:val="20"/>
          <w:szCs w:val="20"/>
        </w:rPr>
        <w:t xml:space="preserve">Probabilistic models. </w:t>
      </w:r>
      <w:r>
        <w:rPr>
          <w:rFonts w:ascii="Arial" w:cs="Arial" w:eastAsia="Arial" w:hAnsi="Arial"/>
          <w:sz w:val="20"/>
          <w:szCs w:val="20"/>
        </w:rPr>
        <w:t xml:space="preserve">BG/NBD (penalizer 0.001) uses each customer's repeat orders, recency and tenure to estimate the probability the customer is still active (P_active) and the expected number of 2025 purchases. Gamma-Gamma (penalizer 0.001) estimates expected order value from customers with repeat purchases. Predicted_2025_Revenue is expected purchases multiplied by expected order value.</w:t>
      </w:r>
    </w:p>
    <w:p>
      <w:pPr>
        <w:spacing w:after="80" w:line="257"/>
      </w:pPr>
      <w:r>
        <w:rPr>
          <w:rFonts w:ascii="Arial" w:cs="Arial" w:eastAsia="Arial" w:hAnsi="Arial"/>
          <w:b/>
          <w:bCs/>
          <w:sz w:val="20"/>
          <w:szCs w:val="20"/>
        </w:rPr>
        <w:t xml:space="preserve">Machine learning. </w:t>
      </w:r>
      <w:r>
        <w:rPr>
          <w:rFonts w:ascii="Arial" w:cs="Arial" w:eastAsia="Arial" w:hAnsi="Arial"/>
          <w:sz w:val="20"/>
          <w:szCs w:val="20"/>
        </w:rPr>
        <w:t xml:space="preserve">Two XGBoost regressors predict each customer's actual 2025 revenue (zero if they did not buy): a behavioural model (21 inputs) and a hybrid model (25 inputs, adding the four probabilistic outputs). Settings: 500 trees, learning rate 0.05, depth 4, 80% row and column sampling, random seed 42. An 80/20 random split gives 9,167 training and 2,292 test customers.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300"/>
        <w:gridCol w:w="5500"/>
        <w:gridCol w:w="19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tcPr>
          <w:p>
            <w:pPr>
              <w:keepNext w:val="false"/>
              <w:jc w:val="left"/>
            </w:pPr>
            <w:r>
              <w:rPr>
                <w:rFonts w:ascii="Arial" w:cs="Arial" w:eastAsia="Arial" w:hAnsi="Arial"/>
                <w:b/>
                <w:bCs/>
                <w:color w:val="FFFFFF"/>
                <w:sz w:val="18"/>
                <w:szCs w:val="18"/>
              </w:rPr>
              <w:t xml:space="preserve">Feature group</w:t>
            </w:r>
          </w:p>
        </w:tc>
        <w:tc>
          <w:tcPr>
            <w:tcW w:type="dxa" w:w="55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tcPr>
          <w:p>
            <w:pPr>
              <w:keepNext w:val="false"/>
              <w:jc w:val="left"/>
            </w:pPr>
            <w:r>
              <w:rPr>
                <w:rFonts w:ascii="Arial" w:cs="Arial" w:eastAsia="Arial" w:hAnsi="Arial"/>
                <w:b/>
                <w:bCs/>
                <w:color w:val="FFFFFF"/>
                <w:sz w:val="18"/>
                <w:szCs w:val="18"/>
              </w:rPr>
              <w:t xml:space="preserve">Features</w:t>
            </w:r>
          </w:p>
        </w:tc>
        <w:tc>
          <w:tcPr>
            <w:tcW w:type="dxa" w:w="19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tcPr>
          <w:p>
            <w:pPr>
              <w:keepNext w:val="false"/>
              <w:jc w:val="center"/>
            </w:pPr>
            <w:r>
              <w:rPr>
                <w:rFonts w:ascii="Arial" w:cs="Arial" w:eastAsia="Arial" w:hAnsi="Arial"/>
                <w:b/>
                <w:bCs/>
                <w:color w:val="FFFFFF"/>
                <w:sz w:val="18"/>
                <w:szCs w:val="18"/>
              </w:rPr>
              <w:t xml:space="preserve">Count</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bCs/>
                <w:sz w:val="18"/>
                <w:szCs w:val="18"/>
              </w:rPr>
              <w:t xml:space="preserve">Lifecycle</w:t>
            </w:r>
          </w:p>
        </w:tc>
        <w:tc>
          <w:tcPr>
            <w:tcW w:type="dxa" w:w="55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TotalOrders, Frequency, Recency, Tenure</w:t>
            </w:r>
          </w:p>
        </w:tc>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4</w:t>
            </w:r>
          </w:p>
        </w:tc>
      </w:tr>
      <w:tr>
        <w:trPr>
          <w:cantSplit/>
          <w:tblHeader w:val="false"/>
        </w:trPr>
        <w:tc>
          <w:tcPr>
            <w:tcW w:type="dxa" w:w="23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bCs/>
                <w:sz w:val="18"/>
                <w:szCs w:val="18"/>
              </w:rPr>
              <w:t xml:space="preserve">Monetary</w:t>
            </w:r>
          </w:p>
        </w:tc>
        <w:tc>
          <w:tcPr>
            <w:tcW w:type="dxa" w:w="55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TotalRevenue, AverageOrderValue, RevenueStd</w:t>
            </w:r>
          </w:p>
        </w:tc>
        <w:tc>
          <w:tcPr>
            <w:tcW w:type="dxa" w:w="19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3</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bCs/>
                <w:sz w:val="18"/>
                <w:szCs w:val="18"/>
              </w:rPr>
              <w:t xml:space="preserve">Purchase timing</w:t>
            </w:r>
          </w:p>
        </w:tc>
        <w:tc>
          <w:tcPr>
            <w:tcW w:type="dxa" w:w="55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AverageInterval, IntervalStd</w:t>
            </w:r>
          </w:p>
        </w:tc>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2</w:t>
            </w:r>
          </w:p>
        </w:tc>
      </w:tr>
      <w:tr>
        <w:trPr>
          <w:cantSplit/>
          <w:tblHeader w:val="false"/>
        </w:trPr>
        <w:tc>
          <w:tcPr>
            <w:tcW w:type="dxa" w:w="23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bCs/>
                <w:sz w:val="18"/>
                <w:szCs w:val="18"/>
              </w:rPr>
              <w:t xml:space="preserve">Product variety</w:t>
            </w:r>
          </w:p>
        </w:tc>
        <w:tc>
          <w:tcPr>
            <w:tcW w:type="dxa" w:w="55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UniqueProducts, UniqueCategory</w:t>
            </w:r>
          </w:p>
        </w:tc>
        <w:tc>
          <w:tcPr>
            <w:tcW w:type="dxa" w:w="19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2</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bCs/>
                <w:sz w:val="18"/>
                <w:szCs w:val="18"/>
              </w:rPr>
              <w:t xml:space="preserve">Returns</w:t>
            </w:r>
          </w:p>
        </w:tc>
        <w:tc>
          <w:tcPr>
            <w:tcW w:type="dxa" w:w="55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ReturnCount, TotalReturnValue, ReturnRate</w:t>
            </w:r>
          </w:p>
        </w:tc>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3</w:t>
            </w:r>
          </w:p>
        </w:tc>
      </w:tr>
      <w:tr>
        <w:trPr>
          <w:cantSplit/>
          <w:tblHeader w:val="false"/>
        </w:trPr>
        <w:tc>
          <w:tcPr>
            <w:tcW w:type="dxa" w:w="23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bCs/>
                <w:sz w:val="18"/>
                <w:szCs w:val="18"/>
              </w:rPr>
              <w:t xml:space="preserve">Recent activity</w:t>
            </w:r>
          </w:p>
        </w:tc>
        <w:tc>
          <w:tcPr>
            <w:tcW w:type="dxa" w:w="55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RecentOrders90/180, RecentRevenue90/180</w:t>
            </w:r>
          </w:p>
        </w:tc>
        <w:tc>
          <w:tcPr>
            <w:tcW w:type="dxa" w:w="19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4</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bCs/>
                <w:sz w:val="18"/>
                <w:szCs w:val="18"/>
              </w:rPr>
              <w:t xml:space="preserve">Missing-value flags</w:t>
            </w:r>
          </w:p>
        </w:tc>
        <w:tc>
          <w:tcPr>
            <w:tcW w:type="dxa" w:w="55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RevenueStd, AverageInterval, IntervalStd (missing for one-order customers)</w:t>
            </w:r>
          </w:p>
        </w:tc>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3</w:t>
            </w:r>
          </w:p>
        </w:tc>
      </w:tr>
      <w:tr>
        <w:trPr>
          <w:cantSplit/>
          <w:tblHeader w:val="false"/>
        </w:trPr>
        <w:tc>
          <w:tcPr>
            <w:tcW w:type="dxa" w:w="23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bCs/>
                <w:sz w:val="18"/>
                <w:szCs w:val="18"/>
              </w:rPr>
              <w:t xml:space="preserve">Probabilistic (hybrid only)</w:t>
            </w:r>
          </w:p>
        </w:tc>
        <w:tc>
          <w:tcPr>
            <w:tcW w:type="dxa" w:w="55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P_active, 2025_Predictions, Expected_Monetary_Value, Predicted_2025_Revenue</w:t>
            </w:r>
          </w:p>
        </w:tc>
        <w:tc>
          <w:tcPr>
            <w:tcW w:type="dxa" w:w="19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4</w:t>
            </w:r>
          </w:p>
        </w:tc>
      </w:tr>
    </w:tbl>
    <w:p>
      <w:pPr>
        <w:spacing w:after="50"/>
      </w:pPr>
    </w:p>
    <w:p>
      <w:pPr>
        <w:spacing w:after="80" w:line="257"/>
      </w:pPr>
      <w:r>
        <w:rPr>
          <w:rFonts w:ascii="Arial" w:cs="Arial" w:eastAsia="Arial" w:hAnsi="Arial"/>
          <w:b/>
          <w:bCs/>
          <w:sz w:val="20"/>
          <w:szCs w:val="20"/>
        </w:rPr>
        <w:t xml:space="preserve">Segmentation and lifecycle. </w:t>
      </w:r>
      <w:r>
        <w:rPr>
          <w:rFonts w:ascii="Arial" w:cs="Arial" w:eastAsia="Arial" w:hAnsi="Arial"/>
          <w:sz w:val="20"/>
          <w:szCs w:val="20"/>
        </w:rPr>
        <w:t xml:space="preserve">Customers are ranked by hybrid predicted revenue: top 10% VIP, next 20% Loyal, next 20% Occasional, bottom 50% Low-Value. A Kaplan-Meier curve measures time from first to second purchase for customers acquired 2022 to 2024. Churn status uses days since last purchase at 31 December 2025: Active (under 300), Win-Back (300 to 400), Churned (over 400). Missing values: spread measures were set to 0 with a flag, and probabilistic gaps were filled with the median.</w:t>
      </w:r>
    </w:p>
    <w:p>
      <w:pPr>
        <w:keepNext/>
        <w:pBdr>
          <w:bottom w:val="single" w:color="1F3864" w:sz="6" w:space="2"/>
        </w:pBdr>
        <w:spacing w:after="70" w:before="170"/>
      </w:pPr>
      <w:r>
        <w:rPr>
          <w:rFonts w:ascii="Arial" w:cs="Arial" w:eastAsia="Arial" w:hAnsi="Arial"/>
          <w:b/>
          <w:bCs/>
          <w:color w:val="1F3864"/>
          <w:sz w:val="24"/>
          <w:szCs w:val="24"/>
        </w:rPr>
        <w:t xml:space="preserve">3. Results</w:t>
      </w:r>
    </w:p>
    <w:p>
      <w:pPr>
        <w:keepNext/>
        <w:spacing w:after="50" w:before="100"/>
      </w:pPr>
      <w:r>
        <w:rPr>
          <w:rFonts w:ascii="Arial" w:cs="Arial" w:eastAsia="Arial" w:hAnsi="Arial"/>
          <w:b/>
          <w:bCs/>
          <w:color w:val="1F3864"/>
          <w:sz w:val="20"/>
          <w:szCs w:val="20"/>
        </w:rPr>
        <w:t xml:space="preserve">3.1 Forecasting performance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1500"/>
        <w:gridCol w:w="1500"/>
        <w:gridCol w:w="1600"/>
      </w:tblGrid>
      <w:tr>
        <w:trPr>
          <w:cantSplit/>
          <w:tblHeader/>
        </w:trPr>
        <w:tc>
          <w:tcPr>
            <w:tcW w:type="dxa" w:w="29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tcPr>
          <w:p>
            <w:pPr>
              <w:keepNext w:val="false"/>
              <w:jc w:val="left"/>
            </w:pPr>
            <w:r>
              <w:rPr>
                <w:rFonts w:ascii="Arial" w:cs="Arial" w:eastAsia="Arial" w:hAnsi="Arial"/>
                <w:b/>
                <w:bCs/>
                <w:color w:val="FFFFFF"/>
                <w:sz w:val="18"/>
                <w:szCs w:val="18"/>
              </w:rPr>
              <w:t xml:space="preserve">Model</w:t>
            </w:r>
          </w:p>
        </w:tc>
        <w:tc>
          <w:tcPr>
            <w:tcW w:type="dxa" w:w="22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tcPr>
          <w:p>
            <w:pPr>
              <w:keepNext w:val="false"/>
              <w:jc w:val="left"/>
            </w:pPr>
            <w:r>
              <w:rPr>
                <w:rFonts w:ascii="Arial" w:cs="Arial" w:eastAsia="Arial" w:hAnsi="Arial"/>
                <w:b/>
                <w:bCs/>
                <w:color w:val="FFFFFF"/>
                <w:sz w:val="18"/>
                <w:szCs w:val="18"/>
              </w:rPr>
              <w:t xml:space="preserve">Target</w:t>
            </w:r>
          </w:p>
        </w:tc>
        <w:tc>
          <w:tcPr>
            <w:tcW w:type="dxa" w:w="15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tcPr>
          <w:p>
            <w:pPr>
              <w:keepNext w:val="false"/>
              <w:jc w:val="center"/>
            </w:pPr>
            <w:r>
              <w:rPr>
                <w:rFonts w:ascii="Arial" w:cs="Arial" w:eastAsia="Arial" w:hAnsi="Arial"/>
                <w:b/>
                <w:bCs/>
                <w:color w:val="FFFFFF"/>
                <w:sz w:val="18"/>
                <w:szCs w:val="18"/>
              </w:rPr>
              <w:t xml:space="preserve">MAE</w:t>
            </w:r>
          </w:p>
        </w:tc>
        <w:tc>
          <w:tcPr>
            <w:tcW w:type="dxa" w:w="15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tcPr>
          <w:p>
            <w:pPr>
              <w:keepNext w:val="false"/>
              <w:jc w:val="center"/>
            </w:pPr>
            <w:r>
              <w:rPr>
                <w:rFonts w:ascii="Arial" w:cs="Arial" w:eastAsia="Arial" w:hAnsi="Arial"/>
                <w:b/>
                <w:bCs/>
                <w:color w:val="FFFFFF"/>
                <w:sz w:val="18"/>
                <w:szCs w:val="18"/>
              </w:rPr>
              <w:t xml:space="preserve">RMSE</w:t>
            </w:r>
          </w:p>
        </w:tc>
        <w:tc>
          <w:tcPr>
            <w:tcW w:type="dxa" w:w="16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tcPr>
          <w:p>
            <w:pPr>
              <w:keepNext w:val="false"/>
              <w:jc w:val="center"/>
            </w:pPr>
            <w:r>
              <w:rPr>
                <w:rFonts w:ascii="Arial" w:cs="Arial" w:eastAsia="Arial" w:hAnsi="Arial"/>
                <w:b/>
                <w:bCs/>
                <w:color w:val="FFFFFF"/>
                <w:sz w:val="18"/>
                <w:szCs w:val="18"/>
              </w:rPr>
              <w:t xml:space="preserve">R²</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bCs/>
                <w:sz w:val="18"/>
                <w:szCs w:val="18"/>
              </w:rPr>
              <w:t xml:space="preserve">BG/NBD + Gamma-Gamma</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Purchase count</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1.11</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1.60*</w:t>
            </w:r>
          </w:p>
        </w:tc>
        <w:tc>
          <w:tcPr>
            <w:tcW w:type="dxa" w:w="16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n/a</w:t>
            </w:r>
          </w:p>
        </w:tc>
      </w:tr>
      <w:tr>
        <w:trPr>
          <w:cantSplit/>
          <w:tblHeader w:val="false"/>
        </w:trPr>
        <w:tc>
          <w:tcPr>
            <w:tcW w:type="dxa" w:w="29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bCs/>
                <w:sz w:val="18"/>
                <w:szCs w:val="18"/>
              </w:rPr>
              <w:t xml:space="preserve">Behavioural XGBoost</w:t>
            </w:r>
          </w:p>
        </w:tc>
        <w:tc>
          <w:tcPr>
            <w:tcW w:type="dxa" w:w="22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Customer revenue</w:t>
            </w:r>
          </w:p>
        </w:tc>
        <w:tc>
          <w:tcPr>
            <w:tcW w:type="dxa" w:w="15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817.58</w:t>
            </w:r>
          </w:p>
        </w:tc>
        <w:tc>
          <w:tcPr>
            <w:tcW w:type="dxa" w:w="15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1,440.29</w:t>
            </w:r>
          </w:p>
        </w:tc>
        <w:tc>
          <w:tcPr>
            <w:tcW w:type="dxa" w:w="16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0.60</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bCs/>
                <w:sz w:val="18"/>
                <w:szCs w:val="18"/>
              </w:rPr>
              <w:t xml:space="preserve">Hybrid XGBoost</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Customer revenue</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811.90</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1,436.69</w:t>
            </w:r>
          </w:p>
        </w:tc>
        <w:tc>
          <w:tcPr>
            <w:tcW w:type="dxa" w:w="16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0.60</w:t>
            </w:r>
          </w:p>
        </w:tc>
      </w:tr>
    </w:tbl>
    <w:p>
      <w:pPr>
        <w:spacing w:after="60" w:before="40"/>
      </w:pPr>
      <w:r>
        <w:rPr>
          <w:rFonts w:ascii="Arial" w:cs="Arial" w:eastAsia="Arial" w:hAnsi="Arial"/>
          <w:i/>
          <w:iCs/>
          <w:color w:val="595959"/>
          <w:sz w:val="16"/>
          <w:szCs w:val="16"/>
        </w:rPr>
        <w:t xml:space="preserve">* The BG/NBD run reports a mean squared error of 2.55; the square root is shown for comparability. It measures purchase counts, so it cannot be compared directly with the revenue models.</w:t>
      </w:r>
    </w:p>
    <w:p>
      <w:pPr>
        <w:spacing w:after="80" w:line="257"/>
      </w:pPr>
      <w:r>
        <w:rPr>
          <w:rFonts w:ascii="Arial" w:cs="Arial" w:eastAsia="Arial" w:hAnsi="Arial"/>
          <w:sz w:val="20"/>
          <w:szCs w:val="20"/>
        </w:rPr>
        <w:t xml:space="preserve">The hybrid model improves MAE by about 0.7% and RMSE by about 0.25%, with identical R². On a single split this gap is too small to call a real improvement; most of the probabilistic information was already captured by the behavioural features.</w:t>
      </w:r>
    </w:p>
    <w:p>
      <w:pPr>
        <w:keepNext/>
        <w:spacing w:after="50" w:before="100"/>
      </w:pPr>
      <w:r>
        <w:rPr>
          <w:rFonts w:ascii="Arial" w:cs="Arial" w:eastAsia="Arial" w:hAnsi="Arial"/>
          <w:b/>
          <w:bCs/>
          <w:color w:val="1F3864"/>
          <w:sz w:val="20"/>
          <w:szCs w:val="20"/>
        </w:rPr>
        <w:t xml:space="preserve">3.2 Customer segments and churn status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250"/>
        <w:gridCol w:w="2150"/>
        <w:gridCol w:w="1200"/>
        <w:gridCol w:w="1700"/>
        <w:gridCol w:w="1700"/>
        <w:gridCol w:w="1700"/>
      </w:tblGrid>
      <w:tr>
        <w:trPr>
          <w:cantSplit/>
          <w:tblHeader/>
        </w:trPr>
        <w:tc>
          <w:tcPr>
            <w:tcW w:type="dxa" w:w="125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tcPr>
          <w:p>
            <w:pPr>
              <w:keepNext w:val="false"/>
              <w:jc w:val="left"/>
            </w:pPr>
            <w:r>
              <w:rPr>
                <w:rFonts w:ascii="Arial" w:cs="Arial" w:eastAsia="Arial" w:hAnsi="Arial"/>
                <w:b/>
                <w:bCs/>
                <w:color w:val="FFFFFF"/>
                <w:sz w:val="18"/>
                <w:szCs w:val="18"/>
              </w:rPr>
              <w:t xml:space="preserve">Segment</w:t>
            </w:r>
          </w:p>
        </w:tc>
        <w:tc>
          <w:tcPr>
            <w:tcW w:type="dxa" w:w="215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tcPr>
          <w:p>
            <w:pPr>
              <w:keepNext w:val="false"/>
              <w:jc w:val="left"/>
            </w:pPr>
            <w:r>
              <w:rPr>
                <w:rFonts w:ascii="Arial" w:cs="Arial" w:eastAsia="Arial" w:hAnsi="Arial"/>
                <w:b/>
                <w:bCs/>
                <w:color w:val="FFFFFF"/>
                <w:sz w:val="18"/>
                <w:szCs w:val="18"/>
              </w:rPr>
              <w:t xml:space="preserve">Rule (predicted 2025 revenue)</w:t>
            </w:r>
          </w:p>
        </w:tc>
        <w:tc>
          <w:tcPr>
            <w:tcW w:type="dxa" w:w="12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tcPr>
          <w:p>
            <w:pPr>
              <w:keepNext w:val="false"/>
              <w:jc w:val="center"/>
            </w:pPr>
            <w:r>
              <w:rPr>
                <w:rFonts w:ascii="Arial" w:cs="Arial" w:eastAsia="Arial" w:hAnsi="Arial"/>
                <w:b/>
                <w:bCs/>
                <w:color w:val="FFFFFF"/>
                <w:sz w:val="18"/>
                <w:szCs w:val="18"/>
              </w:rPr>
              <w:t xml:space="preserve">Customers</w:t>
            </w:r>
          </w:p>
        </w:tc>
        <w:tc>
          <w:tcPr>
            <w:tcW w:type="dxa" w:w="17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tcPr>
          <w:p>
            <w:pPr>
              <w:keepNext w:val="false"/>
              <w:jc w:val="center"/>
            </w:pPr>
            <w:r>
              <w:rPr>
                <w:rFonts w:ascii="Arial" w:cs="Arial" w:eastAsia="Arial" w:hAnsi="Arial"/>
                <w:b/>
                <w:bCs/>
                <w:color w:val="FFFFFF"/>
                <w:sz w:val="18"/>
                <w:szCs w:val="18"/>
              </w:rPr>
              <w:t xml:space="preserve">Active</w:t>
            </w:r>
          </w:p>
        </w:tc>
        <w:tc>
          <w:tcPr>
            <w:tcW w:type="dxa" w:w="17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tcPr>
          <w:p>
            <w:pPr>
              <w:keepNext w:val="false"/>
              <w:jc w:val="center"/>
            </w:pPr>
            <w:r>
              <w:rPr>
                <w:rFonts w:ascii="Arial" w:cs="Arial" w:eastAsia="Arial" w:hAnsi="Arial"/>
                <w:b/>
                <w:bCs/>
                <w:color w:val="FFFFFF"/>
                <w:sz w:val="18"/>
                <w:szCs w:val="18"/>
              </w:rPr>
              <w:t xml:space="preserve">Win-Back</w:t>
            </w:r>
          </w:p>
        </w:tc>
        <w:tc>
          <w:tcPr>
            <w:tcW w:type="dxa" w:w="17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tcPr>
          <w:p>
            <w:pPr>
              <w:keepNext w:val="false"/>
              <w:jc w:val="center"/>
            </w:pPr>
            <w:r>
              <w:rPr>
                <w:rFonts w:ascii="Arial" w:cs="Arial" w:eastAsia="Arial" w:hAnsi="Arial"/>
                <w:b/>
                <w:bCs/>
                <w:color w:val="FFFFFF"/>
                <w:sz w:val="18"/>
                <w:szCs w:val="18"/>
              </w:rPr>
              <w:t xml:space="preserve">Churned</w:t>
            </w:r>
          </w:p>
        </w:tc>
      </w:tr>
      <w:tr>
        <w:trPr>
          <w:cantSplit/>
          <w:tblHeader w:val="false"/>
        </w:trPr>
        <w:tc>
          <w:tcPr>
            <w:tcW w:type="dxa" w:w="125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bCs/>
                <w:sz w:val="18"/>
                <w:szCs w:val="18"/>
              </w:rPr>
              <w:t xml:space="preserve">VIP</w:t>
            </w:r>
          </w:p>
        </w:tc>
        <w:tc>
          <w:tcPr>
            <w:tcW w:type="dxa" w:w="215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Top 10%</w:t>
            </w:r>
          </w:p>
        </w:tc>
        <w:tc>
          <w:tcPr>
            <w:tcW w:type="dxa" w:w="12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1,145</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1,076 (94.0%)</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68 (5.9%)</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1 (0.1%)</w:t>
            </w:r>
          </w:p>
        </w:tc>
      </w:tr>
      <w:tr>
        <w:trPr>
          <w:cantSplit/>
          <w:tblHeader w:val="false"/>
        </w:trPr>
        <w:tc>
          <w:tcPr>
            <w:tcW w:type="dxa" w:w="125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bCs/>
                <w:sz w:val="18"/>
                <w:szCs w:val="18"/>
              </w:rPr>
              <w:t xml:space="preserve">Loyal</w:t>
            </w:r>
          </w:p>
        </w:tc>
        <w:tc>
          <w:tcPr>
            <w:tcW w:type="dxa" w:w="215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Next 20%</w:t>
            </w:r>
          </w:p>
        </w:tc>
        <w:tc>
          <w:tcPr>
            <w:tcW w:type="dxa" w:w="12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2,292</w:t>
            </w:r>
          </w:p>
        </w:tc>
        <w:tc>
          <w:tcPr>
            <w:tcW w:type="dxa" w:w="17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2,043 (89.1%)</w:t>
            </w:r>
          </w:p>
        </w:tc>
        <w:tc>
          <w:tcPr>
            <w:tcW w:type="dxa" w:w="17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243 (10.6%)</w:t>
            </w:r>
          </w:p>
        </w:tc>
        <w:tc>
          <w:tcPr>
            <w:tcW w:type="dxa" w:w="17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6 (0.3%)</w:t>
            </w:r>
          </w:p>
        </w:tc>
      </w:tr>
      <w:tr>
        <w:trPr>
          <w:cantSplit/>
          <w:tblHeader w:val="false"/>
        </w:trPr>
        <w:tc>
          <w:tcPr>
            <w:tcW w:type="dxa" w:w="125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bCs/>
                <w:sz w:val="18"/>
                <w:szCs w:val="18"/>
              </w:rPr>
              <w:t xml:space="preserve">Occasional</w:t>
            </w:r>
          </w:p>
        </w:tc>
        <w:tc>
          <w:tcPr>
            <w:tcW w:type="dxa" w:w="215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Next 20%</w:t>
            </w:r>
          </w:p>
        </w:tc>
        <w:tc>
          <w:tcPr>
            <w:tcW w:type="dxa" w:w="12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2,292</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2,010 (87.7%)</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278 (12.1%)</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4 (0.2%)</w:t>
            </w:r>
          </w:p>
        </w:tc>
      </w:tr>
      <w:tr>
        <w:trPr>
          <w:cantSplit/>
          <w:tblHeader w:val="false"/>
        </w:trPr>
        <w:tc>
          <w:tcPr>
            <w:tcW w:type="dxa" w:w="125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bCs/>
                <w:sz w:val="18"/>
                <w:szCs w:val="18"/>
              </w:rPr>
              <w:t xml:space="preserve">Low-Value</w:t>
            </w:r>
          </w:p>
        </w:tc>
        <w:tc>
          <w:tcPr>
            <w:tcW w:type="dxa" w:w="215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Bottom 50%</w:t>
            </w:r>
          </w:p>
        </w:tc>
        <w:tc>
          <w:tcPr>
            <w:tcW w:type="dxa" w:w="12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5,730</w:t>
            </w:r>
          </w:p>
        </w:tc>
        <w:tc>
          <w:tcPr>
            <w:tcW w:type="dxa" w:w="17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1,435 (25.0%)</w:t>
            </w:r>
          </w:p>
        </w:tc>
        <w:tc>
          <w:tcPr>
            <w:tcW w:type="dxa" w:w="17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825 (14.4%)</w:t>
            </w:r>
          </w:p>
        </w:tc>
        <w:tc>
          <w:tcPr>
            <w:tcW w:type="dxa" w:w="17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3,470 (60.6%)</w:t>
            </w:r>
          </w:p>
        </w:tc>
      </w:tr>
      <w:tr>
        <w:trPr>
          <w:cantSplit/>
          <w:tblHeader w:val="false"/>
        </w:trPr>
        <w:tc>
          <w:tcPr>
            <w:tcW w:type="dxa" w:w="125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bCs/>
                <w:sz w:val="18"/>
                <w:szCs w:val="18"/>
              </w:rPr>
              <w:t xml:space="preserve">Total</w:t>
            </w:r>
          </w:p>
        </w:tc>
        <w:tc>
          <w:tcPr>
            <w:tcW w:type="dxa" w:w="215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
            </w:r>
          </w:p>
        </w:tc>
        <w:tc>
          <w:tcPr>
            <w:tcW w:type="dxa" w:w="12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11,459</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6,564 (57.3%)</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1,414 (12.3%)</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3,481 (30.4%)</w:t>
            </w:r>
          </w:p>
        </w:tc>
      </w:tr>
    </w:tbl>
    <w:p>
      <w:pPr>
        <w:spacing w:after="40"/>
      </w:pPr>
    </w:p>
    <w:p>
      <w:pPr>
        <w:keepNext/>
        <w:spacing w:after="0" w:before="40"/>
        <w:jc w:val="center"/>
      </w:pPr>
      <w:r>
        <w:drawing>
          <wp:inline distT="0" distB="0" distL="0" distR="0">
            <wp:extent cx="5124450" cy="2305050"/>
            <wp:effectExtent t="0" r="0" b="0" l="0"/>
            <wp:docPr id="1" name="churn.png" descr="churn.png" title="chu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4450" cy="2305050"/>
                    </a:xfrm>
                    <a:prstGeom prst="rect">
                      <a:avLst/>
                    </a:prstGeom>
                  </pic:spPr>
                </pic:pic>
              </a:graphicData>
            </a:graphic>
          </wp:inline>
        </w:drawing>
      </w:r>
    </w:p>
    <w:p>
      <w:pPr>
        <w:spacing w:after="100" w:before="20"/>
        <w:jc w:val="center"/>
      </w:pPr>
      <w:r>
        <w:rPr>
          <w:rFonts w:ascii="Arial" w:cs="Arial" w:eastAsia="Arial" w:hAnsi="Arial"/>
          <w:i/>
          <w:iCs/>
          <w:color w:val="595959"/>
          <w:sz w:val="16"/>
          <w:szCs w:val="16"/>
        </w:rPr>
        <w:t xml:space="preserve">Figure 1. Customers by value segment and churn status.</w:t>
      </w:r>
    </w:p>
    <w:p>
      <w:pPr>
        <w:spacing w:after="80" w:line="257"/>
      </w:pPr>
      <w:r>
        <w:rPr>
          <w:rFonts w:ascii="Arial" w:cs="Arial" w:eastAsia="Arial" w:hAnsi="Arial"/>
          <w:sz w:val="20"/>
          <w:szCs w:val="20"/>
        </w:rPr>
        <w:t xml:space="preserve">Churn is almost entirely a Low-Value problem: 3,470 of the 3,481 churned customers (99.7%) are in that segment. Value segments and churn status are not independent, since both reflect how recently a customer has been buying.</w:t>
      </w:r>
    </w:p>
    <w:p>
      <w:pPr>
        <w:keepNext/>
        <w:spacing w:after="50" w:before="100"/>
      </w:pPr>
      <w:r>
        <w:rPr>
          <w:rFonts w:ascii="Arial" w:cs="Arial" w:eastAsia="Arial" w:hAnsi="Arial"/>
          <w:b/>
          <w:bCs/>
          <w:color w:val="1F3864"/>
          <w:sz w:val="20"/>
          <w:szCs w:val="20"/>
        </w:rPr>
        <w:t xml:space="preserve">3.3 Purchase lifecycle (Kaplan-Meier)</w:t>
      </w:r>
    </w:p>
    <w:p>
      <w:pPr>
        <w:keepNext/>
        <w:spacing w:after="0" w:before="40"/>
        <w:jc w:val="center"/>
      </w:pPr>
      <w:r>
        <w:drawing>
          <wp:inline distT="0" distB="0" distL="0" distR="0">
            <wp:extent cx="5124450" cy="2333625"/>
            <wp:effectExtent t="0" r="0" b="0" l="0"/>
            <wp:docPr id="1" name="km.png" descr="km.png" title="k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2333625"/>
                    </a:xfrm>
                    <a:prstGeom prst="rect">
                      <a:avLst/>
                    </a:prstGeom>
                  </pic:spPr>
                </pic:pic>
              </a:graphicData>
            </a:graphic>
          </wp:inline>
        </w:drawing>
      </w:r>
    </w:p>
    <w:p>
      <w:pPr>
        <w:spacing w:after="100" w:before="20"/>
        <w:jc w:val="center"/>
      </w:pPr>
      <w:r>
        <w:rPr>
          <w:rFonts w:ascii="Arial" w:cs="Arial" w:eastAsia="Arial" w:hAnsi="Arial"/>
          <w:i/>
          <w:iCs/>
          <w:color w:val="595959"/>
          <w:sz w:val="16"/>
          <w:szCs w:val="16"/>
        </w:rPr>
        <w:t xml:space="preserve">Figure 2. Probability that a customer has not yet made a second purchase.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3100"/>
      </w:tblGrid>
      <w:tr>
        <w:trPr>
          <w:cantSplit/>
          <w:tblHeader/>
        </w:trPr>
        <w:tc>
          <w:tcPr>
            <w:tcW w:type="dxa" w:w="36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tcPr>
          <w:p>
            <w:pPr>
              <w:keepNext w:val="false"/>
              <w:jc w:val="left"/>
            </w:pPr>
            <w:r>
              <w:rPr>
                <w:rFonts w:ascii="Arial" w:cs="Arial" w:eastAsia="Arial" w:hAnsi="Arial"/>
                <w:b/>
                <w:bCs/>
                <w:color w:val="FFFFFF"/>
                <w:sz w:val="18"/>
                <w:szCs w:val="18"/>
              </w:rPr>
              <w:t xml:space="preserve">Days since first purchase</w:t>
            </w:r>
          </w:p>
        </w:tc>
        <w:tc>
          <w:tcPr>
            <w:tcW w:type="dxa" w:w="30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tcPr>
          <w:p>
            <w:pPr>
              <w:keepNext w:val="false"/>
              <w:jc w:val="center"/>
            </w:pPr>
            <w:r>
              <w:rPr>
                <w:rFonts w:ascii="Arial" w:cs="Arial" w:eastAsia="Arial" w:hAnsi="Arial"/>
                <w:b/>
                <w:bCs/>
                <w:color w:val="FFFFFF"/>
                <w:sz w:val="18"/>
                <w:szCs w:val="18"/>
              </w:rPr>
              <w:t xml:space="preserve">Not yet made 2nd purchase</w:t>
            </w:r>
          </w:p>
        </w:tc>
        <w:tc>
          <w:tcPr>
            <w:tcW w:type="dxa" w:w="31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tcPr>
          <w:p>
            <w:pPr>
              <w:keepNext w:val="false"/>
              <w:jc w:val="center"/>
            </w:pPr>
            <w:r>
              <w:rPr>
                <w:rFonts w:ascii="Arial" w:cs="Arial" w:eastAsia="Arial" w:hAnsi="Arial"/>
                <w:b/>
                <w:bCs/>
                <w:color w:val="FFFFFF"/>
                <w:sz w:val="18"/>
                <w:szCs w:val="18"/>
              </w:rPr>
              <w:t xml:space="preserve">Made 2nd purchase</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bCs/>
                <w:sz w:val="18"/>
                <w:szCs w:val="18"/>
              </w:rPr>
              <w:t xml:space="preserve">About 110</w:t>
            </w:r>
          </w:p>
        </w:tc>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About 50%</w:t>
            </w:r>
          </w:p>
        </w:tc>
        <w:tc>
          <w:tcPr>
            <w:tcW w:type="dxa" w:w="31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About 50%</w:t>
            </w:r>
          </w:p>
        </w:tc>
      </w:tr>
      <w:tr>
        <w:trPr>
          <w:cantSplit/>
          <w:tblHeader w:val="false"/>
        </w:trPr>
        <w:tc>
          <w:tcPr>
            <w:tcW w:type="dxa" w:w="36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bCs/>
                <w:sz w:val="18"/>
                <w:szCs w:val="18"/>
              </w:rPr>
              <w:t xml:space="preserve">200</w:t>
            </w:r>
          </w:p>
        </w:tc>
        <w:tc>
          <w:tcPr>
            <w:tcW w:type="dxa" w:w="30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About 29%</w:t>
            </w:r>
          </w:p>
        </w:tc>
        <w:tc>
          <w:tcPr>
            <w:tcW w:type="dxa" w:w="31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About 71%</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bCs/>
                <w:sz w:val="18"/>
                <w:szCs w:val="18"/>
              </w:rPr>
              <w:t xml:space="preserve">400</w:t>
            </w:r>
          </w:p>
        </w:tc>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About 18%</w:t>
            </w:r>
          </w:p>
        </w:tc>
        <w:tc>
          <w:tcPr>
            <w:tcW w:type="dxa" w:w="31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About 82%</w:t>
            </w:r>
          </w:p>
        </w:tc>
      </w:tr>
      <w:tr>
        <w:trPr>
          <w:cantSplit/>
          <w:tblHeader w:val="false"/>
        </w:trPr>
        <w:tc>
          <w:tcPr>
            <w:tcW w:type="dxa" w:w="36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bCs/>
                <w:sz w:val="18"/>
                <w:szCs w:val="18"/>
              </w:rPr>
              <w:t xml:space="preserve">1,000 and beyond</w:t>
            </w:r>
          </w:p>
        </w:tc>
        <w:tc>
          <w:tcPr>
            <w:tcW w:type="dxa" w:w="30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About 10%</w:t>
            </w:r>
          </w:p>
        </w:tc>
        <w:tc>
          <w:tcPr>
            <w:tcW w:type="dxa" w:w="31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About 90%</w:t>
            </w:r>
          </w:p>
        </w:tc>
      </w:tr>
    </w:tbl>
    <w:p>
      <w:pPr>
        <w:spacing w:after="60" w:before="40"/>
      </w:pPr>
      <w:r>
        <w:rPr>
          <w:rFonts w:ascii="Arial" w:cs="Arial" w:eastAsia="Arial" w:hAnsi="Arial"/>
          <w:i/>
          <w:iCs/>
          <w:color w:val="595959"/>
          <w:sz w:val="16"/>
          <w:szCs w:val="16"/>
        </w:rPr>
        <w:t xml:space="preserve">Values are read from the curve and are approximate.</w:t>
      </w:r>
    </w:p>
    <w:p>
      <w:pPr>
        <w:spacing w:after="80" w:line="257"/>
      </w:pPr>
      <w:r>
        <w:rPr>
          <w:rFonts w:ascii="Arial" w:cs="Arial" w:eastAsia="Arial" w:hAnsi="Arial"/>
          <w:sz w:val="20"/>
          <w:szCs w:val="20"/>
        </w:rPr>
        <w:t xml:space="preserve">Second purchases happen early: the curve drops fastest in the first 200 days and then flattens, so a customer who has not returned within about a year is unlikely to return without intervention.</w:t>
      </w:r>
    </w:p>
    <w:p>
      <w:pPr>
        <w:keepNext/>
        <w:spacing w:after="50" w:before="100"/>
      </w:pPr>
      <w:r>
        <w:rPr>
          <w:rFonts w:ascii="Arial" w:cs="Arial" w:eastAsia="Arial" w:hAnsi="Arial"/>
          <w:b/>
          <w:bCs/>
          <w:color w:val="1F3864"/>
          <w:sz w:val="20"/>
          <w:szCs w:val="20"/>
        </w:rPr>
        <w:t xml:space="preserve">3.4 Win-back simulation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5200"/>
        <w:gridCol w:w="4500"/>
      </w:tblGrid>
      <w:tr>
        <w:trPr>
          <w:cantSplit/>
          <w:tblHeader/>
        </w:trPr>
        <w:tc>
          <w:tcPr>
            <w:tcW w:type="dxa" w:w="52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tcPr>
          <w:p>
            <w:pPr>
              <w:keepNext/>
              <w:jc w:val="left"/>
            </w:pPr>
            <w:r>
              <w:rPr>
                <w:rFonts w:ascii="Arial" w:cs="Arial" w:eastAsia="Arial" w:hAnsi="Arial"/>
                <w:b/>
                <w:bCs/>
                <w:color w:val="FFFFFF"/>
                <w:sz w:val="18"/>
                <w:szCs w:val="18"/>
              </w:rPr>
              <w:t xml:space="preserve">Simulation item</w:t>
            </w:r>
          </w:p>
        </w:tc>
        <w:tc>
          <w:tcPr>
            <w:tcW w:type="dxa" w:w="45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tcPr>
          <w:p>
            <w:pPr>
              <w:keepNext/>
              <w:jc w:val="left"/>
            </w:pPr>
            <w:r>
              <w:rPr>
                <w:rFonts w:ascii="Arial" w:cs="Arial" w:eastAsia="Arial" w:hAnsi="Arial"/>
                <w:b/>
                <w:bCs/>
                <w:color w:val="FFFFFF"/>
                <w:sz w:val="18"/>
                <w:szCs w:val="18"/>
              </w:rPr>
              <w:t xml:space="preserve">Result</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jc w:val="left"/>
            </w:pPr>
            <w:r>
              <w:rPr>
                <w:rFonts w:ascii="Arial" w:cs="Arial" w:eastAsia="Arial" w:hAnsi="Arial"/>
                <w:b/>
                <w:bCs/>
                <w:sz w:val="18"/>
                <w:szCs w:val="18"/>
              </w:rPr>
              <w:t xml:space="preserve">Total customers</w:t>
            </w:r>
          </w:p>
        </w:tc>
        <w:tc>
          <w:tcPr>
            <w:tcW w:type="dxa" w:w="45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jc w:val="left"/>
            </w:pPr>
            <w:r>
              <w:rPr>
                <w:rFonts w:ascii="Arial" w:cs="Arial" w:eastAsia="Arial" w:hAnsi="Arial"/>
                <w:b w:val="false"/>
                <w:bCs w:val="false"/>
                <w:sz w:val="18"/>
                <w:szCs w:val="18"/>
              </w:rPr>
              <w:t xml:space="preserve">11,459</w:t>
            </w:r>
          </w:p>
        </w:tc>
      </w:tr>
      <w:tr>
        <w:trPr>
          <w:cantSplit/>
          <w:tblHeader w:val="false"/>
        </w:trPr>
        <w:tc>
          <w:tcPr>
            <w:tcW w:type="dxa" w:w="52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jc w:val="left"/>
            </w:pPr>
            <w:r>
              <w:rPr>
                <w:rFonts w:ascii="Arial" w:cs="Arial" w:eastAsia="Arial" w:hAnsi="Arial"/>
                <w:b/>
                <w:bCs/>
                <w:sz w:val="18"/>
                <w:szCs w:val="18"/>
              </w:rPr>
              <w:t xml:space="preserve">Win-Back customers available (300 to 400 days)</w:t>
            </w:r>
          </w:p>
        </w:tc>
        <w:tc>
          <w:tcPr>
            <w:tcW w:type="dxa" w:w="45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jc w:val="left"/>
            </w:pPr>
            <w:r>
              <w:rPr>
                <w:rFonts w:ascii="Arial" w:cs="Arial" w:eastAsia="Arial" w:hAnsi="Arial"/>
                <w:b w:val="false"/>
                <w:bCs w:val="false"/>
                <w:sz w:val="18"/>
                <w:szCs w:val="18"/>
              </w:rPr>
              <w:t xml:space="preserve">1,414</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jc w:val="left"/>
            </w:pPr>
            <w:r>
              <w:rPr>
                <w:rFonts w:ascii="Arial" w:cs="Arial" w:eastAsia="Arial" w:hAnsi="Arial"/>
                <w:b/>
                <w:bCs/>
                <w:sz w:val="18"/>
                <w:szCs w:val="18"/>
              </w:rPr>
              <w:t xml:space="preserve">Targeted (10% of the Win-Back pool)</w:t>
            </w:r>
          </w:p>
        </w:tc>
        <w:tc>
          <w:tcPr>
            <w:tcW w:type="dxa" w:w="45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jc w:val="left"/>
            </w:pPr>
            <w:r>
              <w:rPr>
                <w:rFonts w:ascii="Arial" w:cs="Arial" w:eastAsia="Arial" w:hAnsi="Arial"/>
                <w:b w:val="false"/>
                <w:bCs w:val="false"/>
                <w:sz w:val="18"/>
                <w:szCs w:val="18"/>
              </w:rPr>
              <w:t xml:space="preserve">141 customers (1.23% of all customers)</w:t>
            </w:r>
          </w:p>
        </w:tc>
      </w:tr>
      <w:tr>
        <w:trPr>
          <w:cantSplit/>
          <w:tblHeader w:val="false"/>
        </w:trPr>
        <w:tc>
          <w:tcPr>
            <w:tcW w:type="dxa" w:w="52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jc w:val="left"/>
            </w:pPr>
            <w:r>
              <w:rPr>
                <w:rFonts w:ascii="Arial" w:cs="Arial" w:eastAsia="Arial" w:hAnsi="Arial"/>
                <w:b/>
                <w:bCs/>
                <w:sz w:val="18"/>
                <w:szCs w:val="18"/>
              </w:rPr>
              <w:t xml:space="preserve">Total predicted value in the Win-Back pool</w:t>
            </w:r>
          </w:p>
        </w:tc>
        <w:tc>
          <w:tcPr>
            <w:tcW w:type="dxa" w:w="45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jc w:val="left"/>
            </w:pPr>
            <w:r>
              <w:rPr>
                <w:rFonts w:ascii="Arial" w:cs="Arial" w:eastAsia="Arial" w:hAnsi="Arial"/>
                <w:b w:val="false"/>
                <w:bCs w:val="false"/>
                <w:sz w:val="18"/>
                <w:szCs w:val="18"/>
              </w:rPr>
              <w:t xml:space="preserve">$3,073,387.46</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jc w:val="left"/>
            </w:pPr>
            <w:r>
              <w:rPr>
                <w:rFonts w:ascii="Arial" w:cs="Arial" w:eastAsia="Arial" w:hAnsi="Arial"/>
                <w:b/>
                <w:bCs/>
                <w:sz w:val="18"/>
                <w:szCs w:val="18"/>
              </w:rPr>
              <w:t xml:space="preserve">Projected revenue recovered (10% win)</w:t>
            </w:r>
          </w:p>
        </w:tc>
        <w:tc>
          <w:tcPr>
            <w:tcW w:type="dxa" w:w="45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jc w:val="left"/>
            </w:pPr>
            <w:r>
              <w:rPr>
                <w:rFonts w:ascii="Arial" w:cs="Arial" w:eastAsia="Arial" w:hAnsi="Arial"/>
                <w:b w:val="false"/>
                <w:bCs w:val="false"/>
                <w:sz w:val="18"/>
                <w:szCs w:val="18"/>
              </w:rPr>
              <w:t xml:space="preserve">$307,338.75</w:t>
            </w:r>
          </w:p>
        </w:tc>
      </w:tr>
      <w:tr>
        <w:trPr>
          <w:cantSplit/>
          <w:tblHeader w:val="false"/>
        </w:trPr>
        <w:tc>
          <w:tcPr>
            <w:tcW w:type="dxa" w:w="52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bCs/>
                <w:sz w:val="18"/>
                <w:szCs w:val="18"/>
              </w:rPr>
              <w:t xml:space="preserve">Increase vs. predicted revenue of Active customers</w:t>
            </w:r>
          </w:p>
        </w:tc>
        <w:tc>
          <w:tcPr>
            <w:tcW w:type="dxa" w:w="45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1.2%</w:t>
            </w:r>
          </w:p>
        </w:tc>
      </w:tr>
    </w:tbl>
    <w:p>
      <w:pPr>
        <w:spacing w:after="50"/>
      </w:pP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2400"/>
        <w:gridCol w:w="2300"/>
      </w:tblGrid>
      <w:tr>
        <w:trPr>
          <w:cantSplit/>
          <w:tblHeader/>
        </w:trPr>
        <w:tc>
          <w:tcPr>
            <w:tcW w:type="dxa" w:w="27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tcPr>
          <w:p>
            <w:pPr>
              <w:keepNext/>
              <w:jc w:val="left"/>
            </w:pPr>
            <w:r>
              <w:rPr>
                <w:rFonts w:ascii="Arial" w:cs="Arial" w:eastAsia="Arial" w:hAnsi="Arial"/>
                <w:b/>
                <w:bCs/>
                <w:color w:val="FFFFFF"/>
                <w:sz w:val="18"/>
                <w:szCs w:val="18"/>
              </w:rPr>
              <w:t xml:space="preserve">Recovery rate (illustrative)</w:t>
            </w:r>
          </w:p>
        </w:tc>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tcPr>
          <w:p>
            <w:pPr>
              <w:keepNext/>
              <w:jc w:val="center"/>
            </w:pPr>
            <w:r>
              <w:rPr>
                <w:rFonts w:ascii="Arial" w:cs="Arial" w:eastAsia="Arial" w:hAnsi="Arial"/>
                <w:b/>
                <w:bCs/>
                <w:color w:val="FFFFFF"/>
                <w:sz w:val="18"/>
                <w:szCs w:val="18"/>
              </w:rPr>
              <w:t xml:space="preserve">Customers recovered</w:t>
            </w:r>
          </w:p>
        </w:tc>
        <w:tc>
          <w:tcPr>
            <w:tcW w:type="dxa" w:w="24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tcPr>
          <w:p>
            <w:pPr>
              <w:keepNext/>
              <w:jc w:val="center"/>
            </w:pPr>
            <w:r>
              <w:rPr>
                <w:rFonts w:ascii="Arial" w:cs="Arial" w:eastAsia="Arial" w:hAnsi="Arial"/>
                <w:b/>
                <w:bCs/>
                <w:color w:val="FFFFFF"/>
                <w:sz w:val="18"/>
                <w:szCs w:val="18"/>
              </w:rPr>
              <w:t xml:space="preserve">Revenue recovered</w:t>
            </w:r>
          </w:p>
        </w:tc>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tcPr>
          <w:p>
            <w:pPr>
              <w:keepNext/>
              <w:jc w:val="center"/>
            </w:pPr>
            <w:r>
              <w:rPr>
                <w:rFonts w:ascii="Arial" w:cs="Arial" w:eastAsia="Arial" w:hAnsi="Arial"/>
                <w:b/>
                <w:bCs/>
                <w:color w:val="FFFFFF"/>
                <w:sz w:val="18"/>
                <w:szCs w:val="18"/>
              </w:rPr>
              <w:t xml:space="preserve">Uplift</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jc w:val="left"/>
            </w:pPr>
            <w:r>
              <w:rPr>
                <w:rFonts w:ascii="Arial" w:cs="Arial" w:eastAsia="Arial" w:hAnsi="Arial"/>
                <w:b/>
                <w:bCs/>
                <w:sz w:val="18"/>
                <w:szCs w:val="18"/>
              </w:rPr>
              <w:t xml:space="preserve">5%</w:t>
            </w:r>
          </w:p>
        </w:tc>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jc w:val="center"/>
            </w:pPr>
            <w:r>
              <w:rPr>
                <w:rFonts w:ascii="Arial" w:cs="Arial" w:eastAsia="Arial" w:hAnsi="Arial"/>
                <w:b w:val="false"/>
                <w:bCs w:val="false"/>
                <w:sz w:val="18"/>
                <w:szCs w:val="18"/>
              </w:rPr>
              <w:t xml:space="preserve">71</w:t>
            </w:r>
          </w:p>
        </w:tc>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jc w:val="center"/>
            </w:pPr>
            <w:r>
              <w:rPr>
                <w:rFonts w:ascii="Arial" w:cs="Arial" w:eastAsia="Arial" w:hAnsi="Arial"/>
                <w:b w:val="false"/>
                <w:bCs w:val="false"/>
                <w:sz w:val="18"/>
                <w:szCs w:val="18"/>
              </w:rPr>
              <w:t xml:space="preserve">$153,669</w:t>
            </w:r>
          </w:p>
        </w:tc>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jc w:val="center"/>
            </w:pPr>
            <w:r>
              <w:rPr>
                <w:rFonts w:ascii="Arial" w:cs="Arial" w:eastAsia="Arial" w:hAnsi="Arial"/>
                <w:b w:val="false"/>
                <w:bCs w:val="false"/>
                <w:sz w:val="18"/>
                <w:szCs w:val="18"/>
              </w:rPr>
              <w:t xml:space="preserve">0.6%</w:t>
            </w:r>
          </w:p>
        </w:tc>
      </w:tr>
      <w:tr>
        <w:trPr>
          <w:cantSplit/>
          <w:tblHeader w:val="false"/>
        </w:trPr>
        <w:tc>
          <w:tcPr>
            <w:tcW w:type="dxa" w:w="27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jc w:val="left"/>
            </w:pPr>
            <w:r>
              <w:rPr>
                <w:rFonts w:ascii="Arial" w:cs="Arial" w:eastAsia="Arial" w:hAnsi="Arial"/>
                <w:b/>
                <w:bCs/>
                <w:sz w:val="18"/>
                <w:szCs w:val="18"/>
              </w:rPr>
              <w:t xml:space="preserve">10% (simulated)</w:t>
            </w:r>
          </w:p>
        </w:tc>
        <w:tc>
          <w:tcPr>
            <w:tcW w:type="dxa" w:w="23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jc w:val="center"/>
            </w:pPr>
            <w:r>
              <w:rPr>
                <w:rFonts w:ascii="Arial" w:cs="Arial" w:eastAsia="Arial" w:hAnsi="Arial"/>
                <w:b w:val="false"/>
                <w:bCs w:val="false"/>
                <w:sz w:val="18"/>
                <w:szCs w:val="18"/>
              </w:rPr>
              <w:t xml:space="preserve">141</w:t>
            </w:r>
          </w:p>
        </w:tc>
        <w:tc>
          <w:tcPr>
            <w:tcW w:type="dxa" w:w="24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jc w:val="center"/>
            </w:pPr>
            <w:r>
              <w:rPr>
                <w:rFonts w:ascii="Arial" w:cs="Arial" w:eastAsia="Arial" w:hAnsi="Arial"/>
                <w:b w:val="false"/>
                <w:bCs w:val="false"/>
                <w:sz w:val="18"/>
                <w:szCs w:val="18"/>
              </w:rPr>
              <w:t xml:space="preserve">$307,339</w:t>
            </w:r>
          </w:p>
        </w:tc>
        <w:tc>
          <w:tcPr>
            <w:tcW w:type="dxa" w:w="23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jc w:val="center"/>
            </w:pPr>
            <w:r>
              <w:rPr>
                <w:rFonts w:ascii="Arial" w:cs="Arial" w:eastAsia="Arial" w:hAnsi="Arial"/>
                <w:b w:val="false"/>
                <w:bCs w:val="false"/>
                <w:sz w:val="18"/>
                <w:szCs w:val="18"/>
              </w:rPr>
              <w:t xml:space="preserve">1.2%</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bCs/>
                <w:sz w:val="18"/>
                <w:szCs w:val="18"/>
              </w:rPr>
              <w:t xml:space="preserve">20%</w:t>
            </w:r>
          </w:p>
        </w:tc>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283</w:t>
            </w:r>
          </w:p>
        </w:tc>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$614,677</w:t>
            </w:r>
          </w:p>
        </w:tc>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2.4%</w:t>
            </w:r>
          </w:p>
        </w:tc>
      </w:tr>
    </w:tbl>
    <w:p>
      <w:pPr>
        <w:spacing w:after="60" w:before="40"/>
      </w:pPr>
      <w:r>
        <w:rPr>
          <w:rFonts w:ascii="Arial" w:cs="Arial" w:eastAsia="Arial" w:hAnsi="Arial"/>
          <w:i/>
          <w:iCs/>
          <w:color w:val="595959"/>
          <w:sz w:val="16"/>
          <w:szCs w:val="16"/>
        </w:rPr>
        <w:t xml:space="preserve">The 5% and 20% rows scale the simulated 10% result in a straight line. They are illustrations, not forecasts, and exclude campaign costs.</w:t>
      </w:r>
    </w:p>
    <w:p>
      <w:pPr>
        <w:keepNext/>
        <w:pBdr>
          <w:bottom w:val="single" w:color="1F3864" w:sz="6" w:space="2"/>
        </w:pBdr>
        <w:spacing w:after="70" w:before="170"/>
      </w:pPr>
      <w:r>
        <w:rPr>
          <w:rFonts w:ascii="Arial" w:cs="Arial" w:eastAsia="Arial" w:hAnsi="Arial"/>
          <w:b/>
          <w:bCs/>
          <w:color w:val="1F3864"/>
          <w:sz w:val="24"/>
          <w:szCs w:val="24"/>
        </w:rPr>
        <w:t xml:space="preserve">4. Model Explainability (SHAP)</w:t>
      </w:r>
    </w:p>
    <w:p>
      <w:pPr>
        <w:spacing w:after="80" w:line="257"/>
      </w:pPr>
      <w:r>
        <w:rPr>
          <w:rFonts w:ascii="Arial" w:cs="Arial" w:eastAsia="Arial" w:hAnsi="Arial"/>
          <w:sz w:val="20"/>
          <w:szCs w:val="20"/>
        </w:rPr>
        <w:t xml:space="preserve">SHAP assigns each feature a fair share of the gap between a customer's prediction and the average prediction (baseline 1,802), using Shapley values from game theory. The contributions add up exactly to the prediction. It was applied to the 2,292 test customers of the hybrid model.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2000"/>
        <w:gridCol w:w="3900"/>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tcPr>
          <w:p>
            <w:pPr>
              <w:keepNext w:val="false"/>
              <w:jc w:val="center"/>
            </w:pPr>
            <w:r>
              <w:rPr>
                <w:rFonts w:ascii="Arial" w:cs="Arial" w:eastAsia="Arial" w:hAnsi="Arial"/>
                <w:b/>
                <w:bCs/>
                <w:color w:val="FFFFFF"/>
                <w:sz w:val="18"/>
                <w:szCs w:val="18"/>
              </w:rPr>
              <w:t xml:space="preserve">Rank</w:t>
            </w:r>
          </w:p>
        </w:tc>
        <w:tc>
          <w:tcPr>
            <w:tcW w:type="dxa" w:w="29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tcPr>
          <w:p>
            <w:pPr>
              <w:keepNext w:val="false"/>
              <w:jc w:val="left"/>
            </w:pPr>
            <w:r>
              <w:rPr>
                <w:rFonts w:ascii="Arial" w:cs="Arial" w:eastAsia="Arial" w:hAnsi="Arial"/>
                <w:b/>
                <w:bCs/>
                <w:color w:val="FFFFFF"/>
                <w:sz w:val="18"/>
                <w:szCs w:val="18"/>
              </w:rPr>
              <w:t xml:space="preserve">Feature</w:t>
            </w:r>
          </w:p>
        </w:tc>
        <w:tc>
          <w:tcPr>
            <w:tcW w:type="dxa" w:w="20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tcPr>
          <w:p>
            <w:pPr>
              <w:keepNext w:val="false"/>
              <w:jc w:val="center"/>
            </w:pPr>
            <w:r>
              <w:rPr>
                <w:rFonts w:ascii="Arial" w:cs="Arial" w:eastAsia="Arial" w:hAnsi="Arial"/>
                <w:b/>
                <w:bCs/>
                <w:color w:val="FFFFFF"/>
                <w:sz w:val="18"/>
                <w:szCs w:val="18"/>
              </w:rPr>
              <w:t xml:space="preserve">Mean |SHAP| (approx.)</w:t>
            </w:r>
          </w:p>
        </w:tc>
        <w:tc>
          <w:tcPr>
            <w:tcW w:type="dxa" w:w="39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tcPr>
          <w:p>
            <w:pPr>
              <w:keepNext w:val="false"/>
              <w:jc w:val="left"/>
            </w:pPr>
            <w:r>
              <w:rPr>
                <w:rFonts w:ascii="Arial" w:cs="Arial" w:eastAsia="Arial" w:hAnsi="Arial"/>
                <w:b/>
                <w:bCs/>
                <w:color w:val="FFFFFF"/>
                <w:sz w:val="18"/>
                <w:szCs w:val="18"/>
              </w:rPr>
              <w:t xml:space="preserve">Reading</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center"/>
            </w:pPr>
            <w:r>
              <w:rPr>
                <w:rFonts w:ascii="Arial" w:cs="Arial" w:eastAsia="Arial" w:hAnsi="Arial"/>
                <w:b/>
                <w:bCs/>
                <w:sz w:val="18"/>
                <w:szCs w:val="18"/>
              </w:rPr>
              <w:t xml:space="preserve">1</w:t>
            </w:r>
          </w:p>
        </w:tc>
        <w:tc>
          <w:tcPr>
            <w:tcW w:type="dxa" w:w="29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AverageOrderValue</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950</w:t>
            </w:r>
          </w:p>
        </w:tc>
        <w:tc>
          <w:tcPr>
            <w:tcW w:type="dxa" w:w="39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Higher order value raises predicted revenue</w:t>
            </w:r>
          </w:p>
        </w:tc>
      </w:tr>
      <w:tr>
        <w:trPr>
          <w:cantSplit/>
          <w:tblHeader w:val="false"/>
        </w:trPr>
        <w:tc>
          <w:tcPr>
            <w:tcW w:type="dxa" w:w="9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center"/>
            </w:pPr>
            <w:r>
              <w:rPr>
                <w:rFonts w:ascii="Arial" w:cs="Arial" w:eastAsia="Arial" w:hAnsi="Arial"/>
                <w:b/>
                <w:bCs/>
                <w:sz w:val="18"/>
                <w:szCs w:val="18"/>
              </w:rPr>
              <w:t xml:space="preserve">2</w:t>
            </w:r>
          </w:p>
        </w:tc>
        <w:tc>
          <w:tcPr>
            <w:tcW w:type="dxa" w:w="29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TotalRevenue</w:t>
            </w:r>
          </w:p>
        </w:tc>
        <w:tc>
          <w:tcPr>
            <w:tcW w:type="dxa" w:w="20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560</w:t>
            </w:r>
          </w:p>
        </w:tc>
        <w:tc>
          <w:tcPr>
            <w:tcW w:type="dxa" w:w="39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Past spend predicts future spend</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center"/>
            </w:pPr>
            <w:r>
              <w:rPr>
                <w:rFonts w:ascii="Arial" w:cs="Arial" w:eastAsia="Arial" w:hAnsi="Arial"/>
                <w:b/>
                <w:bCs/>
                <w:sz w:val="18"/>
                <w:szCs w:val="18"/>
              </w:rPr>
              <w:t xml:space="preserve">3</w:t>
            </w:r>
          </w:p>
        </w:tc>
        <w:tc>
          <w:tcPr>
            <w:tcW w:type="dxa" w:w="29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Expected_Monetary_Value</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165</w:t>
            </w:r>
          </w:p>
        </w:tc>
        <w:tc>
          <w:tcPr>
            <w:tcW w:type="dxa" w:w="39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Smoothed order value (Gamma-Gamma)</w:t>
            </w:r>
          </w:p>
        </w:tc>
      </w:tr>
      <w:tr>
        <w:trPr>
          <w:cantSplit/>
          <w:tblHeader w:val="false"/>
        </w:trPr>
        <w:tc>
          <w:tcPr>
            <w:tcW w:type="dxa" w:w="9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center"/>
            </w:pPr>
            <w:r>
              <w:rPr>
                <w:rFonts w:ascii="Arial" w:cs="Arial" w:eastAsia="Arial" w:hAnsi="Arial"/>
                <w:b/>
                <w:bCs/>
                <w:sz w:val="18"/>
                <w:szCs w:val="18"/>
              </w:rPr>
              <w:t xml:space="preserve">4</w:t>
            </w:r>
          </w:p>
        </w:tc>
        <w:tc>
          <w:tcPr>
            <w:tcW w:type="dxa" w:w="29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Predicted_2025_Revenue</w:t>
            </w:r>
          </w:p>
        </w:tc>
        <w:tc>
          <w:tcPr>
            <w:tcW w:type="dxa" w:w="20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75</w:t>
            </w:r>
          </w:p>
        </w:tc>
        <w:tc>
          <w:tcPr>
            <w:tcW w:type="dxa" w:w="39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Probabilistic revenue estimate</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center"/>
            </w:pPr>
            <w:r>
              <w:rPr>
                <w:rFonts w:ascii="Arial" w:cs="Arial" w:eastAsia="Arial" w:hAnsi="Arial"/>
                <w:b/>
                <w:bCs/>
                <w:sz w:val="18"/>
                <w:szCs w:val="18"/>
              </w:rPr>
              <w:t xml:space="preserve">5</w:t>
            </w:r>
          </w:p>
        </w:tc>
        <w:tc>
          <w:tcPr>
            <w:tcW w:type="dxa" w:w="29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IntervalStd</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65</w:t>
            </w:r>
          </w:p>
        </w:tc>
        <w:tc>
          <w:tcPr>
            <w:tcW w:type="dxa" w:w="39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Variation in time between orders</w:t>
            </w:r>
          </w:p>
        </w:tc>
      </w:tr>
      <w:tr>
        <w:trPr>
          <w:cantSplit/>
          <w:tblHeader w:val="false"/>
        </w:trPr>
        <w:tc>
          <w:tcPr>
            <w:tcW w:type="dxa" w:w="9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center"/>
            </w:pPr>
            <w:r>
              <w:rPr>
                <w:rFonts w:ascii="Arial" w:cs="Arial" w:eastAsia="Arial" w:hAnsi="Arial"/>
                <w:b/>
                <w:bCs/>
                <w:sz w:val="18"/>
                <w:szCs w:val="18"/>
              </w:rPr>
              <w:t xml:space="preserve">Bottom</w:t>
            </w:r>
          </w:p>
        </w:tc>
        <w:tc>
          <w:tcPr>
            <w:tcW w:type="dxa" w:w="29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Frequency, RecentOrders90, ReturnRate</w:t>
            </w:r>
          </w:p>
        </w:tc>
        <w:tc>
          <w:tcPr>
            <w:tcW w:type="dxa" w:w="20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center"/>
            </w:pPr>
            <w:r>
              <w:rPr>
                <w:rFonts w:ascii="Arial" w:cs="Arial" w:eastAsia="Arial" w:hAnsi="Arial"/>
                <w:b w:val="false"/>
                <w:bCs w:val="false"/>
                <w:sz w:val="18"/>
                <w:szCs w:val="18"/>
              </w:rPr>
              <w:t xml:space="preserve">Under 10</w:t>
            </w:r>
          </w:p>
        </w:tc>
        <w:tc>
          <w:tcPr>
            <w:tcW w:type="dxa" w:w="39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Little influence on the forecast</w:t>
            </w:r>
          </w:p>
        </w:tc>
      </w:tr>
    </w:tbl>
    <w:p>
      <w:pPr>
        <w:spacing w:after="50"/>
      </w:pPr>
    </w:p>
    <w:p>
      <w:pPr>
        <w:keepNext/>
        <w:spacing w:after="0" w:before="40"/>
        <w:jc w:val="center"/>
      </w:pPr>
      <w:r>
        <w:drawing>
          <wp:inline distT="0" distB="0" distL="0" distR="0">
            <wp:extent cx="3933825" cy="1800225"/>
            <wp:effectExtent t="0" r="0" b="0" l="0"/>
            <wp:docPr id="1" name="bar.png" descr="bar.png" title="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33825" cy="1800225"/>
                    </a:xfrm>
                    <a:prstGeom prst="rect">
                      <a:avLst/>
                    </a:prstGeom>
                  </pic:spPr>
                </pic:pic>
              </a:graphicData>
            </a:graphic>
          </wp:inline>
        </w:drawing>
      </w:r>
    </w:p>
    <w:p>
      <w:pPr>
        <w:spacing w:after="100" w:before="20"/>
        <w:jc w:val="center"/>
      </w:pPr>
      <w:r>
        <w:rPr>
          <w:rFonts w:ascii="Arial" w:cs="Arial" w:eastAsia="Arial" w:hAnsi="Arial"/>
          <w:i/>
          <w:iCs/>
          <w:color w:val="595959"/>
          <w:sz w:val="16"/>
          <w:szCs w:val="16"/>
        </w:rPr>
        <w:t xml:space="preserve">Figure 3. Mean |SHAP| feature importance (hybrid XGBoost).</w:t>
      </w:r>
    </w:p>
    <w:p>
      <w:pPr>
        <w:keepNext/>
        <w:spacing w:after="0" w:before="40"/>
        <w:jc w:val="center"/>
      </w:pPr>
      <w:r>
        <w:drawing>
          <wp:inline distT="0" distB="0" distL="0" distR="0">
            <wp:extent cx="4572000" cy="2019300"/>
            <wp:effectExtent t="0" r="0" b="0" l="0"/>
            <wp:docPr id="1" name="beeswarm.png" descr="beeswarm.png" title="beeswa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019300"/>
                    </a:xfrm>
                    <a:prstGeom prst="rect">
                      <a:avLst/>
                    </a:prstGeom>
                  </pic:spPr>
                </pic:pic>
              </a:graphicData>
            </a:graphic>
          </wp:inline>
        </w:drawing>
      </w:r>
    </w:p>
    <w:p>
      <w:pPr>
        <w:spacing w:after="100" w:before="20"/>
        <w:jc w:val="center"/>
      </w:pPr>
      <w:r>
        <w:rPr>
          <w:rFonts w:ascii="Arial" w:cs="Arial" w:eastAsia="Arial" w:hAnsi="Arial"/>
          <w:i/>
          <w:iCs/>
          <w:color w:val="595959"/>
          <w:sz w:val="16"/>
          <w:szCs w:val="16"/>
        </w:rPr>
        <w:t xml:space="preserve">Figure 4. SHAP summary: each dot is a customer; red is a high feature value, blue is low.</w:t>
      </w:r>
    </w:p>
    <w:p>
      <w:pPr>
        <w:keepNext/>
        <w:spacing w:after="0" w:before="40"/>
        <w:jc w:val="center"/>
      </w:pPr>
      <w:r>
        <w:drawing>
          <wp:inline distT="0" distB="0" distL="0" distR="0">
            <wp:extent cx="4019550" cy="1885950"/>
            <wp:effectExtent t="0" r="0" b="0" l="0"/>
            <wp:docPr id="1" name="dep.png" descr="dep.png" title="d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19550" cy="1885950"/>
                    </a:xfrm>
                    <a:prstGeom prst="rect">
                      <a:avLst/>
                    </a:prstGeom>
                  </pic:spPr>
                </pic:pic>
              </a:graphicData>
            </a:graphic>
          </wp:inline>
        </w:drawing>
      </w:r>
    </w:p>
    <w:p>
      <w:pPr>
        <w:spacing w:after="100" w:before="20"/>
        <w:jc w:val="center"/>
      </w:pPr>
      <w:r>
        <w:rPr>
          <w:rFonts w:ascii="Arial" w:cs="Arial" w:eastAsia="Arial" w:hAnsi="Arial"/>
          <w:i/>
          <w:iCs/>
          <w:color w:val="595959"/>
          <w:sz w:val="16"/>
          <w:szCs w:val="16"/>
        </w:rPr>
        <w:t xml:space="preserve">Figure 5. Effect of AverageOrderValue on the prediction: flat floor, steep climb, then a plateau.</w:t>
      </w:r>
    </w:p>
    <w:p>
      <w:pPr>
        <w:pStyle w:val="ListParagraph"/>
        <w:numPr>
          <w:ilvl w:val="0"/>
          <w:numId w:val="2"/>
        </w:numPr>
        <w:spacing w:after="55" w:line="252"/>
      </w:pPr>
      <w:r>
        <w:rPr>
          <w:rFonts w:ascii="Arial" w:cs="Arial" w:eastAsia="Arial" w:hAnsi="Arial"/>
          <w:b/>
          <w:bCs/>
          <w:sz w:val="20"/>
          <w:szCs w:val="20"/>
        </w:rPr>
        <w:t xml:space="preserve">Spending dominates. </w:t>
      </w:r>
      <w:r>
        <w:rPr>
          <w:rFonts w:ascii="Arial" w:cs="Arial" w:eastAsia="Arial" w:hAnsi="Arial"/>
          <w:sz w:val="20"/>
          <w:szCs w:val="20"/>
        </w:rPr>
        <w:t xml:space="preserve">AverageOrderValue and TotalRevenue make up about two-thirds of total importance. The four probabilistic features together hold about 13%, which explains the small hybrid gain.</w:t>
      </w:r>
    </w:p>
    <w:p>
      <w:pPr>
        <w:pStyle w:val="ListParagraph"/>
        <w:numPr>
          <w:ilvl w:val="0"/>
          <w:numId w:val="2"/>
        </w:numPr>
        <w:spacing w:after="55" w:line="252"/>
      </w:pPr>
      <w:r>
        <w:rPr>
          <w:rFonts w:ascii="Arial" w:cs="Arial" w:eastAsia="Arial" w:hAnsi="Arial"/>
          <w:b/>
          <w:bCs/>
          <w:sz w:val="20"/>
          <w:szCs w:val="20"/>
        </w:rPr>
        <w:t xml:space="preserve">The order value effect is S-shaped. </w:t>
      </w:r>
      <w:r>
        <w:rPr>
          <w:rFonts w:ascii="Arial" w:cs="Arial" w:eastAsia="Arial" w:hAnsi="Arial"/>
          <w:sz w:val="20"/>
          <w:szCs w:val="20"/>
        </w:rPr>
        <w:t xml:space="preserve">Below about 500 the effect is flat at roughly -1,000; from about 500 to 4,000 it rises almost linearly to about +4,000; above about 5,000 it levels off, probably because few customers have such values.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00"/>
        <w:gridCol w:w="3450"/>
        <w:gridCol w:w="3450"/>
      </w:tblGrid>
      <w:tr>
        <w:trPr>
          <w:cantSplit/>
          <w:tblHeader/>
        </w:trPr>
        <w:tc>
          <w:tcPr>
            <w:tcW w:type="dxa" w:w="28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tcPr>
          <w:p>
            <w:pPr>
              <w:keepNext w:val="false"/>
              <w:jc w:val="left"/>
            </w:pPr>
            <w:r>
              <w:rPr>
                <w:rFonts w:ascii="Arial" w:cs="Arial" w:eastAsia="Arial" w:hAnsi="Arial"/>
                <w:b/>
                <w:bCs/>
                <w:color w:val="FFFFFF"/>
                <w:sz w:val="18"/>
                <w:szCs w:val="18"/>
              </w:rPr>
              <w:t xml:space="preserve"/>
            </w:r>
          </w:p>
        </w:tc>
        <w:tc>
          <w:tcPr>
            <w:tcW w:type="dxa" w:w="345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tcPr>
          <w:p>
            <w:pPr>
              <w:keepNext w:val="false"/>
              <w:jc w:val="left"/>
            </w:pPr>
            <w:r>
              <w:rPr>
                <w:rFonts w:ascii="Arial" w:cs="Arial" w:eastAsia="Arial" w:hAnsi="Arial"/>
                <w:b/>
                <w:bCs/>
                <w:color w:val="FFFFFF"/>
                <w:sz w:val="18"/>
                <w:szCs w:val="18"/>
              </w:rPr>
              <w:t xml:space="preserve">Cust04608 (highest forecast)</w:t>
            </w:r>
          </w:p>
        </w:tc>
        <w:tc>
          <w:tcPr>
            <w:tcW w:type="dxa" w:w="345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tcPr>
          <w:p>
            <w:pPr>
              <w:keepNext w:val="false"/>
              <w:jc w:val="left"/>
            </w:pPr>
            <w:r>
              <w:rPr>
                <w:rFonts w:ascii="Arial" w:cs="Arial" w:eastAsia="Arial" w:hAnsi="Arial"/>
                <w:b/>
                <w:bCs/>
                <w:color w:val="FFFFFF"/>
                <w:sz w:val="18"/>
                <w:szCs w:val="18"/>
              </w:rPr>
              <w:t xml:space="preserve">Cust00499 (lowest forecast)</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bCs/>
                <w:sz w:val="18"/>
                <w:szCs w:val="18"/>
              </w:rPr>
              <w:t xml:space="preserve">Segment / churn status</w:t>
            </w:r>
          </w:p>
        </w:tc>
        <w:tc>
          <w:tcPr>
            <w:tcW w:type="dxa" w:w="345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VIP / Active</w:t>
            </w:r>
          </w:p>
        </w:tc>
        <w:tc>
          <w:tcPr>
            <w:tcW w:type="dxa" w:w="345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Low-Value / Win-Back</w:t>
            </w:r>
          </w:p>
        </w:tc>
      </w:tr>
      <w:tr>
        <w:trPr>
          <w:cantSplit/>
          <w:tblHeader w:val="false"/>
        </w:trPr>
        <w:tc>
          <w:tcPr>
            <w:tcW w:type="dxa" w:w="28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bCs/>
                <w:sz w:val="18"/>
                <w:szCs w:val="18"/>
              </w:rPr>
              <w:t xml:space="preserve">Orders to 2024 / average order value</w:t>
            </w:r>
          </w:p>
        </w:tc>
        <w:tc>
          <w:tcPr>
            <w:tcW w:type="dxa" w:w="345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21 / 2,905</w:t>
            </w:r>
          </w:p>
        </w:tc>
        <w:tc>
          <w:tcPr>
            <w:tcW w:type="dxa" w:w="345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4 / -100</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bCs/>
                <w:sz w:val="18"/>
                <w:szCs w:val="18"/>
              </w:rPr>
              <w:t xml:space="preserve">Main drivers</w:t>
            </w:r>
          </w:p>
        </w:tc>
        <w:tc>
          <w:tcPr>
            <w:tcW w:type="dxa" w:w="345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AOV +3,729; RevenueStd +1,535; TotalRevenue +1,515</w:t>
            </w:r>
          </w:p>
        </w:tc>
        <w:tc>
          <w:tcPr>
            <w:tcW w:type="dxa" w:w="345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AOV -979; TotalRevenue -661; Expected_Monetary_Value -140</w:t>
            </w:r>
          </w:p>
        </w:tc>
      </w:tr>
      <w:tr>
        <w:trPr>
          <w:cantSplit/>
          <w:tblHeader w:val="false"/>
        </w:trPr>
        <w:tc>
          <w:tcPr>
            <w:tcW w:type="dxa" w:w="28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bCs/>
                <w:sz w:val="18"/>
                <w:szCs w:val="18"/>
              </w:rPr>
              <w:t xml:space="preserve">Predicted vs. actual 2025 revenue</w:t>
            </w:r>
          </w:p>
        </w:tc>
        <w:tc>
          <w:tcPr>
            <w:tcW w:type="dxa" w:w="345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13,289 vs. 4,333</w:t>
            </w:r>
          </w:p>
        </w:tc>
        <w:tc>
          <w:tcPr>
            <w:tcW w:type="dxa" w:w="345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-122 vs. 0</w:t>
            </w:r>
          </w:p>
        </w:tc>
      </w:tr>
    </w:tbl>
    <w:p>
      <w:pPr>
        <w:spacing w:after="60" w:before="50"/>
      </w:pPr>
      <w:r>
        <w:rPr>
          <w:rFonts w:ascii="Arial" w:cs="Arial" w:eastAsia="Arial" w:hAnsi="Arial"/>
          <w:sz w:val="18"/>
          <w:szCs w:val="18"/>
        </w:rPr>
        <w:t xml:space="preserve">The highest forecast overshot by about 9,000, a typical case of the largest prediction also being the most over-optimistic. The lowest forecast is negative because the customer's returns exceeded purchases.</w:t>
      </w:r>
    </w:p>
    <w:p>
      <w:pPr>
        <w:keepNext/>
        <w:pBdr>
          <w:bottom w:val="single" w:color="1F3864" w:sz="6" w:space="2"/>
        </w:pBdr>
        <w:spacing w:after="70" w:before="170"/>
      </w:pPr>
      <w:r>
        <w:rPr>
          <w:rFonts w:ascii="Arial" w:cs="Arial" w:eastAsia="Arial" w:hAnsi="Arial"/>
          <w:b/>
          <w:bCs/>
          <w:color w:val="1F3864"/>
          <w:sz w:val="24"/>
          <w:szCs w:val="24"/>
        </w:rPr>
        <w:t xml:space="preserve">5. Assumptions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600"/>
        <w:gridCol w:w="9100"/>
      </w:tblGrid>
      <w:tr>
        <w:trPr>
          <w:cantSplit/>
          <w:tblHeader/>
        </w:trPr>
        <w:tc>
          <w:tcPr>
            <w:tcW w:type="dxa" w:w="6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tcPr>
          <w:p>
            <w:pPr>
              <w:keepNext w:val="false"/>
              <w:jc w:val="center"/>
            </w:pPr>
            <w:r>
              <w:rPr>
                <w:rFonts w:ascii="Arial" w:cs="Arial" w:eastAsia="Arial" w:hAnsi="Arial"/>
                <w:b/>
                <w:bCs/>
                <w:color w:val="FFFFFF"/>
                <w:sz w:val="18"/>
                <w:szCs w:val="18"/>
              </w:rPr>
              <w:t xml:space="preserve">#</w:t>
            </w:r>
          </w:p>
        </w:tc>
        <w:tc>
          <w:tcPr>
            <w:tcW w:type="dxa" w:w="91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tcPr>
          <w:p>
            <w:pPr>
              <w:keepNext w:val="false"/>
              <w:jc w:val="left"/>
            </w:pPr>
            <w:r>
              <w:rPr>
                <w:rFonts w:ascii="Arial" w:cs="Arial" w:eastAsia="Arial" w:hAnsi="Arial"/>
                <w:b/>
                <w:bCs/>
                <w:color w:val="FFFFFF"/>
                <w:sz w:val="18"/>
                <w:szCs w:val="18"/>
              </w:rPr>
              <w:t xml:space="preserve">Assumption</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center"/>
            </w:pPr>
            <w:r>
              <w:rPr>
                <w:rFonts w:ascii="Arial" w:cs="Arial" w:eastAsia="Arial" w:hAnsi="Arial"/>
                <w:b/>
                <w:bCs/>
                <w:sz w:val="18"/>
                <w:szCs w:val="18"/>
              </w:rPr>
              <w:t xml:space="preserve">1</w:t>
            </w:r>
          </w:p>
        </w:tc>
        <w:tc>
          <w:tcPr>
            <w:tcW w:type="dxa" w:w="91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Customer revenue is net of returns; customers with no 2025 orders have 2025 revenue of zero.</w:t>
            </w:r>
          </w:p>
        </w:tc>
      </w:tr>
      <w:tr>
        <w:trPr>
          <w:cantSplit/>
          <w:tblHeader w:val="false"/>
        </w:trPr>
        <w:tc>
          <w:tcPr>
            <w:tcW w:type="dxa" w:w="6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center"/>
            </w:pPr>
            <w:r>
              <w:rPr>
                <w:rFonts w:ascii="Arial" w:cs="Arial" w:eastAsia="Arial" w:hAnsi="Arial"/>
                <w:b/>
                <w:bCs/>
                <w:sz w:val="18"/>
                <w:szCs w:val="18"/>
              </w:rPr>
              <w:t xml:space="preserve">2</w:t>
            </w:r>
          </w:p>
        </w:tc>
        <w:tc>
          <w:tcPr>
            <w:tcW w:type="dxa" w:w="91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Behaviour from 2022 to 2024 is a fair guide to 2025, tested on a single holdout year with one random 80/20 customer split.</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center"/>
            </w:pPr>
            <w:r>
              <w:rPr>
                <w:rFonts w:ascii="Arial" w:cs="Arial" w:eastAsia="Arial" w:hAnsi="Arial"/>
                <w:b/>
                <w:bCs/>
                <w:sz w:val="18"/>
                <w:szCs w:val="18"/>
              </w:rPr>
              <w:t xml:space="preserve">3</w:t>
            </w:r>
          </w:p>
        </w:tc>
        <w:tc>
          <w:tcPr>
            <w:tcW w:type="dxa" w:w="91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Negative unit prices are sign errors; zero-price or zero-quantity rows are invalid; prices above 1,292.04 are outliers.</w:t>
            </w:r>
          </w:p>
        </w:tc>
      </w:tr>
      <w:tr>
        <w:trPr>
          <w:cantSplit/>
          <w:tblHeader w:val="false"/>
        </w:trPr>
        <w:tc>
          <w:tcPr>
            <w:tcW w:type="dxa" w:w="6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center"/>
            </w:pPr>
            <w:r>
              <w:rPr>
                <w:rFonts w:ascii="Arial" w:cs="Arial" w:eastAsia="Arial" w:hAnsi="Arial"/>
                <w:b/>
                <w:bCs/>
                <w:sz w:val="18"/>
                <w:szCs w:val="18"/>
              </w:rPr>
              <w:t xml:space="preserve">4</w:t>
            </w:r>
          </w:p>
        </w:tc>
        <w:tc>
          <w:tcPr>
            <w:tcW w:type="dxa" w:w="91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BG/NBD assumes customers buy at random while active and can become inactive permanently; Gamma-Gamma assumes order value is unrelated to purchase frequency.</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center"/>
            </w:pPr>
            <w:r>
              <w:rPr>
                <w:rFonts w:ascii="Arial" w:cs="Arial" w:eastAsia="Arial" w:hAnsi="Arial"/>
                <w:b/>
                <w:bCs/>
                <w:sz w:val="18"/>
                <w:szCs w:val="18"/>
              </w:rPr>
              <w:t xml:space="preserve">5</w:t>
            </w:r>
          </w:p>
        </w:tc>
        <w:tc>
          <w:tcPr>
            <w:tcW w:type="dxa" w:w="91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The 300 and 400 day churn thresholds and the 10/20/20/50 segment cut-offs are business choices, not derived from the data.</w:t>
            </w:r>
          </w:p>
        </w:tc>
      </w:tr>
      <w:tr>
        <w:trPr>
          <w:cantSplit/>
          <w:tblHeader w:val="false"/>
        </w:trPr>
        <w:tc>
          <w:tcPr>
            <w:tcW w:type="dxa" w:w="6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center"/>
            </w:pPr>
            <w:r>
              <w:rPr>
                <w:rFonts w:ascii="Arial" w:cs="Arial" w:eastAsia="Arial" w:hAnsi="Arial"/>
                <w:b/>
                <w:bCs/>
                <w:sz w:val="18"/>
                <w:szCs w:val="18"/>
              </w:rPr>
              <w:t xml:space="preserve">6</w:t>
            </w:r>
          </w:p>
        </w:tc>
        <w:tc>
          <w:tcPr>
            <w:tcW w:type="dxa" w:w="91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The win-back simulation assumes 10% of the Win-Back pool is recovered at its predicted value, with no campaign cost.</w:t>
            </w:r>
          </w:p>
        </w:tc>
      </w:tr>
    </w:tbl>
    <w:p>
      <w:pPr>
        <w:keepNext/>
        <w:pBdr>
          <w:bottom w:val="single" w:color="1F3864" w:sz="6" w:space="2"/>
        </w:pBdr>
        <w:spacing w:after="70" w:before="170"/>
      </w:pPr>
      <w:r>
        <w:rPr>
          <w:rFonts w:ascii="Arial" w:cs="Arial" w:eastAsia="Arial" w:hAnsi="Arial"/>
          <w:b/>
          <w:bCs/>
          <w:color w:val="1F3864"/>
          <w:sz w:val="24"/>
          <w:szCs w:val="24"/>
        </w:rPr>
        <w:t xml:space="preserve">6. Limitations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6700"/>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tcPr>
          <w:p>
            <w:pPr>
              <w:keepNext w:val="false"/>
              <w:jc w:val="left"/>
            </w:pPr>
            <w:r>
              <w:rPr>
                <w:rFonts w:ascii="Arial" w:cs="Arial" w:eastAsia="Arial" w:hAnsi="Arial"/>
                <w:b/>
                <w:bCs/>
                <w:color w:val="FFFFFF"/>
                <w:sz w:val="18"/>
                <w:szCs w:val="18"/>
              </w:rPr>
              <w:t xml:space="preserve">Limitation</w:t>
            </w:r>
          </w:p>
        </w:tc>
        <w:tc>
          <w:tcPr>
            <w:tcW w:type="dxa" w:w="67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tcPr>
          <w:p>
            <w:pPr>
              <w:keepNext w:val="false"/>
              <w:jc w:val="left"/>
            </w:pPr>
            <w:r>
              <w:rPr>
                <w:rFonts w:ascii="Arial" w:cs="Arial" w:eastAsia="Arial" w:hAnsi="Arial"/>
                <w:b/>
                <w:bCs/>
                <w:color w:val="FFFFFF"/>
                <w:sz w:val="18"/>
                <w:szCs w:val="18"/>
              </w:rPr>
              <w:t xml:space="preserve">Impact</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bCs/>
                <w:sz w:val="18"/>
                <w:szCs w:val="18"/>
              </w:rPr>
              <w:t xml:space="preserve">Returns counted as purchases</w:t>
            </w:r>
          </w:p>
        </w:tc>
        <w:tc>
          <w:tcPr>
            <w:tcW w:type="dxa" w:w="67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Return orders enter purchase frequency and the second-purchase event, and net-negative customers produce negative order values and one negative forecast (-122).</w:t>
            </w:r>
          </w:p>
        </w:tc>
      </w:tr>
      <w:tr>
        <w:trPr>
          <w:cantSplit/>
          <w:tblHeader w:val="false"/>
        </w:trPr>
        <w:tc>
          <w:tcPr>
            <w:tcW w:type="dxa" w:w="30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bCs/>
                <w:sz w:val="18"/>
                <w:szCs w:val="18"/>
              </w:rPr>
              <w:t xml:space="preserve">Segments use in-sample predictions</w:t>
            </w:r>
          </w:p>
        </w:tc>
        <w:tc>
          <w:tcPr>
            <w:tcW w:type="dxa" w:w="67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About 80% of customers were in the model's training data when segmented, so segment boundaries may be slightly optimistic.</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bCs/>
                <w:sz w:val="18"/>
                <w:szCs w:val="18"/>
              </w:rPr>
              <w:t xml:space="preserve">No naive baseline or cross-validation</w:t>
            </w:r>
          </w:p>
        </w:tc>
        <w:tc>
          <w:tcPr>
            <w:tcW w:type="dxa" w:w="67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R² of 0.60 has no reference point, and the 0.7% hybrid gain is not shown to be statistically real.</w:t>
            </w:r>
          </w:p>
        </w:tc>
      </w:tr>
      <w:tr>
        <w:trPr>
          <w:cantSplit/>
          <w:tblHeader w:val="false"/>
        </w:trPr>
        <w:tc>
          <w:tcPr>
            <w:tcW w:type="dxa" w:w="30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bCs/>
                <w:sz w:val="18"/>
                <w:szCs w:val="18"/>
              </w:rPr>
              <w:t xml:space="preserve">Over-prediction at the extremes</w:t>
            </w:r>
          </w:p>
        </w:tc>
        <w:tc>
          <w:tcPr>
            <w:tcW w:type="dxa" w:w="67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The highest forecasts are the least reliable (13,289 predicted vs. 4,333 actual); sparse data at high order values limits learning there.</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bCs/>
                <w:sz w:val="18"/>
                <w:szCs w:val="18"/>
              </w:rPr>
              <w:t xml:space="preserve">Win-back value is rough</w:t>
            </w:r>
          </w:p>
        </w:tc>
        <w:tc>
          <w:tcPr>
            <w:tcW w:type="dxa" w:w="67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Pool value rests on predicted purchases, which were rounded down to whole numbers, and on customers who are already 300 to 400 days inactive. Direction of error is uncertain.</w:t>
            </w:r>
          </w:p>
        </w:tc>
      </w:tr>
      <w:tr>
        <w:trPr>
          <w:cantSplit/>
          <w:tblHeader w:val="false"/>
        </w:trPr>
        <w:tc>
          <w:tcPr>
            <w:tcW w:type="dxa" w:w="30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bCs/>
                <w:sz w:val="18"/>
                <w:szCs w:val="18"/>
              </w:rPr>
              <w:t xml:space="preserve">BG/NBD validation</w:t>
            </w:r>
          </w:p>
        </w:tc>
        <w:tc>
          <w:tcPr>
            <w:tcW w:type="dxa" w:w="67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Predictions were truncated to integers and the 2.55 figure is a squared error, so the BG/NBD error is shown less precisely than it could be.</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bCs/>
                <w:sz w:val="18"/>
                <w:szCs w:val="18"/>
              </w:rPr>
              <w:t xml:space="preserve">Overlapping features and association only</w:t>
            </w:r>
          </w:p>
        </w:tc>
        <w:tc>
          <w:tcPr>
            <w:tcW w:type="dxa" w:w="67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Correlated revenue features share SHAP credit, and SHAP shows what the model relies on, not what causes spending.</w:t>
            </w:r>
          </w:p>
        </w:tc>
      </w:tr>
      <w:tr>
        <w:trPr>
          <w:cantSplit/>
          <w:tblHeader w:val="false"/>
        </w:trPr>
        <w:tc>
          <w:tcPr>
            <w:tcW w:type="dxa" w:w="30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bCs/>
                <w:sz w:val="18"/>
                <w:szCs w:val="18"/>
              </w:rPr>
              <w:t xml:space="preserve">Descriptive survival analysis</w:t>
            </w:r>
          </w:p>
        </w:tc>
        <w:tc>
          <w:tcPr>
            <w:tcW w:type="dxa" w:w="67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The Kaplan-Meier curve has no customer-level drivers; the Cox model was not fitted.</w:t>
            </w:r>
          </w:p>
        </w:tc>
      </w:tr>
    </w:tbl>
    <w:p>
      <w:pPr>
        <w:keepNext/>
        <w:pBdr>
          <w:bottom w:val="single" w:color="1F3864" w:sz="6" w:space="2"/>
        </w:pBdr>
        <w:spacing w:after="70" w:before="170"/>
      </w:pPr>
      <w:r>
        <w:rPr>
          <w:rFonts w:ascii="Arial" w:cs="Arial" w:eastAsia="Arial" w:hAnsi="Arial"/>
          <w:b/>
          <w:bCs/>
          <w:color w:val="1F3864"/>
          <w:sz w:val="24"/>
          <w:szCs w:val="24"/>
        </w:rPr>
        <w:t xml:space="preserve">7. Recommendations for Stakeholders</w:t>
      </w:r>
    </w:p>
    <w:p>
      <w:pPr>
        <w:spacing w:after="80" w:line="257"/>
      </w:pPr>
      <w:r>
        <w:rPr>
          <w:rFonts w:ascii="Arial" w:cs="Arial" w:eastAsia="Arial" w:hAnsi="Arial"/>
          <w:sz w:val="20"/>
          <w:szCs w:val="20"/>
        </w:rPr>
        <w:t xml:space="preserve">The actions below are ordered by expected value and ease. Treat revenue figures as scenarios and confirm each action with a controlled test before scaling.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4600"/>
        <w:gridCol w:w="2800"/>
      </w:tblGrid>
      <w:tr>
        <w:trPr>
          <w:cantSplit/>
          <w:tblHeader/>
        </w:trPr>
        <w:tc>
          <w:tcPr>
            <w:tcW w:type="dxa" w:w="8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tcPr>
          <w:p>
            <w:pPr>
              <w:keepNext w:val="false"/>
              <w:jc w:val="left"/>
            </w:pPr>
            <w:r>
              <w:rPr>
                <w:rFonts w:ascii="Arial" w:cs="Arial" w:eastAsia="Arial" w:hAnsi="Arial"/>
                <w:b/>
                <w:bCs/>
                <w:color w:val="FFFFFF"/>
                <w:sz w:val="18"/>
                <w:szCs w:val="18"/>
              </w:rPr>
              <w:t xml:space="preserve">When</w:t>
            </w:r>
          </w:p>
        </w:tc>
        <w:tc>
          <w:tcPr>
            <w:tcW w:type="dxa" w:w="15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tcPr>
          <w:p>
            <w:pPr>
              <w:keepNext w:val="false"/>
              <w:jc w:val="left"/>
            </w:pPr>
            <w:r>
              <w:rPr>
                <w:rFonts w:ascii="Arial" w:cs="Arial" w:eastAsia="Arial" w:hAnsi="Arial"/>
                <w:b/>
                <w:bCs/>
                <w:color w:val="FFFFFF"/>
                <w:sz w:val="18"/>
                <w:szCs w:val="18"/>
              </w:rPr>
              <w:t xml:space="preserve">Segment / area</w:t>
            </w:r>
          </w:p>
        </w:tc>
        <w:tc>
          <w:tcPr>
            <w:tcW w:type="dxa" w:w="46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tcPr>
          <w:p>
            <w:pPr>
              <w:keepNext w:val="false"/>
              <w:jc w:val="left"/>
            </w:pPr>
            <w:r>
              <w:rPr>
                <w:rFonts w:ascii="Arial" w:cs="Arial" w:eastAsia="Arial" w:hAnsi="Arial"/>
                <w:b/>
                <w:bCs/>
                <w:color w:val="FFFFFF"/>
                <w:sz w:val="18"/>
                <w:szCs w:val="18"/>
              </w:rPr>
              <w:t xml:space="preserve">What to do</w:t>
            </w:r>
          </w:p>
        </w:tc>
        <w:tc>
          <w:tcPr>
            <w:tcW w:type="dxa" w:w="28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tcPr>
          <w:p>
            <w:pPr>
              <w:keepNext w:val="false"/>
              <w:jc w:val="left"/>
            </w:pPr>
            <w:r>
              <w:rPr>
                <w:rFonts w:ascii="Arial" w:cs="Arial" w:eastAsia="Arial" w:hAnsi="Arial"/>
                <w:b/>
                <w:bCs/>
                <w:color w:val="FFFFFF"/>
                <w:sz w:val="18"/>
                <w:szCs w:val="18"/>
              </w:rPr>
              <w:t xml:space="preserve">Success measure</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bCs/>
                <w:sz w:val="18"/>
                <w:szCs w:val="18"/>
              </w:rPr>
              <w:t xml:space="preserve">Now</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Win-Back: VIP and Loyal (311)</w:t>
            </w:r>
          </w:p>
        </w:tc>
        <w:tc>
          <w:tcPr>
            <w:tcW w:type="dxa" w:w="46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Personal outreach with a tailored offer before these customers pass the 400 day line.</w:t>
            </w:r>
          </w:p>
        </w:tc>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Reactivation rate; revenue vs. the $307k scenario</w:t>
            </w:r>
          </w:p>
        </w:tc>
      </w:tr>
      <w:tr>
        <w:trPr>
          <w:cantSplit/>
          <w:tblHeader w:val="false"/>
        </w:trPr>
        <w:tc>
          <w:tcPr>
            <w:tcW w:type="dxa" w:w="8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bCs/>
                <w:sz w:val="18"/>
                <w:szCs w:val="18"/>
              </w:rPr>
              <w:t xml:space="preserve">Now</w:t>
            </w:r>
          </w:p>
        </w:tc>
        <w:tc>
          <w:tcPr>
            <w:tcW w:type="dxa" w:w="15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Win-Back: Occasional (278)</w:t>
            </w:r>
          </w:p>
        </w:tc>
        <w:tc>
          <w:tcPr>
            <w:tcW w:type="dxa" w:w="46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Automated reminder sequence with a time-limited incentive.</w:t>
            </w:r>
          </w:p>
        </w:tc>
        <w:tc>
          <w:tcPr>
            <w:tcW w:type="dxa" w:w="28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Reactivation rate; cost per reactivation</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bCs/>
                <w:sz w:val="18"/>
                <w:szCs w:val="18"/>
              </w:rPr>
              <w:t xml:space="preserve">Now</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Low-Value (5,730; 3,470 churned)</w:t>
            </w:r>
          </w:p>
        </w:tc>
        <w:tc>
          <w:tcPr>
            <w:tcW w:type="dxa" w:w="46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Low-cost automated email only; avoid discounts and paid media.</w:t>
            </w:r>
          </w:p>
        </w:tc>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Cost per customer kept low</w:t>
            </w:r>
          </w:p>
        </w:tc>
      </w:tr>
      <w:tr>
        <w:trPr>
          <w:cantSplit/>
          <w:tblHeader w:val="false"/>
        </w:trPr>
        <w:tc>
          <w:tcPr>
            <w:tcW w:type="dxa" w:w="8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bCs/>
                <w:sz w:val="18"/>
                <w:szCs w:val="18"/>
              </w:rPr>
              <w:t xml:space="preserve">Next</w:t>
            </w:r>
          </w:p>
        </w:tc>
        <w:tc>
          <w:tcPr>
            <w:tcW w:type="dxa" w:w="15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New customers</w:t>
            </w:r>
          </w:p>
        </w:tc>
        <w:tc>
          <w:tcPr>
            <w:tcW w:type="dxa" w:w="46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Trigger a follow-up around day 60 to 100 without a second purchase, since about half of new customers have made a second purchase by day 110.</w:t>
            </w:r>
          </w:p>
        </w:tc>
        <w:tc>
          <w:tcPr>
            <w:tcW w:type="dxa" w:w="28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Second-purchase rate within 200 days</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bCs/>
                <w:sz w:val="18"/>
                <w:szCs w:val="18"/>
              </w:rPr>
              <w:t xml:space="preserve">Next</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VIP (1,145)</w:t>
            </w:r>
          </w:p>
        </w:tc>
        <w:tc>
          <w:tcPr>
            <w:tcW w:type="dxa" w:w="46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Account management and an alert when a VIP nears the 300 day Win-Back line.</w:t>
            </w:r>
          </w:p>
        </w:tc>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VIP Active rate (now 94%)</w:t>
            </w:r>
          </w:p>
        </w:tc>
      </w:tr>
      <w:tr>
        <w:trPr>
          <w:cantSplit/>
          <w:tblHeader w:val="false"/>
        </w:trPr>
        <w:tc>
          <w:tcPr>
            <w:tcW w:type="dxa" w:w="8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bCs/>
                <w:sz w:val="18"/>
                <w:szCs w:val="18"/>
              </w:rPr>
              <w:t xml:space="preserve">Next</w:t>
            </w:r>
          </w:p>
        </w:tc>
        <w:tc>
          <w:tcPr>
            <w:tcW w:type="dxa" w:w="15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Loyal to VIP</w:t>
            </w:r>
          </w:p>
        </w:tc>
        <w:tc>
          <w:tcPr>
            <w:tcW w:type="dxa" w:w="46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Grow order value through bundles, upsell and basket thresholds; the model shows order value, not frequency, drives revenue.</w:t>
            </w:r>
          </w:p>
        </w:tc>
        <w:tc>
          <w:tcPr>
            <w:tcW w:type="dxa" w:w="28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Average order value; share moving to VIP</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bCs/>
                <w:sz w:val="18"/>
                <w:szCs w:val="18"/>
              </w:rPr>
              <w:t xml:space="preserve">Next</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Returns</w:t>
            </w:r>
          </w:p>
        </w:tc>
        <w:tc>
          <w:tcPr>
            <w:tcW w:type="dxa" w:w="46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Review returns policy and capture return reasons; track net-negative customers.</w:t>
            </w:r>
          </w:p>
        </w:tc>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Return rate; net revenue per customer</w:t>
            </w:r>
          </w:p>
        </w:tc>
      </w:tr>
      <w:tr>
        <w:trPr>
          <w:cantSplit/>
          <w:tblHeader w:val="false"/>
        </w:trPr>
        <w:tc>
          <w:tcPr>
            <w:tcW w:type="dxa" w:w="8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bCs/>
                <w:sz w:val="18"/>
                <w:szCs w:val="18"/>
              </w:rPr>
              <w:t xml:space="preserve">Later</w:t>
            </w:r>
          </w:p>
        </w:tc>
        <w:tc>
          <w:tcPr>
            <w:tcW w:type="dxa" w:w="15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Model governance</w:t>
            </w:r>
          </w:p>
        </w:tc>
        <w:tc>
          <w:tcPr>
            <w:tcW w:type="dxa" w:w="46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Refresh the model quarterly, fix the limitations in Section 6, and re-measure against a baseline.</w:t>
            </w:r>
          </w:p>
        </w:tc>
        <w:tc>
          <w:tcPr>
            <w:tcW w:type="dxa" w:w="2800"/>
            <w:tcBorders>
              <w:top w:val="single" w:color="BFBFBF" w:sz="4"/>
              <w:left w:val="single" w:color="BFBFBF" w:sz="4"/>
              <w:bottom w:val="single" w:color="BFBFBF" w:sz="4"/>
              <w:right w:val="single" w:color="BFBFBF" w:sz="4"/>
            </w:tcBorders>
            <w:shd w:fill="F2F5FA" w:color="auto" w:val="clear"/>
            <w:tcMar>
              <w:top w:type="dxa" w:w="40"/>
              <w:left w:type="dxa" w:w="90"/>
              <w:bottom w:type="dxa" w:w="40"/>
              <w:right w:type="dxa" w:w="90"/>
            </w:tcMar>
          </w:tcPr>
          <w:p>
            <w:pPr>
              <w:keepNext w:val="false"/>
              <w:jc w:val="left"/>
            </w:pPr>
            <w:r>
              <w:rPr>
                <w:rFonts w:ascii="Arial" w:cs="Arial" w:eastAsia="Arial" w:hAnsi="Arial"/>
                <w:b w:val="false"/>
                <w:bCs w:val="false"/>
                <w:sz w:val="18"/>
                <w:szCs w:val="18"/>
              </w:rPr>
              <w:t xml:space="preserve">MAE and R² vs. baseline each quarter</w:t>
            </w:r>
          </w:p>
        </w:tc>
      </w:tr>
    </w:tbl>
    <w:p>
      <w:pPr>
        <w:keepNext/>
        <w:pBdr>
          <w:bottom w:val="single" w:color="1F3864" w:sz="6" w:space="2"/>
        </w:pBdr>
        <w:spacing w:after="70" w:before="170"/>
      </w:pPr>
      <w:r>
        <w:rPr>
          <w:rFonts w:ascii="Arial" w:cs="Arial" w:eastAsia="Arial" w:hAnsi="Arial"/>
          <w:b/>
          <w:bCs/>
          <w:color w:val="1F3864"/>
          <w:sz w:val="24"/>
          <w:szCs w:val="24"/>
        </w:rPr>
        <w:t xml:space="preserve">8. Technical Next Steps</w:t>
      </w:r>
    </w:p>
    <w:p>
      <w:pPr>
        <w:pStyle w:val="ListParagraph"/>
        <w:numPr>
          <w:ilvl w:val="0"/>
          <w:numId w:val="2"/>
        </w:numPr>
        <w:spacing w:after="55" w:line="252"/>
      </w:pPr>
      <w:r>
        <w:rPr>
          <w:rFonts w:ascii="Arial" w:cs="Arial" w:eastAsia="Arial" w:hAnsi="Arial"/>
          <w:b/>
          <w:bCs/>
          <w:sz w:val="20"/>
          <w:szCs w:val="20"/>
        </w:rPr>
        <w:t xml:space="preserve">Fix the data logic: </w:t>
      </w:r>
      <w:r>
        <w:rPr>
          <w:rFonts w:ascii="Arial" w:cs="Arial" w:eastAsia="Arial" w:hAnsi="Arial"/>
          <w:sz w:val="20"/>
          <w:szCs w:val="20"/>
        </w:rPr>
        <w:t xml:space="preserve">separate returns from purchases, clip forecasts at zero, and keep BG/NBD predictions as decimals.</w:t>
      </w:r>
    </w:p>
    <w:p>
      <w:pPr>
        <w:pStyle w:val="ListParagraph"/>
        <w:numPr>
          <w:ilvl w:val="0"/>
          <w:numId w:val="2"/>
        </w:numPr>
        <w:spacing w:after="55" w:line="252"/>
      </w:pPr>
      <w:r>
        <w:rPr>
          <w:rFonts w:ascii="Arial" w:cs="Arial" w:eastAsia="Arial" w:hAnsi="Arial"/>
          <w:b/>
          <w:bCs/>
          <w:sz w:val="20"/>
          <w:szCs w:val="20"/>
        </w:rPr>
        <w:t xml:space="preserve">Prove the model: </w:t>
      </w:r>
      <w:r>
        <w:rPr>
          <w:rFonts w:ascii="Arial" w:cs="Arial" w:eastAsia="Arial" w:hAnsi="Arial"/>
          <w:sz w:val="20"/>
          <w:szCs w:val="20"/>
        </w:rPr>
        <w:t xml:space="preserve">add a naive baseline (2025 revenue predicted as 2024 revenue) and 5-fold cross-validation for both models.</w:t>
      </w:r>
    </w:p>
    <w:p>
      <w:pPr>
        <w:pStyle w:val="ListParagraph"/>
        <w:numPr>
          <w:ilvl w:val="0"/>
          <w:numId w:val="2"/>
        </w:numPr>
        <w:spacing w:after="55" w:line="252"/>
      </w:pPr>
      <w:r>
        <w:rPr>
          <w:rFonts w:ascii="Arial" w:cs="Arial" w:eastAsia="Arial" w:hAnsi="Arial"/>
          <w:b/>
          <w:bCs/>
          <w:sz w:val="20"/>
          <w:szCs w:val="20"/>
        </w:rPr>
        <w:t xml:space="preserve">Make segments honest: </w:t>
      </w:r>
      <w:r>
        <w:rPr>
          <w:rFonts w:ascii="Arial" w:cs="Arial" w:eastAsia="Arial" w:hAnsi="Arial"/>
          <w:sz w:val="20"/>
          <w:szCs w:val="20"/>
        </w:rPr>
        <w:t xml:space="preserve">use out-of-fold predictions for segmentation, and set churn thresholds from purchase-interval data.</w:t>
      </w:r>
    </w:p>
    <w:p>
      <w:pPr>
        <w:pStyle w:val="ListParagraph"/>
        <w:numPr>
          <w:ilvl w:val="0"/>
          <w:numId w:val="2"/>
        </w:numPr>
        <w:spacing w:after="55" w:line="252"/>
      </w:pPr>
      <w:r>
        <w:rPr>
          <w:rFonts w:ascii="Arial" w:cs="Arial" w:eastAsia="Arial" w:hAnsi="Arial"/>
          <w:b/>
          <w:bCs/>
          <w:sz w:val="20"/>
          <w:szCs w:val="20"/>
        </w:rPr>
        <w:t xml:space="preserve">Extend the analysis: </w:t>
      </w:r>
      <w:r>
        <w:rPr>
          <w:rFonts w:ascii="Arial" w:cs="Arial" w:eastAsia="Arial" w:hAnsi="Arial"/>
          <w:sz w:val="20"/>
          <w:szCs w:val="20"/>
        </w:rPr>
        <w:t xml:space="preserve">fit a Cox model for second-purchase drivers, test a log-transformed target, and add costs and ROI to the win-back scenarios.</w:t>
      </w:r>
    </w:p>
    <w:sectPr>
      <w:footerReference w:type="default" r:id="rId7"/>
      <w:pgSz w:w="11906" w:h="16838" w:orient="portrait"/>
      <w:pgMar w:top="900" w:right="1100" w:bottom="85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Huzaifa Saqib  |  Customer Value Forecasting System  |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a37e994a2eabbc5119f8bbd7909cad442f622d8.png"/><Relationship Id="rId9" Type="http://schemas.openxmlformats.org/officeDocument/2006/relationships/image" Target="media/41a08547828d0893575aadca3bc9d7c39e54ed36.png"/><Relationship Id="rId10" Type="http://schemas.openxmlformats.org/officeDocument/2006/relationships/image" Target="media/5f82aadc1474d2e8f17d6a8526483f08026bee3e.png"/><Relationship Id="rId11" Type="http://schemas.openxmlformats.org/officeDocument/2006/relationships/image" Target="media/73677160ea12a820ce45b601deaadad0517dd4aa.png"/><Relationship Id="rId12" Type="http://schemas.openxmlformats.org/officeDocument/2006/relationships/image" Target="media/0068e7abbd25c5b7c1eb34244eee2d507855e6e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2026-10-17T09:22:43.682Z</dcterms:created>
  <dcterms:modified xsi:type="dcterms:W3CDTF">2026-10-17T09:22:43.682Z</dcterms:modified>
</cp:coreProperties>
</file>

<file path=docProps/custom.xml><?xml version="1.0" encoding="utf-8"?>
<Properties xmlns="http://schemas.openxmlformats.org/officeDocument/2006/custom-properties" xmlns:vt="http://schemas.openxmlformats.org/officeDocument/2006/docPropsVTypes"/>
</file>