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A421B5" w:rsidP="489F841B" w:rsidRDefault="24A421B5" w14:paraId="019E0CF4" w14:textId="666FC474">
      <w:pPr>
        <w:pStyle w:val="Heading1"/>
        <w:spacing w:before="322" w:beforeAutospacing="off" w:after="322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002060"/>
          <w:sz w:val="52"/>
          <w:szCs w:val="52"/>
          <w:u w:val="single"/>
          <w:lang w:val="en-US"/>
        </w:rPr>
      </w:pPr>
      <w:r w:rsidRPr="489F841B" w:rsidR="24A421B5"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002060"/>
          <w:sz w:val="52"/>
          <w:szCs w:val="52"/>
          <w:u w:val="single"/>
          <w:lang w:val="en-US"/>
        </w:rPr>
        <w:t>Accounting &amp; Financial Analysis: Evaluating the Financial Health of System Limited</w:t>
      </w:r>
    </w:p>
    <w:p w:rsidR="489F841B" w:rsidP="489F841B" w:rsidRDefault="489F841B" w14:paraId="35960527" w14:textId="7D70D01A">
      <w:pPr>
        <w:pStyle w:val="Normal"/>
        <w:rPr>
          <w:noProof w:val="0"/>
          <w:lang w:val="en-US"/>
        </w:rPr>
      </w:pPr>
    </w:p>
    <w:p w:rsidR="24A421B5" w:rsidP="489F841B" w:rsidRDefault="24A421B5" w14:paraId="1D42A6D1" w14:textId="1D1BB98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489F841B" w:rsidR="24A42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89F841B" w:rsidR="24A421B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u w:val="single"/>
          <w:lang w:val="en-US"/>
        </w:rPr>
        <w:t>Course:</w:t>
      </w:r>
      <w:r w:rsidRPr="489F841B" w:rsidR="24A421B5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AF 1001 – Fundamentals of Accounting</w:t>
      </w:r>
      <w:r>
        <w:br/>
      </w:r>
      <w:r w:rsidRPr="489F841B" w:rsidR="24A421B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en-US"/>
        </w:rPr>
        <w:t>Group Members:</w:t>
      </w:r>
      <w:r w:rsidRPr="489F841B" w:rsidR="24A421B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Huzaifa Saqib </w:t>
      </w:r>
      <w:r w:rsidRPr="489F841B" w:rsidR="24A421B5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(25K-5033), </w:t>
      </w:r>
      <w:r w:rsidRPr="489F841B" w:rsidR="24A421B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Ahsan Ahmed</w:t>
      </w:r>
      <w:r w:rsidRPr="489F841B" w:rsidR="24A421B5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(25K-5020), </w:t>
      </w:r>
      <w:r w:rsidRPr="489F841B" w:rsidR="24A421B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Zoraiz Kashif</w:t>
      </w:r>
      <w:r w:rsidRPr="489F841B" w:rsidR="24A421B5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(25k-5036), </w:t>
      </w:r>
      <w:r w:rsidRPr="489F841B" w:rsidR="24A421B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Muhammad Hamza</w:t>
      </w:r>
      <w:r w:rsidRPr="489F841B" w:rsidR="24A421B5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(25K-5034)</w:t>
      </w:r>
    </w:p>
    <w:p w:rsidR="1FB416B7" w:rsidP="489F841B" w:rsidRDefault="1FB416B7" w14:paraId="5FD55AB2" w14:textId="5990D1E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489F841B" w:rsidR="1FB416B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en-US"/>
        </w:rPr>
        <w:t>Tools Used:</w:t>
      </w:r>
      <w:r w:rsidRPr="489F841B" w:rsidR="1FB416B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none"/>
          <w:lang w:val="en-US"/>
        </w:rPr>
        <w:t xml:space="preserve"> </w:t>
      </w:r>
      <w:r w:rsidRPr="489F841B" w:rsidR="1FB416B7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u w:val="none"/>
          <w:lang w:val="en-US"/>
        </w:rPr>
        <w:t xml:space="preserve">Excel, </w:t>
      </w:r>
      <w:r w:rsidRPr="489F841B" w:rsidR="4D2B6DE7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u w:val="none"/>
          <w:lang w:val="en-US"/>
        </w:rPr>
        <w:t>Power BI</w:t>
      </w:r>
      <w:r w:rsidRPr="489F841B" w:rsidR="1FB416B7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u w:val="none"/>
          <w:lang w:val="en-US"/>
        </w:rPr>
        <w:t>,</w:t>
      </w:r>
      <w:r w:rsidRPr="489F841B" w:rsidR="78EDD1F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u w:val="none"/>
          <w:lang w:val="en-US"/>
        </w:rPr>
        <w:t xml:space="preserve"> PSX</w:t>
      </w:r>
      <w:r w:rsidRPr="489F841B" w:rsidR="4D55DB7E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u w:val="none"/>
          <w:lang w:val="en-US"/>
        </w:rPr>
        <w:t xml:space="preserve"> Data</w:t>
      </w:r>
      <w:r>
        <w:br/>
      </w:r>
      <w:r w:rsidRPr="489F841B" w:rsidR="24A421B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en-US"/>
        </w:rPr>
        <w:t>Submission Date:</w:t>
      </w:r>
      <w:r w:rsidRPr="489F841B" w:rsidR="24A421B5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23rd November 2025</w:t>
      </w:r>
      <w:r w:rsidRPr="489F841B" w:rsidR="084F9347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Tools</w:t>
      </w:r>
    </w:p>
    <w:p w:rsidR="489F841B" w:rsidRDefault="489F841B" w14:paraId="38597346" w14:textId="6016B432"/>
    <w:p w:rsidR="24A421B5" w:rsidP="489F841B" w:rsidRDefault="24A421B5" w14:paraId="536083C2" w14:textId="59866109">
      <w:pPr>
        <w:pStyle w:val="Heading2"/>
        <w:spacing w:before="299" w:beforeAutospacing="off" w:after="299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</w:pPr>
      <w:r w:rsidRPr="489F841B" w:rsidR="24A421B5"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>1. Executive Summary</w:t>
      </w:r>
    </w:p>
    <w:p w:rsidR="24A421B5" w:rsidP="489F841B" w:rsidRDefault="24A421B5" w14:paraId="686BC7CA" w14:textId="2A9208A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24A421B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This report analyzes the financial performance of </w:t>
      </w:r>
      <w:r w:rsidRPr="489F841B" w:rsidR="24A421B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System Limited</w:t>
      </w:r>
      <w:r w:rsidRPr="489F841B" w:rsidR="24A421B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over the period 2022–2024. We studied revenue, gross profit, net profit, EPS, and key financial ratios to evaluate profitability, efficiency, and growth. Additionally, a comparison with competitor </w:t>
      </w:r>
      <w:r w:rsidRPr="489F841B" w:rsidR="24A421B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Net</w:t>
      </w:r>
      <w:r w:rsidRPr="489F841B" w:rsidR="1F9344A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</w:t>
      </w:r>
      <w:r w:rsidRPr="489F841B" w:rsidR="24A421B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ol</w:t>
      </w:r>
      <w:r w:rsidRPr="489F841B" w:rsidR="24A421B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highlights System Limited’s position in the market. Based on these insights, recommendations have been provided for improving profitability, efficiency, and strategic decision-making.</w:t>
      </w:r>
    </w:p>
    <w:p w:rsidR="489F841B" w:rsidP="489F841B" w:rsidRDefault="489F841B" w14:paraId="09FA43F6" w14:textId="7973A96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42470655" w:rsidP="489F841B" w:rsidRDefault="42470655" w14:paraId="79735214" w14:textId="51187384">
      <w:pPr>
        <w:pStyle w:val="Heading2"/>
        <w:spacing w:before="299" w:beforeAutospacing="off" w:after="299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</w:pPr>
      <w:r w:rsidRPr="489F841B" w:rsidR="42470655"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>2. Introduction of System Limited</w:t>
      </w:r>
    </w:p>
    <w:p w:rsidR="42470655" w:rsidP="489F841B" w:rsidRDefault="42470655" w14:paraId="0CDF18B0" w14:textId="7C7E7474">
      <w:pPr>
        <w:spacing w:before="240" w:beforeAutospacing="off" w:after="240" w:afterAutospacing="off"/>
      </w:pPr>
      <w:r w:rsidRPr="489F841B" w:rsidR="424706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System Limited</w:t>
      </w:r>
      <w:r w:rsidRPr="489F841B" w:rsidR="424706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a leading IT services company in Pakistan, providing software solutions and technology services across multiple sectors.</w:t>
      </w:r>
    </w:p>
    <w:p w:rsidR="42470655" w:rsidP="489F841B" w:rsidRDefault="42470655" w14:paraId="100C5220" w14:textId="40FF3B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424706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Sector:</w:t>
      </w:r>
      <w:r w:rsidRPr="489F841B" w:rsidR="424706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IT &amp; Technology</w:t>
      </w:r>
    </w:p>
    <w:p w:rsidR="42470655" w:rsidP="489F841B" w:rsidRDefault="42470655" w14:paraId="155A8306" w14:textId="12FF99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424706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Key People:</w:t>
      </w:r>
      <w:r w:rsidRPr="489F841B" w:rsidR="424706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CEO – [Asif Peer], Chairperson – [A</w:t>
      </w:r>
      <w:r w:rsidRPr="489F841B" w:rsidR="19B71B1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ezaz Hussain</w:t>
      </w:r>
      <w:r w:rsidRPr="489F841B" w:rsidR="424706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]</w:t>
      </w:r>
    </w:p>
    <w:p w:rsidR="42470655" w:rsidP="489F841B" w:rsidRDefault="42470655" w14:paraId="43B2D301" w14:textId="534B5F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424706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Stock Listing:</w:t>
      </w:r>
      <w:r w:rsidRPr="489F841B" w:rsidR="424706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Pakistan Stock Exchange (PSX)</w:t>
      </w:r>
    </w:p>
    <w:p w:rsidR="42470655" w:rsidP="489F841B" w:rsidRDefault="42470655" w14:paraId="68A78CBC" w14:textId="22A3CE78">
      <w:pPr>
        <w:spacing w:before="240" w:beforeAutospacing="off" w:after="240" w:afterAutospacing="off"/>
      </w:pPr>
      <w:r w:rsidRPr="489F841B" w:rsidR="424706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Objective of Project:</w:t>
      </w:r>
      <w:r w:rsidRPr="489F841B" w:rsidR="424706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evaluate </w:t>
      </w:r>
      <w:r w:rsidRPr="489F841B" w:rsidR="32E3F23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financial</w:t>
      </w:r>
      <w:r w:rsidRPr="489F841B" w:rsidR="424706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health, understand trends</w:t>
      </w:r>
      <w:r w:rsidRPr="489F841B" w:rsidR="1CF6C1B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, and provide</w:t>
      </w:r>
      <w:r w:rsidRPr="489F841B" w:rsidR="424706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recommendations based on data analysis.</w:t>
      </w:r>
    </w:p>
    <w:p w:rsidR="489F841B" w:rsidP="489F841B" w:rsidRDefault="489F841B" w14:paraId="30DFD33A" w14:textId="26DEB4B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489F841B" w:rsidP="489F841B" w:rsidRDefault="489F841B" w14:paraId="66942E8C" w14:textId="246639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663E1BB6" w:rsidP="489F841B" w:rsidRDefault="663E1BB6" w14:paraId="05DB3CE6" w14:textId="74FA047A">
      <w:pPr>
        <w:pStyle w:val="Normal"/>
        <w:spacing w:before="240" w:beforeAutospacing="off" w:after="240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</w:pPr>
      <w:r w:rsidRPr="489F841B" w:rsidR="663E1BB6"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>3. Financial Analysis (2022–2024)</w:t>
      </w:r>
    </w:p>
    <w:p w:rsidR="489F841B" w:rsidP="489F841B" w:rsidRDefault="489F841B" w14:paraId="42F1535B" w14:textId="73FAC3B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83"/>
        <w:gridCol w:w="1991"/>
        <w:gridCol w:w="1991"/>
        <w:gridCol w:w="1830"/>
        <w:gridCol w:w="1830"/>
        <w:gridCol w:w="810"/>
      </w:tblGrid>
      <w:tr w:rsidR="489F841B" w:rsidTr="489F841B" w14:paraId="79BE4729">
        <w:trPr>
          <w:trHeight w:val="1410"/>
        </w:trPr>
        <w:tc>
          <w:tcPr>
            <w:tcW w:w="8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3D1B23AD" w14:textId="1E4D8247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  <w:t>Year</w:t>
            </w:r>
          </w:p>
        </w:tc>
        <w:tc>
          <w:tcPr>
            <w:tcW w:w="19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0B2129A3" w14:textId="48E9E369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  <w:t>Revenue</w:t>
            </w:r>
          </w:p>
        </w:tc>
        <w:tc>
          <w:tcPr>
            <w:tcW w:w="19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1C6A2AB4" w14:textId="55632086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  <w:t>Cost of Revenue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02262274" w14:textId="25ABE87F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  <w:t>Gross Profit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6FB57017" w14:textId="1387249B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  <w:t>Net Profit</w:t>
            </w:r>
          </w:p>
        </w:tc>
        <w:tc>
          <w:tcPr>
            <w:tcW w:w="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30F8C925" w14:textId="31451815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28"/>
                <w:szCs w:val="28"/>
                <w:u w:val="none"/>
              </w:rPr>
              <w:t>EPS</w:t>
            </w:r>
          </w:p>
        </w:tc>
      </w:tr>
      <w:tr w:rsidR="489F841B" w:rsidTr="489F841B" w14:paraId="00FDE3F8">
        <w:trPr>
          <w:trHeight w:val="615"/>
        </w:trPr>
        <w:tc>
          <w:tcPr>
            <w:tcW w:w="8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71103AB0" w14:textId="1CFBDD28">
            <w:pPr>
              <w:spacing w:before="0" w:beforeAutospacing="off" w:after="0" w:afterAutospacing="off"/>
              <w:jc w:val="right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28"/>
                <w:szCs w:val="28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28"/>
                <w:szCs w:val="28"/>
                <w:u w:val="none"/>
              </w:rPr>
              <w:t>2024</w:t>
            </w:r>
          </w:p>
        </w:tc>
        <w:tc>
          <w:tcPr>
            <w:tcW w:w="19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029F6848" w14:textId="28C0DBAE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38,526,983,552</w:t>
            </w:r>
          </w:p>
        </w:tc>
        <w:tc>
          <w:tcPr>
            <w:tcW w:w="19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7D3F1858" w14:textId="537CC74D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28,965,694,998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640876B5" w14:textId="5137947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9,561,288,554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41BB315B" w14:textId="3378678D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6,115,297,176</w:t>
            </w:r>
          </w:p>
        </w:tc>
        <w:tc>
          <w:tcPr>
            <w:tcW w:w="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4649F938" w14:textId="7D61E268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20.94</w:t>
            </w:r>
          </w:p>
        </w:tc>
      </w:tr>
      <w:tr w:rsidR="489F841B" w:rsidTr="489F841B" w14:paraId="6F9F612D">
        <w:trPr>
          <w:trHeight w:val="615"/>
        </w:trPr>
        <w:tc>
          <w:tcPr>
            <w:tcW w:w="8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4EC7D4F" w14:textId="15B3491B">
            <w:pPr>
              <w:spacing w:before="0" w:beforeAutospacing="off" w:after="0" w:afterAutospacing="off"/>
              <w:jc w:val="right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28"/>
                <w:szCs w:val="28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28"/>
                <w:szCs w:val="28"/>
                <w:u w:val="none"/>
              </w:rPr>
              <w:t>2023</w:t>
            </w:r>
          </w:p>
        </w:tc>
        <w:tc>
          <w:tcPr>
            <w:tcW w:w="19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0A39790C" w14:textId="62ADCD48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32,037,995,164</w:t>
            </w:r>
          </w:p>
        </w:tc>
        <w:tc>
          <w:tcPr>
            <w:tcW w:w="19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4545758" w14:textId="7E68E54A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22,421,301,632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6D862CAE" w14:textId="467404DE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9,616,693,532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33714384" w14:textId="0E17E42F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8,559,160,491</w:t>
            </w:r>
          </w:p>
        </w:tc>
        <w:tc>
          <w:tcPr>
            <w:tcW w:w="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4E57D466" w14:textId="40073FAC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29.41</w:t>
            </w:r>
          </w:p>
        </w:tc>
      </w:tr>
      <w:tr w:rsidR="489F841B" w:rsidTr="489F841B" w14:paraId="24769E96">
        <w:trPr>
          <w:trHeight w:val="615"/>
        </w:trPr>
        <w:tc>
          <w:tcPr>
            <w:tcW w:w="8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0D239146" w14:textId="014047B2">
            <w:pPr>
              <w:spacing w:before="0" w:beforeAutospacing="off" w:after="0" w:afterAutospacing="off"/>
              <w:jc w:val="right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28"/>
                <w:szCs w:val="28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28"/>
                <w:szCs w:val="28"/>
                <w:u w:val="none"/>
              </w:rPr>
              <w:t>2022</w:t>
            </w:r>
          </w:p>
        </w:tc>
        <w:tc>
          <w:tcPr>
            <w:tcW w:w="19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28A19FC6" w14:textId="2F0B828E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20,644,764,716</w:t>
            </w:r>
          </w:p>
        </w:tc>
        <w:tc>
          <w:tcPr>
            <w:tcW w:w="19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51CB5524" w14:textId="401F1240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13,889,659,278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328654D5" w14:textId="59D09CC0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6,755,105,438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34D8EB7" w14:textId="201A8081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6,299,836,945</w:t>
            </w:r>
          </w:p>
        </w:tc>
        <w:tc>
          <w:tcPr>
            <w:tcW w:w="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89F841B" w:rsidP="489F841B" w:rsidRDefault="489F841B" w14:paraId="647177FB" w14:textId="4F09B685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22.44</w:t>
            </w:r>
          </w:p>
        </w:tc>
      </w:tr>
    </w:tbl>
    <w:p w:rsidR="489F841B" w:rsidP="489F841B" w:rsidRDefault="489F841B" w14:paraId="078A714F" w14:textId="1A5F199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F941FE4" w:rsidP="489F841B" w:rsidRDefault="0F941FE4" w14:paraId="07E2FA40" w14:textId="3B37EA1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89F841B" w:rsidR="0F941FE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Insights:</w:t>
      </w:r>
    </w:p>
    <w:p w:rsidR="0F941FE4" w:rsidP="489F841B" w:rsidRDefault="0F941FE4" w14:paraId="2733C9F2" w14:textId="66C5E5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Revenue shows steady growth over the three years, </w:t>
      </w: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indicating</w:t>
      </w: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89F841B" w:rsidR="363F0E5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 strong</w:t>
      </w: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market presence.</w:t>
      </w:r>
    </w:p>
    <w:p w:rsidR="0F941FE4" w:rsidP="489F841B" w:rsidRDefault="0F941FE4" w14:paraId="7520B9ED" w14:textId="23F072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Gross Profit is </w:t>
      </w: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relatively stable</w:t>
      </w: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, but small fluctuations show opportunities to improve cost efficiency.</w:t>
      </w:r>
    </w:p>
    <w:p w:rsidR="0F941FE4" w:rsidP="489F841B" w:rsidRDefault="0F941FE4" w14:paraId="4B8EA64A" w14:textId="09D4CC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Net Profit decreased in 2024 despite revenue growth → operational costs affected profitability.</w:t>
      </w:r>
    </w:p>
    <w:p w:rsidR="0F941FE4" w:rsidP="489F841B" w:rsidRDefault="0F941FE4" w14:paraId="0BB4B359" w14:textId="1E9149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EPS trend mirrors Net Profit trend, </w:t>
      </w: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indicating</w:t>
      </w: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shareholder returns are </w:t>
      </w: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impacted</w:t>
      </w:r>
      <w:r w:rsidRPr="489F841B" w:rsidR="0F941F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by profitability.</w:t>
      </w:r>
    </w:p>
    <w:p w:rsidR="489F841B" w:rsidP="489F841B" w:rsidRDefault="489F841B" w14:paraId="54BC6BDB" w14:textId="376A622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743837A0" w:rsidP="489F841B" w:rsidRDefault="743837A0" w14:paraId="2F546CB8" w14:textId="18DFED49">
      <w:pPr>
        <w:pStyle w:val="Normal"/>
        <w:spacing w:before="240" w:beforeAutospacing="off" w:after="240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</w:pPr>
      <w:r w:rsidRPr="489F841B" w:rsidR="743837A0"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>4. Ratio Analysis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058"/>
        <w:gridCol w:w="1449"/>
        <w:gridCol w:w="1449"/>
        <w:gridCol w:w="1449"/>
      </w:tblGrid>
      <w:tr w:rsidR="489F841B" w:rsidTr="489F841B" w14:paraId="63BA776E">
        <w:trPr>
          <w:trHeight w:val="600"/>
        </w:trPr>
        <w:tc>
          <w:tcPr>
            <w:tcW w:w="50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4D21E6A3" w14:textId="64CD4A2E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002060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002060"/>
                <w:sz w:val="32"/>
                <w:szCs w:val="32"/>
                <w:u w:val="none"/>
              </w:rPr>
              <w:t>Ratios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02984D3C" w14:textId="49D2A024">
            <w:pPr>
              <w:spacing w:before="0" w:beforeAutospacing="off" w:after="0" w:afterAutospacing="off"/>
              <w:jc w:val="right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002060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002060"/>
                <w:sz w:val="32"/>
                <w:szCs w:val="32"/>
                <w:u w:val="none"/>
              </w:rPr>
              <w:t>2024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4C25334C" w14:textId="546077B0">
            <w:pPr>
              <w:spacing w:before="0" w:beforeAutospacing="off" w:after="0" w:afterAutospacing="off"/>
              <w:jc w:val="right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002060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002060"/>
                <w:sz w:val="32"/>
                <w:szCs w:val="32"/>
                <w:u w:val="none"/>
              </w:rPr>
              <w:t>2023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7AE0C406" w14:textId="138B6C78">
            <w:pPr>
              <w:spacing w:before="0" w:beforeAutospacing="off" w:after="0" w:afterAutospacing="off"/>
              <w:jc w:val="right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002060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002060"/>
                <w:sz w:val="32"/>
                <w:szCs w:val="32"/>
                <w:u w:val="none"/>
              </w:rPr>
              <w:t>2022</w:t>
            </w:r>
          </w:p>
        </w:tc>
      </w:tr>
      <w:tr w:rsidR="489F841B" w:rsidTr="489F841B" w14:paraId="0C8D3D8F">
        <w:trPr>
          <w:trHeight w:val="555"/>
        </w:trPr>
        <w:tc>
          <w:tcPr>
            <w:tcW w:w="50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2F809CE" w14:textId="17F396CA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  <w:t>Gross Profit Ratio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44AF336" w14:textId="1112A238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25%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3C14E060" w14:textId="370953DE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30%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44883526" w14:textId="52C0C55B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33%</w:t>
            </w:r>
          </w:p>
        </w:tc>
      </w:tr>
      <w:tr w:rsidR="489F841B" w:rsidTr="489F841B" w14:paraId="0E542BC3">
        <w:trPr>
          <w:trHeight w:val="555"/>
        </w:trPr>
        <w:tc>
          <w:tcPr>
            <w:tcW w:w="50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2A9085DD" w14:textId="66EF43A9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  <w:t>Net Profit Ratio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5588349A" w14:textId="05C94214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16%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44C8AAA" w14:textId="316D9B79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27%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04F37309" w14:textId="1A4128B8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31%</w:t>
            </w:r>
          </w:p>
        </w:tc>
      </w:tr>
      <w:tr w:rsidR="489F841B" w:rsidTr="489F841B" w14:paraId="03BB8703">
        <w:trPr>
          <w:trHeight w:val="555"/>
        </w:trPr>
        <w:tc>
          <w:tcPr>
            <w:tcW w:w="50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28BBAC5E" w14:textId="2A284583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  <w:t>Return on Equity (ROE)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2B7E5D8D" w14:textId="4D82F221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19%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B136FBD" w14:textId="3862A4C1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31%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30830816" w14:textId="1070AA30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31%</w:t>
            </w:r>
          </w:p>
        </w:tc>
      </w:tr>
      <w:tr w:rsidR="489F841B" w:rsidTr="489F841B" w14:paraId="4CBAB183">
        <w:trPr>
          <w:trHeight w:val="555"/>
        </w:trPr>
        <w:tc>
          <w:tcPr>
            <w:tcW w:w="50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50B51168" w14:textId="4E6D5FAB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  <w:t>Return on Assets (ROA)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38B3B815" w14:textId="25CE7D90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14%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044352C2" w14:textId="5B6E6B9D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22%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BC12D6F" w14:textId="34297F57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23%</w:t>
            </w:r>
          </w:p>
        </w:tc>
      </w:tr>
      <w:tr w:rsidR="489F841B" w:rsidTr="489F841B" w14:paraId="6DB32845">
        <w:trPr>
          <w:trHeight w:val="555"/>
        </w:trPr>
        <w:tc>
          <w:tcPr>
            <w:tcW w:w="50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003BCA3E" w14:textId="326BB367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  <w:t>Debt to Equity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27F9F0EC" w14:textId="50072A67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0.04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7428975E" w14:textId="0C869DA1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0.08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64FEA9EA" w14:textId="4D344E32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0.15</w:t>
            </w:r>
          </w:p>
        </w:tc>
      </w:tr>
      <w:tr w:rsidR="489F841B" w:rsidTr="489F841B" w14:paraId="743738AA">
        <w:trPr>
          <w:trHeight w:val="555"/>
        </w:trPr>
        <w:tc>
          <w:tcPr>
            <w:tcW w:w="50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0850B2F6" w14:textId="172E0290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  <w:t>Current Ratios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8748A5F" w14:textId="59BBC49F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2.99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7BF0DC04" w14:textId="297C33E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2.87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56F910BC" w14:textId="4B627EEF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2.64</w:t>
            </w:r>
          </w:p>
        </w:tc>
      </w:tr>
      <w:tr w:rsidR="489F841B" w:rsidTr="489F841B" w14:paraId="5A2D5F87">
        <w:trPr>
          <w:trHeight w:val="555"/>
        </w:trPr>
        <w:tc>
          <w:tcPr>
            <w:tcW w:w="50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60591548" w14:textId="0C5A06F9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strike w:val="0"/>
                <w:dstrike w:val="0"/>
                <w:color w:val="385623"/>
                <w:sz w:val="32"/>
                <w:szCs w:val="32"/>
                <w:u w:val="none"/>
              </w:rPr>
              <w:t>Quick Ratios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77B013E" w14:textId="1747834C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2.48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7CB9C8B8" w14:textId="2ABAB9A9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2.35</w:t>
            </w:r>
          </w:p>
        </w:tc>
        <w:tc>
          <w:tcPr>
            <w:tcW w:w="1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9F841B" w:rsidP="489F841B" w:rsidRDefault="489F841B" w14:paraId="159116D6" w14:textId="4F34585C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89F841B" w:rsidR="489F84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2.29</w:t>
            </w:r>
          </w:p>
        </w:tc>
      </w:tr>
    </w:tbl>
    <w:p w:rsidR="489F841B" w:rsidP="489F841B" w:rsidRDefault="489F841B" w14:paraId="1C2D1813" w14:textId="620933D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6D61C595" w:rsidP="489F841B" w:rsidRDefault="6D61C595" w14:paraId="27555F97" w14:textId="5EAA5D9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89F841B" w:rsidR="6D61C59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Interpretation:</w:t>
      </w:r>
    </w:p>
    <w:p w:rsidR="6D61C595" w:rsidP="489F841B" w:rsidRDefault="6D61C595" w14:paraId="0C187116" w14:textId="3C9C13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6D61C59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Profitability ratios are declining despite growing revenue, highlighting rising costs or inefficiencies.</w:t>
      </w:r>
    </w:p>
    <w:p w:rsidR="6D61C595" w:rsidP="489F841B" w:rsidRDefault="6D61C595" w14:paraId="61D8DFA9" w14:textId="3AAF81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6D61C59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ROA &amp; ROE show that the company’s resources and shareholder investments are not generating returns as efficiently </w:t>
      </w:r>
      <w:r w:rsidRPr="489F841B" w:rsidR="4BF3016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as in</w:t>
      </w:r>
      <w:r w:rsidRPr="489F841B" w:rsidR="6D61C59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previous years.</w:t>
      </w:r>
    </w:p>
    <w:p w:rsidR="489F841B" w:rsidP="489F841B" w:rsidRDefault="489F841B" w14:paraId="7444D2C5" w14:textId="7345696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6D61C595" w:rsidP="489F841B" w:rsidRDefault="6D61C595" w14:paraId="79336D2E" w14:textId="1C981656">
      <w:pPr>
        <w:pStyle w:val="Heading2"/>
        <w:spacing w:before="299" w:beforeAutospacing="off" w:after="299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</w:pPr>
      <w:r w:rsidRPr="489F841B" w:rsidR="6D61C595"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 xml:space="preserve">5. Comparison with </w:t>
      </w:r>
      <w:r w:rsidRPr="489F841B" w:rsidR="6D61C595"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>NetSol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40"/>
        <w:gridCol w:w="1785"/>
        <w:gridCol w:w="1980"/>
        <w:gridCol w:w="1755"/>
      </w:tblGrid>
      <w:tr w:rsidR="489F841B" w:rsidTr="489F841B" w14:paraId="6C92DDB7">
        <w:trPr>
          <w:trHeight w:val="300"/>
        </w:trPr>
        <w:tc>
          <w:tcPr>
            <w:tcW w:w="1140" w:type="dxa"/>
            <w:tcMar/>
          </w:tcPr>
          <w:p w:rsidR="489F841B" w:rsidP="489F841B" w:rsidRDefault="489F841B" w14:paraId="549FD747" w14:textId="5C257BC4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  <w:t>Year</w:t>
            </w:r>
          </w:p>
        </w:tc>
        <w:tc>
          <w:tcPr>
            <w:tcW w:w="1785" w:type="dxa"/>
            <w:tcMar/>
          </w:tcPr>
          <w:p w:rsidR="489F841B" w:rsidP="489F841B" w:rsidRDefault="489F841B" w14:paraId="6B6F98D9" w14:textId="403ADB36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  <w:t>Company</w:t>
            </w:r>
          </w:p>
        </w:tc>
        <w:tc>
          <w:tcPr>
            <w:tcW w:w="1980" w:type="dxa"/>
            <w:tcMar/>
          </w:tcPr>
          <w:p w:rsidR="489F841B" w:rsidP="489F841B" w:rsidRDefault="489F841B" w14:paraId="6C01799A" w14:textId="39D3FE0E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  <w:t>Gross Profit Ratio</w:t>
            </w:r>
          </w:p>
        </w:tc>
        <w:tc>
          <w:tcPr>
            <w:tcW w:w="1755" w:type="dxa"/>
            <w:tcMar/>
          </w:tcPr>
          <w:p w:rsidR="489F841B" w:rsidP="489F841B" w:rsidRDefault="489F841B" w14:paraId="1C91B64B" w14:textId="0F17BE4B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  <w:t>Net Profit</w:t>
            </w:r>
          </w:p>
          <w:p w:rsidR="489F841B" w:rsidP="489F841B" w:rsidRDefault="489F841B" w14:paraId="471D8AEF" w14:textId="36E40C6F">
            <w:pPr>
              <w:spacing w:before="0" w:beforeAutospacing="off" w:after="0" w:afterAutospacing="off"/>
              <w:jc w:val="center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002060"/>
                <w:sz w:val="32"/>
                <w:szCs w:val="32"/>
              </w:rPr>
              <w:t>Ratio</w:t>
            </w:r>
          </w:p>
        </w:tc>
      </w:tr>
      <w:tr w:rsidR="489F841B" w:rsidTr="489F841B" w14:paraId="667A0F9D">
        <w:trPr>
          <w:trHeight w:val="300"/>
        </w:trPr>
        <w:tc>
          <w:tcPr>
            <w:tcW w:w="1140" w:type="dxa"/>
            <w:tcMar/>
          </w:tcPr>
          <w:p w:rsidR="489F841B" w:rsidP="489F841B" w:rsidRDefault="489F841B" w14:paraId="20C99008" w14:textId="103FB17F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275317" w:themeColor="accent6" w:themeTint="FF" w:themeShade="80"/>
                <w:sz w:val="32"/>
                <w:szCs w:val="32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275317" w:themeColor="accent6" w:themeTint="FF" w:themeShade="80"/>
                <w:sz w:val="32"/>
                <w:szCs w:val="32"/>
              </w:rPr>
              <w:t>2022</w:t>
            </w:r>
          </w:p>
        </w:tc>
        <w:tc>
          <w:tcPr>
            <w:tcW w:w="1785" w:type="dxa"/>
            <w:tcMar/>
          </w:tcPr>
          <w:p w:rsidR="489F841B" w:rsidP="489F841B" w:rsidRDefault="489F841B" w14:paraId="7CA8080B" w14:textId="548375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System Limited</w:t>
            </w:r>
          </w:p>
          <w:p w:rsidR="489F841B" w:rsidP="489F841B" w:rsidRDefault="489F841B" w14:paraId="7E9D8530" w14:textId="580141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tcW w:w="1980" w:type="dxa"/>
            <w:tcMar/>
          </w:tcPr>
          <w:p w:rsidR="489F841B" w:rsidP="489F841B" w:rsidRDefault="489F841B" w14:paraId="28641AB9" w14:textId="793090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33%</w:t>
            </w:r>
          </w:p>
        </w:tc>
        <w:tc>
          <w:tcPr>
            <w:tcW w:w="1755" w:type="dxa"/>
            <w:tcMar/>
          </w:tcPr>
          <w:p w:rsidR="489F841B" w:rsidP="489F841B" w:rsidRDefault="489F841B" w14:paraId="75DFDCB2" w14:textId="41B0D8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31%</w:t>
            </w:r>
          </w:p>
        </w:tc>
      </w:tr>
      <w:tr w:rsidR="489F841B" w:rsidTr="489F841B" w14:paraId="57F777BA">
        <w:trPr>
          <w:trHeight w:val="300"/>
        </w:trPr>
        <w:tc>
          <w:tcPr>
            <w:tcW w:w="1140" w:type="dxa"/>
            <w:tcMar/>
          </w:tcPr>
          <w:p w:rsidR="489F841B" w:rsidP="489F841B" w:rsidRDefault="489F841B" w14:paraId="6E1EE749" w14:textId="4384A312">
            <w:pPr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275317" w:themeColor="accent6" w:themeTint="FF" w:themeShade="80"/>
                <w:sz w:val="32"/>
                <w:szCs w:val="32"/>
              </w:rPr>
            </w:pPr>
          </w:p>
        </w:tc>
        <w:tc>
          <w:tcPr>
            <w:tcW w:w="1785" w:type="dxa"/>
            <w:tcMar/>
          </w:tcPr>
          <w:p w:rsidR="489F841B" w:rsidP="489F841B" w:rsidRDefault="489F841B" w14:paraId="7CA5091F" w14:textId="7AB1E73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Netsol</w:t>
            </w:r>
          </w:p>
          <w:p w:rsidR="489F841B" w:rsidP="489F841B" w:rsidRDefault="489F841B" w14:paraId="0CCA9B41" w14:textId="1D707B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tcW w:w="1980" w:type="dxa"/>
            <w:tcMar/>
          </w:tcPr>
          <w:p w:rsidR="756D1835" w:rsidP="489F841B" w:rsidRDefault="756D1835" w14:paraId="53943B7C" w14:textId="744B8F7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756D1835">
              <w:rPr>
                <w:rFonts w:ascii="Times New Roman" w:hAnsi="Times New Roman" w:eastAsia="Times New Roman" w:cs="Times New Roman"/>
                <w:sz w:val="32"/>
                <w:szCs w:val="32"/>
              </w:rPr>
              <w:t>34%</w:t>
            </w:r>
          </w:p>
        </w:tc>
        <w:tc>
          <w:tcPr>
            <w:tcW w:w="1755" w:type="dxa"/>
            <w:tcMar/>
          </w:tcPr>
          <w:p w:rsidR="756D1835" w:rsidP="489F841B" w:rsidRDefault="756D1835" w14:paraId="7894C083" w14:textId="1FE59DE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756D1835">
              <w:rPr>
                <w:rFonts w:ascii="Times New Roman" w:hAnsi="Times New Roman" w:eastAsia="Times New Roman" w:cs="Times New Roman"/>
                <w:sz w:val="32"/>
                <w:szCs w:val="32"/>
              </w:rPr>
              <w:t>15%</w:t>
            </w:r>
          </w:p>
        </w:tc>
      </w:tr>
      <w:tr w:rsidR="489F841B" w:rsidTr="489F841B" w14:paraId="28710834">
        <w:trPr>
          <w:trHeight w:val="300"/>
        </w:trPr>
        <w:tc>
          <w:tcPr>
            <w:tcW w:w="1140" w:type="dxa"/>
            <w:tcMar/>
          </w:tcPr>
          <w:p w:rsidR="489F841B" w:rsidP="489F841B" w:rsidRDefault="489F841B" w14:paraId="7027F970" w14:textId="73D526FC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275317" w:themeColor="accent6" w:themeTint="FF" w:themeShade="80"/>
                <w:sz w:val="32"/>
                <w:szCs w:val="32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275317" w:themeColor="accent6" w:themeTint="FF" w:themeShade="80"/>
                <w:sz w:val="32"/>
                <w:szCs w:val="32"/>
              </w:rPr>
              <w:t>2023</w:t>
            </w:r>
          </w:p>
        </w:tc>
        <w:tc>
          <w:tcPr>
            <w:tcW w:w="1785" w:type="dxa"/>
            <w:tcMar/>
          </w:tcPr>
          <w:p w:rsidR="489F841B" w:rsidP="489F841B" w:rsidRDefault="489F841B" w14:paraId="197235B9" w14:textId="46D0567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System Limited</w:t>
            </w:r>
          </w:p>
          <w:p w:rsidR="489F841B" w:rsidP="489F841B" w:rsidRDefault="489F841B" w14:paraId="00E8AECC" w14:textId="61EB98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tcW w:w="1980" w:type="dxa"/>
            <w:tcMar/>
          </w:tcPr>
          <w:p w:rsidR="489F841B" w:rsidP="489F841B" w:rsidRDefault="489F841B" w14:paraId="174B0F3C" w14:textId="4A5288A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30%</w:t>
            </w:r>
          </w:p>
        </w:tc>
        <w:tc>
          <w:tcPr>
            <w:tcW w:w="1755" w:type="dxa"/>
            <w:tcMar/>
          </w:tcPr>
          <w:p w:rsidR="489F841B" w:rsidP="489F841B" w:rsidRDefault="489F841B" w14:paraId="0CF74F68" w14:textId="437C5D9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27%</w:t>
            </w:r>
          </w:p>
        </w:tc>
      </w:tr>
      <w:tr w:rsidR="489F841B" w:rsidTr="489F841B" w14:paraId="2398C4C2">
        <w:trPr>
          <w:trHeight w:val="300"/>
        </w:trPr>
        <w:tc>
          <w:tcPr>
            <w:tcW w:w="1140" w:type="dxa"/>
            <w:tcMar/>
          </w:tcPr>
          <w:p w:rsidR="489F841B" w:rsidP="489F841B" w:rsidRDefault="489F841B" w14:paraId="2CDE884B" w14:textId="12051B57">
            <w:pPr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275317" w:themeColor="accent6" w:themeTint="FF" w:themeShade="80"/>
                <w:sz w:val="32"/>
                <w:szCs w:val="32"/>
              </w:rPr>
            </w:pPr>
          </w:p>
        </w:tc>
        <w:tc>
          <w:tcPr>
            <w:tcW w:w="1785" w:type="dxa"/>
            <w:tcMar/>
          </w:tcPr>
          <w:p w:rsidR="489F841B" w:rsidP="489F841B" w:rsidRDefault="489F841B" w14:paraId="75BFC14C" w14:textId="4B3BF40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Netsol</w:t>
            </w:r>
          </w:p>
          <w:p w:rsidR="489F841B" w:rsidP="489F841B" w:rsidRDefault="489F841B" w14:paraId="28D0F9B6" w14:textId="31BE8C0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tcW w:w="1980" w:type="dxa"/>
            <w:tcMar/>
          </w:tcPr>
          <w:p w:rsidR="40941969" w:rsidP="489F841B" w:rsidRDefault="40941969" w14:paraId="55BBB2F8" w14:textId="4D7AF3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0941969">
              <w:rPr>
                <w:rFonts w:ascii="Times New Roman" w:hAnsi="Times New Roman" w:eastAsia="Times New Roman" w:cs="Times New Roman"/>
                <w:sz w:val="32"/>
                <w:szCs w:val="32"/>
              </w:rPr>
              <w:t>30%</w:t>
            </w:r>
          </w:p>
        </w:tc>
        <w:tc>
          <w:tcPr>
            <w:tcW w:w="1755" w:type="dxa"/>
            <w:tcMar/>
          </w:tcPr>
          <w:p w:rsidR="40941969" w:rsidP="489F841B" w:rsidRDefault="40941969" w14:paraId="59372951" w14:textId="37EF63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0941969">
              <w:rPr>
                <w:rFonts w:ascii="Times New Roman" w:hAnsi="Times New Roman" w:eastAsia="Times New Roman" w:cs="Times New Roman"/>
                <w:sz w:val="32"/>
                <w:szCs w:val="32"/>
              </w:rPr>
              <w:t>17%</w:t>
            </w:r>
          </w:p>
        </w:tc>
      </w:tr>
      <w:tr w:rsidR="489F841B" w:rsidTr="489F841B" w14:paraId="03E4CDB2">
        <w:trPr>
          <w:trHeight w:val="300"/>
        </w:trPr>
        <w:tc>
          <w:tcPr>
            <w:tcW w:w="1140" w:type="dxa"/>
            <w:tcMar/>
          </w:tcPr>
          <w:p w:rsidR="489F841B" w:rsidP="489F841B" w:rsidRDefault="489F841B" w14:paraId="34443C1B" w14:textId="04DEAC1B">
            <w:pPr>
              <w:spacing w:before="0" w:beforeAutospacing="off" w:after="0" w:afterAutospacing="off"/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275317" w:themeColor="accent6" w:themeTint="FF" w:themeShade="80"/>
                <w:sz w:val="32"/>
                <w:szCs w:val="32"/>
              </w:rPr>
            </w:pPr>
            <w:r w:rsidRPr="489F841B" w:rsidR="489F841B"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275317" w:themeColor="accent6" w:themeTint="FF" w:themeShade="80"/>
                <w:sz w:val="32"/>
                <w:szCs w:val="32"/>
              </w:rPr>
              <w:t>2024</w:t>
            </w:r>
          </w:p>
        </w:tc>
        <w:tc>
          <w:tcPr>
            <w:tcW w:w="1785" w:type="dxa"/>
            <w:tcMar/>
          </w:tcPr>
          <w:p w:rsidR="489F841B" w:rsidP="489F841B" w:rsidRDefault="489F841B" w14:paraId="1F3A9CFD" w14:textId="77A1429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System Limited</w:t>
            </w:r>
          </w:p>
          <w:p w:rsidR="489F841B" w:rsidP="489F841B" w:rsidRDefault="489F841B" w14:paraId="5DD61441" w14:textId="25A4124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tcW w:w="1980" w:type="dxa"/>
            <w:tcMar/>
          </w:tcPr>
          <w:p w:rsidR="489F841B" w:rsidP="489F841B" w:rsidRDefault="489F841B" w14:paraId="3A5BF6E7" w14:textId="1B38AF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25%</w:t>
            </w:r>
          </w:p>
        </w:tc>
        <w:tc>
          <w:tcPr>
            <w:tcW w:w="1755" w:type="dxa"/>
            <w:tcMar/>
          </w:tcPr>
          <w:p w:rsidR="489F841B" w:rsidP="489F841B" w:rsidRDefault="489F841B" w14:paraId="5DF3C748" w14:textId="2D9693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16%</w:t>
            </w:r>
          </w:p>
        </w:tc>
      </w:tr>
      <w:tr w:rsidR="489F841B" w:rsidTr="489F841B" w14:paraId="211DA203">
        <w:trPr>
          <w:trHeight w:val="300"/>
        </w:trPr>
        <w:tc>
          <w:tcPr>
            <w:tcW w:w="1140" w:type="dxa"/>
            <w:tcMar/>
          </w:tcPr>
          <w:p w:rsidR="489F841B" w:rsidP="489F841B" w:rsidRDefault="489F841B" w14:paraId="68BB2A20" w14:textId="7B9164FB">
            <w:pPr>
              <w:rPr>
                <w:rFonts w:ascii="Britannic Bold" w:hAnsi="Britannic Bold" w:eastAsia="Britannic Bold" w:cs="Britannic Bold"/>
                <w:b w:val="1"/>
                <w:bCs w:val="1"/>
                <w:i w:val="0"/>
                <w:iCs w:val="0"/>
                <w:color w:val="275317" w:themeColor="accent6" w:themeTint="FF" w:themeShade="80"/>
                <w:sz w:val="32"/>
                <w:szCs w:val="32"/>
              </w:rPr>
            </w:pPr>
          </w:p>
        </w:tc>
        <w:tc>
          <w:tcPr>
            <w:tcW w:w="1785" w:type="dxa"/>
            <w:tcMar/>
          </w:tcPr>
          <w:p w:rsidR="489F841B" w:rsidP="489F841B" w:rsidRDefault="489F841B" w14:paraId="6F41A462" w14:textId="767BC0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489F841B">
              <w:rPr>
                <w:rFonts w:ascii="Times New Roman" w:hAnsi="Times New Roman" w:eastAsia="Times New Roman" w:cs="Times New Roman"/>
                <w:sz w:val="32"/>
                <w:szCs w:val="32"/>
              </w:rPr>
              <w:t>Netsol</w:t>
            </w:r>
          </w:p>
        </w:tc>
        <w:tc>
          <w:tcPr>
            <w:tcW w:w="1980" w:type="dxa"/>
            <w:tcMar/>
          </w:tcPr>
          <w:p w:rsidR="3BB109A0" w:rsidP="489F841B" w:rsidRDefault="3BB109A0" w14:paraId="1AD1B8EB" w14:textId="67C639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3BB109A0">
              <w:rPr>
                <w:rFonts w:ascii="Times New Roman" w:hAnsi="Times New Roman" w:eastAsia="Times New Roman" w:cs="Times New Roman"/>
                <w:sz w:val="32"/>
                <w:szCs w:val="32"/>
              </w:rPr>
              <w:t>45%</w:t>
            </w:r>
          </w:p>
        </w:tc>
        <w:tc>
          <w:tcPr>
            <w:tcW w:w="1755" w:type="dxa"/>
            <w:tcMar/>
          </w:tcPr>
          <w:p w:rsidR="3BB109A0" w:rsidP="489F841B" w:rsidRDefault="3BB109A0" w14:paraId="77207DC6" w14:textId="18BFA8C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89F841B" w:rsidR="3BB109A0">
              <w:rPr>
                <w:rFonts w:ascii="Times New Roman" w:hAnsi="Times New Roman" w:eastAsia="Times New Roman" w:cs="Times New Roman"/>
                <w:sz w:val="32"/>
                <w:szCs w:val="32"/>
              </w:rPr>
              <w:t>15%</w:t>
            </w:r>
          </w:p>
        </w:tc>
      </w:tr>
    </w:tbl>
    <w:p w:rsidR="54C158F7" w:rsidP="489F841B" w:rsidRDefault="54C158F7" w14:paraId="4E690F85" w14:textId="681EF4E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489F841B" w:rsidR="54C158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Insights – Comparison with </w:t>
      </w:r>
      <w:r w:rsidRPr="489F841B" w:rsidR="54C158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Netsol</w:t>
      </w:r>
    </w:p>
    <w:p w:rsidR="54C158F7" w:rsidP="489F841B" w:rsidRDefault="54C158F7" w14:paraId="380BF15A" w14:textId="771E78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54C158F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Gross Profit Ratio: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Netsol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has a higher gross profit ratio than System Limited, which 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indicates that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Netsol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more efficient in managing its production or service costs.</w:t>
      </w:r>
    </w:p>
    <w:p w:rsidR="54C158F7" w:rsidP="489F841B" w:rsidRDefault="54C158F7" w14:paraId="587DD779" w14:textId="07E795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54C158F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Net Profit Ratio: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Both companies have similar net profit ratios → despite higher gross efficiency, System Limited’s overall profitability after expenses is comparable to 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Netsol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w:rsidR="54C158F7" w:rsidP="489F841B" w:rsidRDefault="54C158F7" w14:paraId="08170167" w14:textId="7BA829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54C158F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Trend: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System Limited’s gross profit ratio 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has declined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from 33% (2022) to 25% (2024), while 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Netsol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maintains higher efficiency.</w:t>
      </w:r>
    </w:p>
    <w:p w:rsidR="54C158F7" w:rsidP="489F841B" w:rsidRDefault="54C158F7" w14:paraId="3A6F5852" w14:textId="4B2935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54C158F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Overall:</w:t>
      </w:r>
      <w:r w:rsidRPr="489F841B" w:rsidR="54C158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Revenue growth is strong, but improving gross efficiency could boost overall profit and competitiveness.</w:t>
      </w:r>
    </w:p>
    <w:p w:rsidR="489F841B" w:rsidP="489F841B" w:rsidRDefault="489F841B" w14:paraId="398A652E" w14:textId="44B248D5">
      <w:pPr>
        <w:pStyle w:val="Normal"/>
        <w:spacing w:before="240" w:beforeAutospacing="off" w:after="240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</w:pPr>
    </w:p>
    <w:p w:rsidR="489F841B" w:rsidP="489F841B" w:rsidRDefault="489F841B" w14:paraId="2A228461" w14:textId="52AC9EFD">
      <w:pPr>
        <w:pStyle w:val="Normal"/>
        <w:spacing w:before="240" w:beforeAutospacing="off" w:after="240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</w:pPr>
    </w:p>
    <w:p w:rsidR="33FCA61E" w:rsidP="489F841B" w:rsidRDefault="33FCA61E" w14:paraId="451D5A22" w14:textId="579AE140">
      <w:pPr>
        <w:pStyle w:val="Normal"/>
        <w:spacing w:before="240" w:beforeAutospacing="off" w:after="240" w:afterAutospacing="off"/>
        <w:ind w:left="0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275317" w:themeColor="accent6" w:themeTint="FF" w:themeShade="80"/>
          <w:sz w:val="40"/>
          <w:szCs w:val="40"/>
          <w:lang w:val="en-US"/>
        </w:rPr>
      </w:pPr>
      <w:r w:rsidRPr="489F841B" w:rsidR="33FCA61E"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275317" w:themeColor="accent6" w:themeTint="FF" w:themeShade="80"/>
          <w:sz w:val="40"/>
          <w:szCs w:val="40"/>
          <w:lang w:val="en-US"/>
        </w:rPr>
        <w:t>Managerial Recommendations for System Limited</w:t>
      </w:r>
    </w:p>
    <w:p w:rsidR="489F841B" w:rsidP="489F841B" w:rsidRDefault="489F841B" w14:paraId="35D2B064" w14:textId="23D4BB20">
      <w:pPr>
        <w:pStyle w:val="Normal"/>
        <w:spacing w:before="240" w:beforeAutospacing="off" w:after="240" w:afterAutospacing="off"/>
        <w:ind w:left="0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275317" w:themeColor="accent6" w:themeTint="FF" w:themeShade="80"/>
          <w:sz w:val="40"/>
          <w:szCs w:val="40"/>
          <w:lang w:val="en-US"/>
        </w:rPr>
      </w:pPr>
    </w:p>
    <w:p w:rsidR="33FCA61E" w:rsidP="489F841B" w:rsidRDefault="33FCA61E" w14:paraId="196CA9D3" w14:textId="47FD50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Improve Cost Efficiency:</w:t>
      </w:r>
    </w:p>
    <w:p w:rsidR="33FCA61E" w:rsidP="489F841B" w:rsidRDefault="33FCA61E" w14:paraId="3F19253D" w14:textId="1800C4F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Focus on reducing production and operational costs to improve gross profit ratio.</w:t>
      </w:r>
    </w:p>
    <w:p w:rsidR="33FCA61E" w:rsidP="489F841B" w:rsidRDefault="33FCA61E" w14:paraId="159DE856" w14:textId="7DAD632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Review vendor contracts, </w:t>
      </w: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optimize</w:t>
      </w: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supply </w:t>
      </w: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chain</w:t>
      </w: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, and implement cost control measures.</w:t>
      </w:r>
    </w:p>
    <w:p w:rsidR="489F841B" w:rsidP="489F841B" w:rsidRDefault="489F841B" w14:paraId="3CCC5A3F" w14:textId="0841DB0A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3FCA61E" w:rsidP="489F841B" w:rsidRDefault="33FCA61E" w14:paraId="48B5AEDC" w14:textId="4AEEC2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Enhance Operational Processes:</w:t>
      </w:r>
    </w:p>
    <w:p w:rsidR="33FCA61E" w:rsidP="489F841B" w:rsidRDefault="33FCA61E" w14:paraId="0593BC47" w14:textId="641B4F3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Streamline workflows and adopt automation where possible to reduce unnecessary expenses.</w:t>
      </w:r>
    </w:p>
    <w:p w:rsidR="33FCA61E" w:rsidP="489F841B" w:rsidRDefault="33FCA61E" w14:paraId="4BB85F6B" w14:textId="1544459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Monitor project costs carefully and ensure efficient resource allocation.</w:t>
      </w:r>
    </w:p>
    <w:p w:rsidR="489F841B" w:rsidP="489F841B" w:rsidRDefault="489F841B" w14:paraId="018FC9F9" w14:textId="267D3A6F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3FCA61E" w:rsidP="489F841B" w:rsidRDefault="33FCA61E" w14:paraId="0A6FFF8A" w14:textId="5783D2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Profitability Management:</w:t>
      </w:r>
    </w:p>
    <w:p w:rsidR="33FCA61E" w:rsidP="489F841B" w:rsidRDefault="33FCA61E" w14:paraId="2FA426AF" w14:textId="07004DD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Maintain a balance between revenue growth and cost management to improve net profit ratio.</w:t>
      </w:r>
    </w:p>
    <w:p w:rsidR="33FCA61E" w:rsidP="489F841B" w:rsidRDefault="33FCA61E" w14:paraId="01B9B22F" w14:textId="6340F88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Identify</w:t>
      </w: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areas of high spending that do not contribute directly to profitability and reduce them.</w:t>
      </w:r>
    </w:p>
    <w:p w:rsidR="489F841B" w:rsidP="489F841B" w:rsidRDefault="489F841B" w14:paraId="03CD71DE" w14:textId="4A303CB6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3FCA61E" w:rsidP="489F841B" w:rsidRDefault="33FCA61E" w14:paraId="5DA6808F" w14:textId="1CDBBA9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Strategic Growth Investments:</w:t>
      </w:r>
    </w:p>
    <w:p w:rsidR="33FCA61E" w:rsidP="489F841B" w:rsidRDefault="33FCA61E" w14:paraId="399D8473" w14:textId="046F246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Invest in high-return projects, technology upgrades, or training programs that can increase efficiency and profitability.</w:t>
      </w:r>
    </w:p>
    <w:p w:rsidR="33FCA61E" w:rsidP="489F841B" w:rsidRDefault="33FCA61E" w14:paraId="53AB83BB" w14:textId="55F4377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Consider using moderate borrowing to fund growth projects, taking advantage of the company’s </w:t>
      </w:r>
      <w:r w:rsidRPr="489F841B" w:rsidR="33FCA61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low debt levels</w:t>
      </w: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, while still </w:t>
      </w: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maintaining</w:t>
      </w: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financial stability.</w:t>
      </w:r>
    </w:p>
    <w:p w:rsidR="489F841B" w:rsidP="489F841B" w:rsidRDefault="489F841B" w14:paraId="6F4499C3" w14:textId="2688D57D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3FCA61E" w:rsidP="489F841B" w:rsidRDefault="33FCA61E" w14:paraId="2448D56C" w14:textId="3CAD64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Focus on Long-Term Sustainability:</w:t>
      </w:r>
    </w:p>
    <w:p w:rsidR="33FCA61E" w:rsidP="489F841B" w:rsidRDefault="33FCA61E" w14:paraId="2C24FC80" w14:textId="1915513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While increasing revenue is important, prioritize sustainable profit margins.</w:t>
      </w:r>
    </w:p>
    <w:p w:rsidR="33FCA61E" w:rsidP="489F841B" w:rsidRDefault="33FCA61E" w14:paraId="76C5F1FA" w14:textId="013432D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33FCA61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Develop a strategic plan that balances growth, efficiency, and shareholder returns.</w:t>
      </w:r>
    </w:p>
    <w:p w:rsidR="489F841B" w:rsidP="489F841B" w:rsidRDefault="489F841B" w14:paraId="4006A1C4" w14:textId="51215FB1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w:rsidR="489F841B" w:rsidP="489F841B" w:rsidRDefault="489F841B" w14:paraId="0039E699" w14:textId="40F3D4B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7FAE9A75" w:rsidP="489F841B" w:rsidRDefault="7FAE9A75" w14:paraId="296529BD" w14:textId="5B23C308">
      <w:pPr>
        <w:pStyle w:val="Heading2"/>
        <w:spacing w:before="299" w:beforeAutospacing="off" w:after="299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275317" w:themeColor="accent6" w:themeTint="FF" w:themeShade="80"/>
          <w:sz w:val="40"/>
          <w:szCs w:val="40"/>
          <w:lang w:val="en-US"/>
        </w:rPr>
      </w:pPr>
      <w:r w:rsidRPr="489F841B" w:rsidR="7FAE9A75"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275317" w:themeColor="accent6" w:themeTint="FF" w:themeShade="80"/>
          <w:sz w:val="40"/>
          <w:szCs w:val="40"/>
          <w:lang w:val="en-US"/>
        </w:rPr>
        <w:t>7. Conclusion</w:t>
      </w:r>
    </w:p>
    <w:p w:rsidR="7FAE9A75" w:rsidP="489F841B" w:rsidRDefault="7FAE9A75" w14:paraId="376C708E" w14:textId="6C011B8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89F841B" w:rsidR="7FAE9A7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System Limited shows </w:t>
      </w:r>
      <w:r w:rsidRPr="489F841B" w:rsidR="7FAE9A7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strong revenue growth and market presence</w:t>
      </w:r>
      <w:r w:rsidRPr="489F841B" w:rsidR="7FAE9A7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, but declining profitability and efficiency highlight areas for improvement. By implementing the recommended strategies, the company can strengthen profitability, better </w:t>
      </w:r>
      <w:r w:rsidRPr="489F841B" w:rsidR="7FAE9A7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utilize</w:t>
      </w:r>
      <w:r w:rsidRPr="489F841B" w:rsidR="7FAE9A7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resources, and enhance its competitive position against industry peers.</w:t>
      </w:r>
    </w:p>
    <w:p w:rsidR="489F841B" w:rsidP="489F841B" w:rsidRDefault="489F841B" w14:paraId="1A4253AC" w14:textId="38236A2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489F841B" w:rsidP="489F841B" w:rsidRDefault="489F841B" w14:paraId="377C95FA" w14:textId="361933EF">
      <w:pPr>
        <w:pStyle w:val="Normal"/>
        <w:spacing w:before="240" w:beforeAutospacing="off" w:after="240" w:afterAutospacing="off"/>
        <w:rPr>
          <w:rFonts w:ascii="Britannic Bold" w:hAnsi="Britannic Bold" w:eastAsia="Britannic Bold" w:cs="Britannic Bold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6705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67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439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c70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77a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176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85E19F"/>
    <w:rsid w:val="04141E05"/>
    <w:rsid w:val="074F499B"/>
    <w:rsid w:val="074F499B"/>
    <w:rsid w:val="084F9347"/>
    <w:rsid w:val="08F9BC26"/>
    <w:rsid w:val="0F941FE4"/>
    <w:rsid w:val="11DAE84D"/>
    <w:rsid w:val="14041DBD"/>
    <w:rsid w:val="165ED375"/>
    <w:rsid w:val="165ED375"/>
    <w:rsid w:val="19B71B1C"/>
    <w:rsid w:val="1CF6C1B2"/>
    <w:rsid w:val="1F9344AA"/>
    <w:rsid w:val="1FB416B7"/>
    <w:rsid w:val="2038BD7F"/>
    <w:rsid w:val="207E700A"/>
    <w:rsid w:val="207E700A"/>
    <w:rsid w:val="24A421B5"/>
    <w:rsid w:val="2625A300"/>
    <w:rsid w:val="2625A300"/>
    <w:rsid w:val="29D8470C"/>
    <w:rsid w:val="29D8470C"/>
    <w:rsid w:val="2A6A45FA"/>
    <w:rsid w:val="2C0649A4"/>
    <w:rsid w:val="2D67EEDE"/>
    <w:rsid w:val="2D67EEDE"/>
    <w:rsid w:val="2F7B6BED"/>
    <w:rsid w:val="309E09F0"/>
    <w:rsid w:val="309E09F0"/>
    <w:rsid w:val="30B8679B"/>
    <w:rsid w:val="31E0137C"/>
    <w:rsid w:val="32940E9D"/>
    <w:rsid w:val="32E3F232"/>
    <w:rsid w:val="33FCA61E"/>
    <w:rsid w:val="345B4D7B"/>
    <w:rsid w:val="35E80979"/>
    <w:rsid w:val="363F0E52"/>
    <w:rsid w:val="38025895"/>
    <w:rsid w:val="3B33D323"/>
    <w:rsid w:val="3B33D323"/>
    <w:rsid w:val="3BB109A0"/>
    <w:rsid w:val="3C48B9DF"/>
    <w:rsid w:val="40941969"/>
    <w:rsid w:val="40B3D466"/>
    <w:rsid w:val="42470655"/>
    <w:rsid w:val="436C87DA"/>
    <w:rsid w:val="443A96E3"/>
    <w:rsid w:val="45B82050"/>
    <w:rsid w:val="45C7DBF4"/>
    <w:rsid w:val="489F841B"/>
    <w:rsid w:val="4A17C158"/>
    <w:rsid w:val="4A17C158"/>
    <w:rsid w:val="4A2AA2AA"/>
    <w:rsid w:val="4A71A8C1"/>
    <w:rsid w:val="4B85E19F"/>
    <w:rsid w:val="4BEB4E5E"/>
    <w:rsid w:val="4BF30161"/>
    <w:rsid w:val="4D2B6DE7"/>
    <w:rsid w:val="4D55DB7E"/>
    <w:rsid w:val="4EE4A565"/>
    <w:rsid w:val="4EE4A565"/>
    <w:rsid w:val="54C158F7"/>
    <w:rsid w:val="56936675"/>
    <w:rsid w:val="57C07ED9"/>
    <w:rsid w:val="5C8F079F"/>
    <w:rsid w:val="5DD116FF"/>
    <w:rsid w:val="5F4D1B89"/>
    <w:rsid w:val="5F677887"/>
    <w:rsid w:val="60B0576D"/>
    <w:rsid w:val="62E64D18"/>
    <w:rsid w:val="64B849FF"/>
    <w:rsid w:val="663E1BB6"/>
    <w:rsid w:val="69F76E3C"/>
    <w:rsid w:val="6C0CA66C"/>
    <w:rsid w:val="6D61C595"/>
    <w:rsid w:val="6E62E0EB"/>
    <w:rsid w:val="70424A69"/>
    <w:rsid w:val="7248FDAB"/>
    <w:rsid w:val="743837A0"/>
    <w:rsid w:val="74B5E3EA"/>
    <w:rsid w:val="756D1835"/>
    <w:rsid w:val="762E859C"/>
    <w:rsid w:val="768BF00A"/>
    <w:rsid w:val="78EDD1F0"/>
    <w:rsid w:val="7FAE9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049D"/>
  <w15:chartTrackingRefBased/>
  <w15:docId w15:val="{67BE5EB7-58AE-4D73-8A54-FCEB5DB2B5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89F84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89F84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89F841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89F841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a097a4e5c3c4e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2025-11-22T11:28:49.2125794Z</dcterms:created>
  <dcterms:modified xsi:type="dcterms:W3CDTF">2025-11-22T12:14:26.9150811Z</dcterms:modified>
  <dc:creator>K255033 Huzaifa Saqib</dc:creator>
  <lastModifiedBy>K255033 Huzaifa Saqib</lastModifiedBy>
</coreProperties>
</file>