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217920" cy="28757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-industrial-do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75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A1E33"/>
          <w:sz w:val="56"/>
        </w:rPr>
        <w:t>TRUE NORTH ENGINEERING</w:t>
      </w:r>
    </w:p>
    <w:p>
      <w:pPr>
        <w:jc w:val="center"/>
      </w:pPr>
      <w:r>
        <w:rPr>
          <w:color w:val="C1440E"/>
          <w:sz w:val="30"/>
        </w:rPr>
        <w:t>Website, Analytics, Database and Deployment Guide</w:t>
      </w:r>
    </w:p>
    <w:p>
      <w:r>
        <w:t>Prepared for client operations and future maintainers. Domain: tnorthengineering.com.</w:t>
      </w:r>
    </w:p>
    <w:p>
      <w:pPr>
        <w:pStyle w:val="Heading1"/>
      </w:pPr>
      <w:r>
        <w:t>1. What was delivered</w:t>
      </w:r>
    </w:p>
    <w:p>
      <w:r>
        <w:t>A responsive corporate engineering website, Supabase quote and analytics storage, a protected CRM dashboard, PWA support, SEO metadata, security headers, and a static deployment package.</w:t>
      </w:r>
    </w:p>
    <w:p>
      <w:pPr>
        <w:pStyle w:val="ListBullet"/>
      </w:pPr>
      <w:r>
        <w:t>Hero carousel, glass navigation, floating WhatsApp and assistant controls, contact form and responsive image-rich project work.</w:t>
      </w:r>
    </w:p>
    <w:p>
      <w:pPr>
        <w:pStyle w:val="ListBullet"/>
      </w:pPr>
      <w:r>
        <w:t>First-party visitor, page-view, CTA and quote-start events with quote conversion reporting.</w:t>
      </w:r>
    </w:p>
    <w:p>
      <w:pPr>
        <w:pStyle w:val="ListBullet"/>
      </w:pPr>
      <w:r>
        <w:t>Quote validation, honeypot spam protection, IP-based rate limits and anonymized IP hashes.</w:t>
      </w:r>
    </w:p>
    <w:p>
      <w:pPr>
        <w:pStyle w:val="ListBullet"/>
      </w:pPr>
      <w:r>
        <w:t>Admin dashboard at /admin.html, protected by Supabase email/password authentication.</w:t>
      </w:r>
    </w:p>
    <w:p>
      <w:pPr>
        <w:pStyle w:val="Heading1"/>
      </w:pPr>
      <w:r>
        <w:t>2.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Layer</w:t>
            </w:r>
          </w:p>
        </w:tc>
        <w:tc>
          <w:tcPr>
            <w:tcW w:type="dxa" w:w="4896"/>
          </w:tcPr>
          <w:p>
            <w:r>
              <w:t>Implementation</w:t>
            </w:r>
          </w:p>
        </w:tc>
      </w:tr>
      <w:tr>
        <w:tc>
          <w:tcPr>
            <w:tcW w:type="dxa" w:w="4896"/>
          </w:tcPr>
          <w:p>
            <w:r>
              <w:t>Frontend</w:t>
            </w:r>
          </w:p>
        </w:tc>
        <w:tc>
          <w:tcPr>
            <w:tcW w:type="dxa" w:w="4896"/>
          </w:tcPr>
          <w:p>
            <w:r>
              <w:t>Semantic HTML, modular CSS, ES modules, responsive layouts, WebP imagery and a service worker.</w:t>
            </w:r>
          </w:p>
        </w:tc>
      </w:tr>
      <w:tr>
        <w:tc>
          <w:tcPr>
            <w:tcW w:type="dxa" w:w="4896"/>
          </w:tcPr>
          <w:p>
            <w:r>
              <w:t>Application</w:t>
            </w:r>
          </w:p>
        </w:tc>
        <w:tc>
          <w:tcPr>
            <w:tcW w:type="dxa" w:w="4896"/>
          </w:tcPr>
          <w:p>
            <w:r>
              <w:t>Static HTML/CSS/JavaScript modules served by Cloudflare Pages, Netlify or another static host.</w:t>
            </w:r>
          </w:p>
        </w:tc>
      </w:tr>
      <w:tr>
        <w:tc>
          <w:tcPr>
            <w:tcW w:type="dxa" w:w="4896"/>
          </w:tcPr>
          <w:p>
            <w:r>
              <w:t>Database</w:t>
            </w:r>
          </w:p>
        </w:tc>
        <w:tc>
          <w:tcPr>
            <w:tcW w:type="dxa" w:w="4896"/>
          </w:tcPr>
          <w:p>
            <w:r>
              <w:t>Supabase PostgreSQL tables quote_requests and analytics_events with Row Level Security.</w:t>
            </w:r>
          </w:p>
        </w:tc>
      </w:tr>
      <w:tr>
        <w:tc>
          <w:tcPr>
            <w:tcW w:type="dxa" w:w="4896"/>
          </w:tcPr>
          <w:p>
            <w:r>
              <w:t>Analytics</w:t>
            </w:r>
          </w:p>
        </w:tc>
        <w:tc>
          <w:tcPr>
            <w:tcW w:type="dxa" w:w="4896"/>
          </w:tcPr>
          <w:p>
            <w:r>
              <w:t>First-party Supabase events: page_view and tracked CTA interactions, shown in the admin overview.</w:t>
            </w:r>
          </w:p>
        </w:tc>
      </w:tr>
      <w:tr>
        <w:tc>
          <w:tcPr>
            <w:tcW w:type="dxa" w:w="4896"/>
          </w:tcPr>
          <w:p>
            <w:r>
              <w:t>Security</w:t>
            </w:r>
          </w:p>
        </w:tc>
        <w:tc>
          <w:tcPr>
            <w:tcW w:type="dxa" w:w="4896"/>
          </w:tcPr>
          <w:p>
            <w:r>
              <w:t>CSP, HSTS, no-sniff, frame protection, referrer and permissions policies.</w:t>
            </w:r>
          </w:p>
        </w:tc>
      </w:tr>
      <w:tr>
        <w:tc>
          <w:tcPr>
            <w:tcW w:type="dxa" w:w="4896"/>
          </w:tcPr>
          <w:p>
            <w:r>
              <w:t>Deployment</w:t>
            </w:r>
          </w:p>
        </w:tc>
        <w:tc>
          <w:tcPr>
            <w:tcW w:type="dxa" w:w="4896"/>
          </w:tcPr>
          <w:p>
            <w:r>
              <w:t>Static hosting with Supabase project configuration and no server process required.</w:t>
            </w:r>
          </w:p>
        </w:tc>
      </w:tr>
    </w:tbl>
    <w:p>
      <w:pPr>
        <w:pStyle w:val="Heading1"/>
      </w:pPr>
      <w:r>
        <w:t>3. Database and analytics</w:t>
      </w:r>
    </w:p>
    <w:p>
      <w:r>
        <w:t>Run supabase/schema.sql followed by supabase/migrations/002_admin_v2.sql in the Supabase SQL Editor. The project uses quote_requests for CRM leads and analytics_events for visitor and interaction activity.</w:t>
      </w:r>
    </w:p>
    <w:p>
      <w:pPr>
        <w:pStyle w:val="ListBullet"/>
      </w:pPr>
      <w:r>
        <w:t>Row Level Security allows public quote/event inserts while authenticated admin users can read and manage records.</w:t>
      </w:r>
    </w:p>
    <w:p>
      <w:pPr>
        <w:pStyle w:val="ListBullet"/>
      </w:pPr>
      <w:r>
        <w:t>Quote requests retain name, email, project type, optional area, message, status and timestamp.</w:t>
      </w:r>
    </w:p>
    <w:p>
      <w:pPr>
        <w:pStyle w:val="ListBullet"/>
      </w:pPr>
      <w:r>
        <w:t>Analytics are first-party and do not require Google Analytics, Clarity or a third-party analytics account. Those optional integrations remain disabled until IDs are added.</w:t>
      </w:r>
    </w:p>
    <w:p>
      <w:r>
        <w:t>Use Supabase project backups and point-in-time recovery for database protection. Keep the anon key in the frontend only; never expose a service-role key.</w:t>
      </w:r>
    </w:p>
    <w:p>
      <w:pPr>
        <w:pStyle w:val="Heading1"/>
      </w:pPr>
      <w:r>
        <w:t>4. Running the website</w:t>
      </w:r>
    </w:p>
    <w:p>
      <w:r>
        <w:t>For local preview, use the supplied static preview server. Keep Supabase configuration and admin access controlled in the Supabase dashboard.</w:t>
      </w:r>
    </w:p>
    <w:p>
      <w:pPr>
        <w:ind w:left="360"/>
      </w:pPr>
      <w:r>
        <w:rPr>
          <w:rFonts w:ascii="Consolas" w:hAnsi="Consolas"/>
          <w:color w:val="1C4066"/>
          <w:sz w:val="18"/>
        </w:rPr>
        <w:t>node local-server.mjs</w:t>
      </w:r>
    </w:p>
    <w:p>
      <w:r>
        <w:t>Open http://localhost:4173/ for the website. Configure the public Supabase URL and publishable key in assets/js/supabase-config.js.</w:t>
      </w:r>
    </w:p>
    <w:p>
      <w:pPr>
        <w:pStyle w:val="Heading1"/>
      </w:pPr>
      <w:r>
        <w:t>5. Client admin dashboard</w:t>
      </w:r>
    </w:p>
    <w:p>
      <w:r>
        <w:t>The client opens https://tnorthengineering.com/admin.html after launch and signs in with the Supabase Auth user created for the operations team.</w:t>
      </w:r>
    </w:p>
    <w:p>
      <w:pPr>
        <w:pStyle w:val="ListNumber"/>
      </w:pPr>
      <w:r>
        <w:t>Create or invite authorized users in Supabase Authentication &gt; Users.</w:t>
      </w:r>
    </w:p>
    <w:p>
      <w:pPr>
        <w:pStyle w:val="ListNumber"/>
      </w:pPr>
      <w:r>
        <w:t>Open /admin.html and sign in with the assigned email and password.</w:t>
      </w:r>
    </w:p>
    <w:p>
      <w:pPr>
        <w:pStyle w:val="ListNumber"/>
      </w:pPr>
      <w:r>
        <w:t>Use Overview for quote totals, visitors, average area, project mix and activity.</w:t>
      </w:r>
    </w:p>
    <w:p>
      <w:pPr>
        <w:pStyle w:val="ListNumber"/>
      </w:pPr>
      <w:r>
        <w:t>Use Quote CRM for search, filtering, CSV export, status changes, email copying and deletion.</w:t>
      </w:r>
    </w:p>
    <w:p>
      <w:pPr>
        <w:pStyle w:val="Heading1"/>
      </w:pPr>
      <w:r>
        <w:t>6. Deployment and domain checklist</w:t>
      </w:r>
    </w:p>
    <w:p>
      <w:r>
        <w:t>The project is ready for static hosting such as Cloudflare Pages, Netlify or Vercel with the Supabase project connected.</w:t>
      </w:r>
    </w:p>
    <w:p>
      <w:pPr>
        <w:pStyle w:val="ListNumber"/>
      </w:pPr>
      <w:r>
        <w:t>Publish the project root with no build command.</w:t>
      </w:r>
    </w:p>
    <w:p>
      <w:pPr>
        <w:pStyle w:val="ListNumber"/>
      </w:pPr>
      <w:r>
        <w:t>Run both Supabase SQL files before launch.</w:t>
      </w:r>
    </w:p>
    <w:p>
      <w:pPr>
        <w:pStyle w:val="ListNumber"/>
      </w:pPr>
      <w:r>
        <w:t>Add the production domain to Supabase Authentication URL Configuration.</w:t>
      </w:r>
    </w:p>
    <w:p>
      <w:pPr>
        <w:pStyle w:val="ListNumber"/>
      </w:pPr>
      <w:r>
        <w:t>In the DNS provider for tnorthengineering.com, point the root domain and www host to the chosen hosting provider using its exact A or CNAME records.</w:t>
      </w:r>
    </w:p>
    <w:p>
      <w:pPr>
        <w:pStyle w:val="ListNumber"/>
      </w:pPr>
      <w:r>
        <w:t>Enable the host's HTTPS certificate, then set tnorthengineering.com as the canonical custom domain.</w:t>
      </w:r>
    </w:p>
    <w:p>
      <w:pPr>
        <w:pStyle w:val="ListNumber"/>
      </w:pPr>
      <w:r>
        <w:t>Verify the public site, quote form, /admin.html, sitemap.xml, robots.txt and security headers.</w:t>
      </w:r>
    </w:p>
    <w:p>
      <w:r>
        <w:t>Publishing the domain itself requires access to the domain registrar and the selected hosting account. Do not change DNS until the hosting provider supplies the correct records.</w:t>
      </w:r>
    </w:p>
    <w:p>
      <w:pPr>
        <w:pStyle w:val="Heading1"/>
      </w:pPr>
      <w:r>
        <w:t>7. Content and operations handoff</w:t>
      </w:r>
    </w:p>
    <w:p>
      <w:pPr>
        <w:pStyle w:val="ListBullet"/>
      </w:pPr>
      <w:r>
        <w:t>Replace placeholder phone number, email, office address, WhatsApp number and social links before launch.</w:t>
      </w:r>
    </w:p>
    <w:p>
      <w:pPr>
        <w:pStyle w:val="ListBullet"/>
      </w:pPr>
      <w:r>
        <w:t>Replace demonstration project photography and testimonials with approved client-owned material over time.</w:t>
      </w:r>
    </w:p>
    <w:p>
      <w:pPr>
        <w:pStyle w:val="ListBullet"/>
      </w:pPr>
      <w:r>
        <w:t>Update the contact and LocalBusiness schema whenever the public contact details change.</w:t>
      </w:r>
    </w:p>
    <w:p>
      <w:pPr>
        <w:pStyle w:val="ListBullet"/>
      </w:pPr>
      <w:r>
        <w:t>Run a database backup before site, server or database upgrades.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tnorthengineering.com | Client handover |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B6B7D"/>
        <w:sz w:val="16"/>
      </w:rPr>
      <w:t>TRUE NORTH ENGINEERING | TECHNICAL HANDOVER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A1E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C1440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A1E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