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Step-by-Step Ordering and Installation of a Custom Neon Sign</w:t>
      </w:r>
    </w:p>
    <w:p>
      <w:r>
        <w:rPr>
          <w:b w:val="0"/>
        </w:rPr>
        <w:t>A custom neon sign should do more than look good in a preview. It needs to fit your wall, communicate the right message, reach a suitable power outlet and arrive in time for your plans.</w:t>
      </w:r>
    </w:p>
    <w:p>
      <w:r>
        <w:rPr>
          <w:b w:val="0"/>
        </w:rPr>
        <w:t>The process starts with a clear brief: choose your wording or logo, measure the space, confirm the materials and electrical requirements, approve a digital mockup, and arrange installation. A small indoor LED sign may be suitable for straightforward wall mounting; a large exterior sign needs a more detailed installation plan.</w:t>
      </w:r>
    </w:p>
    <w:p>
      <w:r>
        <w:rPr>
          <w:b w:val="0"/>
        </w:rPr>
        <w:t>This guide takes you from your first idea to the finished display, with practical advice for shops, hospitality venues, events and home decor.</w:t>
      </w:r>
    </w:p>
    <w:p>
      <w:pPr>
        <w:pStyle w:val="Heading1"/>
      </w:pPr>
      <w:r>
        <w:t>Why neon style lighting is finding new audiences</w:t>
      </w:r>
    </w:p>
    <w:p>
      <w:r>
        <w:rPr>
          <w:b w:val="0"/>
        </w:rPr>
        <w:t xml:space="preserve">Neon has a strong connection with cinema signs, late-night diners and distinctive shopping streets. Its appeal continues in contemporary design: the Museum of Neon Art describes renewed interest from artists and commercial designers alongside its work preserving historic signs. </w:t>
      </w:r>
      <w:hyperlink r:id="rId9">
        <w:r>
          <w:rPr>
            <w:color w:val="245B89"/>
          </w:rPr>
          <w:t>Museum of Neon Art</w:t>
        </w:r>
      </w:hyperlink>
    </w:p>
    <w:p>
      <w:r>
        <w:rPr>
          <w:b w:val="0"/>
        </w:rPr>
        <w:t>Today, LED neon offers another way to create illuminated lettering and line art. Flexible tubing gives designers a neon-like glow without requiring a traditional glass-tube sign. That makes the style accessible for a cafe wall, wedding backdrop or personal workspace, as well as commercial branding.</w:t>
      </w:r>
    </w:p>
    <w:p>
      <w:r>
        <w:rPr>
          <w:b w:val="0"/>
        </w:rPr>
        <w:t>The useful question is what you want the light to achieve: help people find your business, frame a memorable photograph or give a room a personal focal point.</w:t>
      </w:r>
    </w:p>
    <w:p>
      <w:pPr>
        <w:pStyle w:val="Heading1"/>
      </w:pPr>
      <w:r>
        <w:t>Step 1 Decide what your sign needs to do</w:t>
      </w:r>
    </w:p>
    <w:p>
      <w:r>
        <w:rPr>
          <w:b w:val="0"/>
        </w:rPr>
        <w:t>Start with the location and the person who will see it. These four illustrative concepts show how the brief changes by setting:</w:t>
      </w:r>
    </w:p>
    <w:p>
      <w:pPr>
        <w:pStyle w:val="ListBullet"/>
      </w:pPr>
      <w:r>
        <w:rPr>
          <w:b/>
        </w:rPr>
        <w:t>Retail storefront:</w:t>
      </w:r>
      <w:r>
        <w:rPr>
          <w:b w:val="0"/>
        </w:rPr>
        <w:t xml:space="preserve"> Picture a short boutique name in clear, bold lettering inside a window. Test the view from the pavement in daylight as well as after dark. Reflections, window displays and lettering size all affect readability.</w:t>
      </w:r>
    </w:p>
    <w:p>
      <w:pPr>
        <w:pStyle w:val="ListBullet"/>
      </w:pPr>
      <w:r>
        <w:rPr>
          <w:b/>
        </w:rPr>
        <w:t>Hospitality venue:</w:t>
      </w:r>
      <w:r>
        <w:rPr>
          <w:b w:val="0"/>
        </w:rPr>
        <w:t xml:space="preserve"> Imagine a warm-white cafe logo on a charcoal wall behind the counter. Plan the composition around shelves and equipment, and consider dimming so the sign works with the evening lighting.</w:t>
      </w:r>
    </w:p>
    <w:p>
      <w:pPr>
        <w:pStyle w:val="ListBullet"/>
      </w:pPr>
      <w:r>
        <w:rPr>
          <w:b/>
        </w:rPr>
        <w:t>Wedding or event:</w:t>
      </w:r>
      <w:r>
        <w:rPr>
          <w:b w:val="0"/>
        </w:rPr>
        <w:t xml:space="preserve"> A surname or short phrase can sit above a photo backdrop. Agree on the supporting frame, power access, transport and venue setup time before finalizing the design.</w:t>
      </w:r>
    </w:p>
    <w:p>
      <w:pPr>
        <w:pStyle w:val="ListBullet"/>
      </w:pPr>
      <w:r>
        <w:rPr>
          <w:b/>
        </w:rPr>
        <w:t>Home decor:</w:t>
      </w:r>
      <w:r>
        <w:rPr>
          <w:b w:val="0"/>
        </w:rPr>
        <w:t xml:space="preserve"> A name or simple line-art motif can personalize a reading corner or gaming room. Think about comfortable brightness, screen reflections and keeping cables out of reach of children and pets.</w:t>
      </w:r>
    </w:p>
    <w:p>
      <w:r>
        <w:rPr>
          <w:b w:val="0"/>
        </w:rPr>
        <w:t>Give each sign one main job. A storefront name needs quick recognition; a close-up photo backdrop can accommodate more expressive lettering.</w:t>
      </w:r>
    </w:p>
    <w:p>
      <w:pPr>
        <w:pStyle w:val="Heading1"/>
      </w:pPr>
      <w:r>
        <w:t>Step 2 Choose LED neon glass neon or dimensional lettering</w:t>
      </w:r>
    </w:p>
    <w:p>
      <w:pPr>
        <w:keepNext/>
      </w:pPr>
      <w:r>
        <w:rPr>
          <w:b w:val="0"/>
        </w:rPr>
        <w:t>The word “neon” is often used for two different technologies. Traditional neon creates light inside shaped, gas-filled glass tubes. LED neon uses light-emitting diodes within a flexible diffuser to create a continuous-looking 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888"/>
      </w:tblGrid>
      <w:tr>
        <w:trPr>
          <w:cantSplit/>
          <w:tblHeader/>
        </w:trPr>
        <w:tc>
          <w:tcPr>
            <w:tcW w:type="dxa" w:w="2232"/>
            <w:vAlign w:val="center"/>
            <w:tcMar>
              <w:top w:w="95" w:type="dxa"/>
              <w:left w:w="95" w:type="dxa"/>
              <w:bottom w:w="95" w:type="dxa"/>
              <w:right w:w="95" w:type="dxa"/>
            </w:tcMar>
            <w:shd w:fill="E7EDF3"/>
          </w:tcPr>
          <w:p>
            <w:pPr>
              <w:keepNext/>
              <w:spacing w:after="20" w:line="240" w:lineRule="auto"/>
            </w:pPr>
            <w:r>
              <w:rPr>
                <w:b/>
                <w:sz w:val="20"/>
              </w:rPr>
              <w:t>Consideration</w:t>
            </w:r>
          </w:p>
        </w:tc>
        <w:tc>
          <w:tcPr>
            <w:tcW w:type="dxa" w:w="3960"/>
            <w:vAlign w:val="center"/>
            <w:tcMar>
              <w:top w:w="95" w:type="dxa"/>
              <w:left w:w="95" w:type="dxa"/>
              <w:bottom w:w="95" w:type="dxa"/>
              <w:right w:w="95" w:type="dxa"/>
            </w:tcMar>
            <w:shd w:fill="E7EDF3"/>
          </w:tcPr>
          <w:p>
            <w:pPr>
              <w:keepNext/>
              <w:spacing w:after="20" w:line="240" w:lineRule="auto"/>
            </w:pPr>
            <w:r>
              <w:rPr>
                <w:b/>
                <w:sz w:val="20"/>
              </w:rPr>
              <w:t>LED neon</w:t>
            </w:r>
          </w:p>
        </w:tc>
        <w:tc>
          <w:tcPr>
            <w:tcW w:type="dxa" w:w="3888"/>
            <w:vAlign w:val="center"/>
            <w:tcMar>
              <w:top w:w="95" w:type="dxa"/>
              <w:left w:w="95" w:type="dxa"/>
              <w:bottom w:w="95" w:type="dxa"/>
              <w:right w:w="95" w:type="dxa"/>
            </w:tcMar>
            <w:shd w:fill="E7EDF3"/>
          </w:tcPr>
          <w:p>
            <w:pPr>
              <w:keepNext/>
              <w:spacing w:after="20" w:line="240" w:lineRule="auto"/>
            </w:pPr>
            <w:r>
              <w:rPr>
                <w:b/>
                <w:sz w:val="20"/>
              </w:rPr>
              <w:t>Traditional glass neon</w:t>
            </w:r>
          </w:p>
        </w:tc>
      </w:tr>
      <w:tr>
        <w:trPr>
          <w:cantSplit/>
        </w:trPr>
        <w:tc>
          <w:tcPr>
            <w:tcW w:type="dxa" w:w="2232"/>
            <w:vAlign w:val="center"/>
            <w:tcMar>
              <w:top w:w="95" w:type="dxa"/>
              <w:left w:w="95" w:type="dxa"/>
              <w:bottom w:w="95" w:type="dxa"/>
              <w:right w:w="95" w:type="dxa"/>
            </w:tcMar>
            <w:shd w:fill="FFFFFF"/>
          </w:tcPr>
          <w:p>
            <w:pPr>
              <w:keepNext/>
              <w:spacing w:after="20" w:line="240" w:lineRule="auto"/>
            </w:pPr>
            <w:r>
              <w:rPr>
                <w:b w:val="0"/>
                <w:sz w:val="20"/>
              </w:rPr>
              <w:t>Construction</w:t>
            </w:r>
          </w:p>
        </w:tc>
        <w:tc>
          <w:tcPr>
            <w:tcW w:type="dxa" w:w="3960"/>
            <w:vAlign w:val="center"/>
            <w:tcMar>
              <w:top w:w="95" w:type="dxa"/>
              <w:left w:w="95" w:type="dxa"/>
              <w:bottom w:w="95" w:type="dxa"/>
              <w:right w:w="95" w:type="dxa"/>
            </w:tcMar>
            <w:shd w:fill="FFFFFF"/>
          </w:tcPr>
          <w:p>
            <w:pPr>
              <w:keepNext/>
              <w:spacing w:after="20" w:line="240" w:lineRule="auto"/>
            </w:pPr>
            <w:r>
              <w:rPr>
                <w:b w:val="0"/>
                <w:sz w:val="20"/>
              </w:rPr>
              <w:t>LEDs inside flexible tubing, commonly mounted on a backing</w:t>
            </w:r>
          </w:p>
        </w:tc>
        <w:tc>
          <w:tcPr>
            <w:tcW w:type="dxa" w:w="3888"/>
            <w:vAlign w:val="center"/>
            <w:tcMar>
              <w:top w:w="95" w:type="dxa"/>
              <w:left w:w="95" w:type="dxa"/>
              <w:bottom w:w="95" w:type="dxa"/>
              <w:right w:w="95" w:type="dxa"/>
            </w:tcMar>
            <w:shd w:fill="FFFFFF"/>
          </w:tcPr>
          <w:p>
            <w:pPr>
              <w:keepNext/>
              <w:spacing w:after="20" w:line="240" w:lineRule="auto"/>
            </w:pPr>
            <w:r>
              <w:rPr>
                <w:b w:val="0"/>
                <w:sz w:val="20"/>
              </w:rPr>
              <w:t>Shaped glass tubes with electrodes and a gas fill</w:t>
            </w:r>
          </w:p>
        </w:tc>
      </w:tr>
      <w:tr>
        <w:trPr>
          <w:cantSplit/>
        </w:trPr>
        <w:tc>
          <w:tcPr>
            <w:tcW w:type="dxa" w:w="2232"/>
            <w:vAlign w:val="center"/>
            <w:tcMar>
              <w:top w:w="95" w:type="dxa"/>
              <w:left w:w="95" w:type="dxa"/>
              <w:bottom w:w="95" w:type="dxa"/>
              <w:right w:w="95" w:type="dxa"/>
            </w:tcMar>
            <w:shd w:fill="F7F8FA"/>
          </w:tcPr>
          <w:p>
            <w:pPr>
              <w:keepNext/>
              <w:spacing w:after="20" w:line="240" w:lineRule="auto"/>
            </w:pPr>
            <w:r>
              <w:rPr>
                <w:b w:val="0"/>
                <w:sz w:val="20"/>
              </w:rPr>
              <w:t>Appearance</w:t>
            </w:r>
          </w:p>
        </w:tc>
        <w:tc>
          <w:tcPr>
            <w:tcW w:type="dxa" w:w="3960"/>
            <w:vAlign w:val="center"/>
            <w:tcMar>
              <w:top w:w="95" w:type="dxa"/>
              <w:left w:w="95" w:type="dxa"/>
              <w:bottom w:w="95" w:type="dxa"/>
              <w:right w:w="95" w:type="dxa"/>
            </w:tcMar>
            <w:shd w:fill="F7F8FA"/>
          </w:tcPr>
          <w:p>
            <w:pPr>
              <w:keepNext/>
              <w:spacing w:after="20" w:line="240" w:lineRule="auto"/>
            </w:pPr>
            <w:r>
              <w:rPr>
                <w:b w:val="0"/>
                <w:sz w:val="20"/>
              </w:rPr>
              <w:t>A diffused neon-style line suited to lettering and outlines</w:t>
            </w:r>
          </w:p>
        </w:tc>
        <w:tc>
          <w:tcPr>
            <w:tcW w:type="dxa" w:w="3888"/>
            <w:vAlign w:val="center"/>
            <w:tcMar>
              <w:top w:w="95" w:type="dxa"/>
              <w:left w:w="95" w:type="dxa"/>
              <w:bottom w:w="95" w:type="dxa"/>
              <w:right w:w="95" w:type="dxa"/>
            </w:tcMar>
            <w:shd w:fill="F7F8FA"/>
          </w:tcPr>
          <w:p>
            <w:pPr>
              <w:keepNext/>
              <w:spacing w:after="20" w:line="240" w:lineRule="auto"/>
            </w:pPr>
            <w:r>
              <w:rPr>
                <w:b w:val="0"/>
                <w:sz w:val="20"/>
              </w:rPr>
              <w:t>The distinctive appearance of illuminated glass tubing</w:t>
            </w:r>
          </w:p>
        </w:tc>
      </w:tr>
      <w:tr>
        <w:trPr>
          <w:cantSplit/>
        </w:trPr>
        <w:tc>
          <w:tcPr>
            <w:tcW w:type="dxa" w:w="2232"/>
            <w:vAlign w:val="center"/>
            <w:tcMar>
              <w:top w:w="95" w:type="dxa"/>
              <w:left w:w="95" w:type="dxa"/>
              <w:bottom w:w="95" w:type="dxa"/>
              <w:right w:w="95" w:type="dxa"/>
            </w:tcMar>
            <w:shd w:fill="FFFFFF"/>
          </w:tcPr>
          <w:p>
            <w:pPr>
              <w:keepNext/>
              <w:spacing w:after="20" w:line="240" w:lineRule="auto"/>
            </w:pPr>
            <w:r>
              <w:rPr>
                <w:b w:val="0"/>
                <w:sz w:val="20"/>
              </w:rPr>
              <w:t>Electrical setup</w:t>
            </w:r>
          </w:p>
        </w:tc>
        <w:tc>
          <w:tcPr>
            <w:tcW w:type="dxa" w:w="3960"/>
            <w:vAlign w:val="center"/>
            <w:tcMar>
              <w:top w:w="95" w:type="dxa"/>
              <w:left w:w="95" w:type="dxa"/>
              <w:bottom w:w="95" w:type="dxa"/>
              <w:right w:w="95" w:type="dxa"/>
            </w:tcMar>
            <w:shd w:fill="FFFFFF"/>
          </w:tcPr>
          <w:p>
            <w:pPr>
              <w:keepNext/>
              <w:spacing w:after="20" w:line="240" w:lineRule="auto"/>
            </w:pPr>
            <w:r>
              <w:rPr>
                <w:b w:val="0"/>
                <w:sz w:val="20"/>
              </w:rPr>
              <w:t>Low-voltage sign powered through a compatible supply</w:t>
            </w:r>
          </w:p>
        </w:tc>
        <w:tc>
          <w:tcPr>
            <w:tcW w:type="dxa" w:w="3888"/>
            <w:vAlign w:val="center"/>
            <w:tcMar>
              <w:top w:w="95" w:type="dxa"/>
              <w:left w:w="95" w:type="dxa"/>
              <w:bottom w:w="95" w:type="dxa"/>
              <w:right w:w="95" w:type="dxa"/>
            </w:tcMar>
            <w:shd w:fill="FFFFFF"/>
          </w:tcPr>
          <w:p>
            <w:pPr>
              <w:keepNext/>
              <w:spacing w:after="20" w:line="240" w:lineRule="auto"/>
            </w:pPr>
            <w:r>
              <w:rPr>
                <w:b w:val="0"/>
                <w:sz w:val="20"/>
              </w:rPr>
              <w:t>Dedicated neon power equipment operating at higher tube voltage</w:t>
            </w:r>
          </w:p>
        </w:tc>
      </w:tr>
      <w:tr>
        <w:trPr>
          <w:cantSplit/>
        </w:trPr>
        <w:tc>
          <w:tcPr>
            <w:tcW w:type="dxa" w:w="2232"/>
            <w:vAlign w:val="center"/>
            <w:tcMar>
              <w:top w:w="95" w:type="dxa"/>
              <w:left w:w="95" w:type="dxa"/>
              <w:bottom w:w="95" w:type="dxa"/>
              <w:right w:w="95" w:type="dxa"/>
            </w:tcMar>
            <w:shd w:fill="F7F8FA"/>
          </w:tcPr>
          <w:p>
            <w:pPr>
              <w:keepNext/>
              <w:spacing w:after="20" w:line="240" w:lineRule="auto"/>
            </w:pPr>
            <w:r>
              <w:rPr>
                <w:b w:val="0"/>
                <w:sz w:val="20"/>
              </w:rPr>
              <w:t>Handling</w:t>
            </w:r>
          </w:p>
        </w:tc>
        <w:tc>
          <w:tcPr>
            <w:tcW w:type="dxa" w:w="3960"/>
            <w:vAlign w:val="center"/>
            <w:tcMar>
              <w:top w:w="95" w:type="dxa"/>
              <w:left w:w="95" w:type="dxa"/>
              <w:bottom w:w="95" w:type="dxa"/>
              <w:right w:w="95" w:type="dxa"/>
            </w:tcMar>
            <w:shd w:fill="F7F8FA"/>
          </w:tcPr>
          <w:p>
            <w:pPr>
              <w:keepNext/>
              <w:spacing w:after="20" w:line="240" w:lineRule="auto"/>
            </w:pPr>
            <w:r>
              <w:rPr>
                <w:b w:val="0"/>
                <w:sz w:val="20"/>
              </w:rPr>
              <w:t>Flexible tubing is less vulnerable to impact; the backing still needs care</w:t>
            </w:r>
          </w:p>
        </w:tc>
        <w:tc>
          <w:tcPr>
            <w:tcW w:type="dxa" w:w="3888"/>
            <w:vAlign w:val="center"/>
            <w:tcMar>
              <w:top w:w="95" w:type="dxa"/>
              <w:left w:w="95" w:type="dxa"/>
              <w:bottom w:w="95" w:type="dxa"/>
              <w:right w:w="95" w:type="dxa"/>
            </w:tcMar>
            <w:shd w:fill="F7F8FA"/>
          </w:tcPr>
          <w:p>
            <w:pPr>
              <w:keepNext/>
              <w:spacing w:after="20" w:line="240" w:lineRule="auto"/>
            </w:pPr>
            <w:r>
              <w:rPr>
                <w:b w:val="0"/>
                <w:sz w:val="20"/>
              </w:rPr>
              <w:t>Glass needs careful handling and transport</w:t>
            </w:r>
          </w:p>
        </w:tc>
      </w:tr>
      <w:tr>
        <w:trPr>
          <w:cantSplit/>
        </w:trPr>
        <w:tc>
          <w:tcPr>
            <w:tcW w:type="dxa" w:w="2232"/>
            <w:vAlign w:val="center"/>
            <w:tcMar>
              <w:top w:w="95" w:type="dxa"/>
              <w:left w:w="95" w:type="dxa"/>
              <w:bottom w:w="95" w:type="dxa"/>
              <w:right w:w="95" w:type="dxa"/>
            </w:tcMar>
            <w:shd w:fill="FFFFFF"/>
          </w:tcPr>
          <w:p>
            <w:pPr>
              <w:keepNext w:val="0"/>
              <w:spacing w:after="20" w:line="240" w:lineRule="auto"/>
            </w:pPr>
            <w:r>
              <w:rPr>
                <w:b w:val="0"/>
                <w:sz w:val="20"/>
              </w:rPr>
              <w:t>Installation</w:t>
            </w:r>
          </w:p>
        </w:tc>
        <w:tc>
          <w:tcPr>
            <w:tcW w:type="dxa" w:w="3960"/>
            <w:vAlign w:val="center"/>
            <w:tcMar>
              <w:top w:w="95" w:type="dxa"/>
              <w:left w:w="95" w:type="dxa"/>
              <w:bottom w:w="95" w:type="dxa"/>
              <w:right w:w="95" w:type="dxa"/>
            </w:tcMar>
            <w:shd w:fill="FFFFFF"/>
          </w:tcPr>
          <w:p>
            <w:pPr>
              <w:keepNext w:val="0"/>
              <w:spacing w:after="20" w:line="240" w:lineRule="auto"/>
            </w:pPr>
            <w:r>
              <w:rPr>
                <w:b w:val="0"/>
                <w:sz w:val="20"/>
              </w:rPr>
              <w:t>Small indoor plug-in designs may suit DIY mounting</w:t>
            </w:r>
          </w:p>
        </w:tc>
        <w:tc>
          <w:tcPr>
            <w:tcW w:type="dxa" w:w="3888"/>
            <w:vAlign w:val="center"/>
            <w:tcMar>
              <w:top w:w="95" w:type="dxa"/>
              <w:left w:w="95" w:type="dxa"/>
              <w:bottom w:w="95" w:type="dxa"/>
              <w:right w:w="95" w:type="dxa"/>
            </w:tcMar>
            <w:shd w:fill="FFFFFF"/>
          </w:tcPr>
          <w:p>
            <w:pPr>
              <w:keepNext w:val="0"/>
              <w:spacing w:after="20" w:line="240" w:lineRule="auto"/>
            </w:pPr>
            <w:r>
              <w:rPr>
                <w:b w:val="0"/>
                <w:sz w:val="20"/>
              </w:rPr>
              <w:t>Specialist installation is generally appropriate</w:t>
            </w:r>
          </w:p>
        </w:tc>
      </w:tr>
    </w:tbl>
    <w:p>
      <w:pPr>
        <w:spacing w:after="0"/>
      </w:pPr>
    </w:p>
    <w:p>
      <w:r>
        <w:rPr>
          <w:b w:val="0"/>
        </w:rPr>
        <w:t xml:space="preserve">Choose glass when the traditional material and its particular visual character are central to the project. Choose LED neon when flexible design and practical handling matter. A manufacturer comparison explains these construction and installation differences, although exact specifications vary by product. </w:t>
      </w:r>
      <w:hyperlink r:id="rId10">
        <w:r>
          <w:rPr>
            <w:color w:val="245B89"/>
          </w:rPr>
          <w:t>LED neon and glass neon comparison</w:t>
        </w:r>
      </w:hyperlink>
    </w:p>
    <w:p>
      <w:r>
        <w:rPr>
          <w:b w:val="0"/>
        </w:rPr>
        <w:t xml:space="preserve">At The Glownique, we make </w:t>
      </w:r>
      <w:hyperlink r:id="rId11">
        <w:r>
          <w:rPr>
            <w:color w:val="245B89"/>
          </w:rPr>
          <w:t>custom LED neon signs</w:t>
        </w:r>
      </w:hyperlink>
      <w:r>
        <w:rPr>
          <w:b w:val="0"/>
        </w:rPr>
        <w:t xml:space="preserve"> with flexible silicone tubing on laser-cut acrylic. For a more architectural finish, our range includes 3D metal channel letters with front, halo or combined illumination. A detailed logo may work better as UV-printed acrylic with selected neon accents, allowing printed artwork to carry the finer detail. </w:t>
      </w:r>
      <w:hyperlink r:id="rId12">
        <w:r>
          <w:rPr>
            <w:color w:val="245B89"/>
          </w:rPr>
          <w:t>Explore our sign types</w:t>
        </w:r>
      </w:hyperlink>
      <w:r>
        <w:rPr>
          <w:b w:val="0"/>
        </w:rPr>
        <w:t xml:space="preserve"> and </w:t>
      </w:r>
      <w:hyperlink r:id="rId13">
        <w:r>
          <w:rPr>
            <w:color w:val="245B89"/>
          </w:rPr>
          <w:t>UV-print acrylic options</w:t>
        </w:r>
      </w:hyperlink>
      <w:r>
        <w:rPr>
          <w:b w:val="0"/>
        </w:rPr>
        <w:t>.</w:t>
      </w:r>
    </w:p>
    <w:p>
      <w:pPr>
        <w:pStyle w:val="Heading1"/>
      </w:pPr>
      <w:r>
        <w:t>Step 3 Measure your space and refine the design</w:t>
      </w:r>
    </w:p>
    <w:p>
      <w:r>
        <w:rPr>
          <w:b w:val="0"/>
        </w:rPr>
        <w:t>Measure the usable width and height of the display area, including the space around furniture, doors and shelving. Then use paper or removable masking tape to mark the proposed sign outline. Step back to the distance from which people will actually see it.</w:t>
      </w:r>
    </w:p>
    <w:p>
      <w:r>
        <w:rPr>
          <w:b w:val="0"/>
        </w:rPr>
        <w:t>Specify whether your measurements refer to the illuminated artwork or the entire acrylic backing. A sign can fit its advertised width and still feel crowded if you have not allowed for the backboard, mounting points and cable exit.</w:t>
      </w:r>
    </w:p>
    <w:p>
      <w:r>
        <w:rPr>
          <w:b w:val="0"/>
        </w:rPr>
        <w:t>Keep these design decisions connected:</w:t>
      </w:r>
    </w:p>
    <w:p>
      <w:pPr>
        <w:pStyle w:val="ListBullet"/>
      </w:pPr>
      <w:r>
        <w:rPr>
          <w:b/>
        </w:rPr>
        <w:t>Text and font:</w:t>
      </w:r>
      <w:r>
        <w:rPr>
          <w:b w:val="0"/>
        </w:rPr>
        <w:t xml:space="preserve"> Check every word at the intended viewing distance. Intricate scripts and small gaps may need a larger sign or a simplified layout.</w:t>
      </w:r>
    </w:p>
    <w:p>
      <w:pPr>
        <w:pStyle w:val="ListBullet"/>
      </w:pPr>
      <w:r>
        <w:rPr>
          <w:b/>
        </w:rPr>
        <w:t>Color and background:</w:t>
      </w:r>
      <w:r>
        <w:rPr>
          <w:b w:val="0"/>
        </w:rPr>
        <w:t xml:space="preserve"> Consider the wall color and surrounding light. Request an illuminated color reference, especially when matching a brand palette.</w:t>
      </w:r>
    </w:p>
    <w:p>
      <w:pPr>
        <w:pStyle w:val="ListBullet"/>
      </w:pPr>
      <w:r>
        <w:rPr>
          <w:b/>
        </w:rPr>
        <w:t>Logo detail:</w:t>
      </w:r>
      <w:r>
        <w:rPr>
          <w:b w:val="0"/>
        </w:rPr>
        <w:t xml:space="preserve"> Provide vector artwork if available. Ask which fine lines, tiny text or gradients should be simplified or printed.</w:t>
      </w:r>
    </w:p>
    <w:p>
      <w:pPr>
        <w:pStyle w:val="ListBullet"/>
      </w:pPr>
      <w:r>
        <w:rPr>
          <w:b/>
        </w:rPr>
        <w:t>Brightness:</w:t>
      </w:r>
      <w:r>
        <w:rPr>
          <w:b w:val="0"/>
        </w:rPr>
        <w:t xml:space="preserve"> Decide whether one fixed color suits the project or whether an RGB option and compatible controller would be useful.</w:t>
      </w:r>
    </w:p>
    <w:p>
      <w:r>
        <w:rPr>
          <w:b w:val="0"/>
        </w:rPr>
        <w:t xml:space="preserve">A mockup helps you judge composition, but a screen cannot reproduce the exact appearance of an illuminated object in your room. We match your references as closely as the materials allow, so discuss critical brand colors before approving the design. </w:t>
      </w:r>
      <w:hyperlink r:id="rId14">
        <w:r>
          <w:rPr>
            <w:color w:val="245B89"/>
          </w:rPr>
          <w:t>Design mockup terms</w:t>
        </w:r>
      </w:hyperlink>
    </w:p>
    <w:p>
      <w:pPr>
        <w:pStyle w:val="Heading1"/>
      </w:pPr>
      <w:r>
        <w:t>Step 4 Confirm materials power and outdoor suitability</w:t>
      </w:r>
    </w:p>
    <w:p>
      <w:r>
        <w:rPr>
          <w:b w:val="0"/>
        </w:rPr>
        <w:t>Ask for the sign’s backing material, overall weight, mounting method and intended environment. Clear acrylic can make lettering appear to float, but its edges, reflections and fixings will still be visible. A colored or printed backing becomes part of the design.</w:t>
      </w:r>
    </w:p>
    <w:p>
      <w:pPr>
        <w:pStyle w:val="Heading2"/>
      </w:pPr>
      <w:r>
        <w:t>Plan the complete electrical setup</w:t>
      </w:r>
    </w:p>
    <w:p>
      <w:r>
        <w:rPr>
          <w:b w:val="0"/>
        </w:rPr>
        <w:t xml:space="preserve">Our LED neon range operates at 12V on the sign side of the system; the power adapter still connects to a mains outlet. Confirm the adapter’s input rating, destination plug, cable lengths, cable exit position and compatible dimmer or controller before ordering. Use the supplied power equipment. </w:t>
      </w:r>
      <w:hyperlink r:id="rId11">
        <w:r>
          <w:rPr>
            <w:color w:val="245B89"/>
          </w:rPr>
          <w:t>LED neon specifications</w:t>
        </w:r>
      </w:hyperlink>
    </w:p>
    <w:p>
      <w:r>
        <w:rPr>
          <w:b w:val="0"/>
        </w:rPr>
        <w:t>Plan a ventilated, accessible position for the adapter. Measure the actual cable route along the wall or furniture rather than the straight-line distance to the outlet. If you want concealed wiring, discuss it before production and arrange a qualified installer where required.</w:t>
      </w:r>
    </w:p>
    <w:p>
      <w:r>
        <w:rPr>
          <w:b w:val="0"/>
        </w:rPr>
        <w:t>For running costs, ask for actual power consumption in watts. Low voltage alone does not tell you the electricity bill.</w:t>
      </w:r>
    </w:p>
    <w:p>
      <w:r>
        <w:rPr>
          <w:b/>
        </w:rPr>
        <w:t>Illustrative calculation:</w:t>
      </w:r>
      <w:r>
        <w:rPr>
          <w:b w:val="0"/>
        </w:rPr>
        <w:t xml:space="preserve"> A complete sign system drawing 60 watts at the outlet for six hours a day uses 10.8 kWh over 30 days. At an assumed electricity rate of US$0.20 per kWh, that is US$2.16 a month. This is a calculation example, not a specification or cost promise for a Glownique sign.</w:t>
      </w:r>
    </w:p>
    <w:p>
      <w:pPr>
        <w:pStyle w:val="Heading2"/>
      </w:pPr>
      <w:r>
        <w:t>Specify outdoor use from the beginning</w:t>
      </w:r>
    </w:p>
    <w:p>
      <w:r>
        <w:rPr>
          <w:b w:val="0"/>
        </w:rPr>
        <w:t xml:space="preserve">Tell us if the sign will face rain, condensation, direct sun or substantial temperature changes. We offer an IP67 outdoor option, but you should confirm suitability for the exact installation and the protection required for the adapter, controller and connections. </w:t>
      </w:r>
      <w:hyperlink r:id="rId11">
        <w:r>
          <w:rPr>
            <w:color w:val="245B89"/>
          </w:rPr>
          <w:t>Outdoor option</w:t>
        </w:r>
      </w:hyperlink>
    </w:p>
    <w:p>
      <w:r>
        <w:rPr>
          <w:b w:val="0"/>
        </w:rPr>
        <w:t xml:space="preserve">An ingress-protection rating is not permission to use a sign underwater or expose every component without protection. Outdoor products also have operating-temperature and installation limits; ask for the specifications of your complete system. </w:t>
      </w:r>
      <w:hyperlink r:id="rId15">
        <w:r>
          <w:rPr>
            <w:color w:val="245B89"/>
          </w:rPr>
          <w:t>Example outdoor technical specifications</w:t>
        </w:r>
      </w:hyperlink>
    </w:p>
    <w:p>
      <w:pPr>
        <w:pStyle w:val="Heading1"/>
      </w:pPr>
      <w:r>
        <w:t>Step 5 Build a realistic budget</w:t>
      </w:r>
    </w:p>
    <w:p>
      <w:r>
        <w:rPr>
          <w:b w:val="0"/>
        </w:rPr>
        <w:t>Custom neon sign pricing depends on more than overall width. Letter count, tubing length, intricate curves, multiple colors, backboard construction, controls and outdoor protection all influence the finished price.</w:t>
      </w:r>
    </w:p>
    <w:p>
      <w:pPr>
        <w:keepNext/>
      </w:pPr>
      <w:r>
        <w:rPr>
          <w:b w:val="0"/>
        </w:rPr>
        <w:t>For a sense of scale, the following published US catalog examples show how size and complexity affect cost. These are third-party benchmarks checked on September 21, 2026, rather than The Glownique’s prices or market averages.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608"/>
        <w:gridCol w:w="2592"/>
      </w:tblGrid>
      <w:tr>
        <w:trPr>
          <w:cantSplit/>
          <w:tblHeader/>
        </w:trPr>
        <w:tc>
          <w:tcPr>
            <w:tcW w:type="dxa" w:w="2880"/>
            <w:vAlign w:val="center"/>
            <w:tcMar>
              <w:top w:w="95" w:type="dxa"/>
              <w:left w:w="95" w:type="dxa"/>
              <w:bottom w:w="95" w:type="dxa"/>
              <w:right w:w="95" w:type="dxa"/>
            </w:tcMar>
            <w:shd w:fill="E7EDF3"/>
          </w:tcPr>
          <w:p>
            <w:pPr>
              <w:keepNext/>
              <w:spacing w:after="20" w:line="240" w:lineRule="auto"/>
            </w:pPr>
            <w:r>
              <w:rPr>
                <w:b/>
                <w:sz w:val="20"/>
              </w:rPr>
              <w:t>Example design</w:t>
            </w:r>
          </w:p>
        </w:tc>
        <w:tc>
          <w:tcPr>
            <w:tcW w:type="dxa" w:w="4608"/>
            <w:vAlign w:val="center"/>
            <w:tcMar>
              <w:top w:w="95" w:type="dxa"/>
              <w:left w:w="95" w:type="dxa"/>
              <w:bottom w:w="95" w:type="dxa"/>
              <w:right w:w="95" w:type="dxa"/>
            </w:tcMar>
            <w:shd w:fill="E7EDF3"/>
          </w:tcPr>
          <w:p>
            <w:pPr>
              <w:keepNext/>
              <w:spacing w:after="20" w:line="240" w:lineRule="auto"/>
            </w:pPr>
            <w:r>
              <w:rPr>
                <w:b/>
                <w:sz w:val="20"/>
              </w:rPr>
              <w:t>Published sizes in the sample</w:t>
            </w:r>
          </w:p>
        </w:tc>
        <w:tc>
          <w:tcPr>
            <w:tcW w:type="dxa" w:w="2592"/>
            <w:vAlign w:val="center"/>
            <w:tcMar>
              <w:top w:w="95" w:type="dxa"/>
              <w:left w:w="95" w:type="dxa"/>
              <w:bottom w:w="95" w:type="dxa"/>
              <w:right w:w="95" w:type="dxa"/>
            </w:tcMar>
            <w:shd w:fill="E7EDF3"/>
          </w:tcPr>
          <w:p>
            <w:pPr>
              <w:keepNext/>
              <w:spacing w:after="20" w:line="240" w:lineRule="auto"/>
            </w:pPr>
            <w:r>
              <w:rPr>
                <w:b/>
                <w:sz w:val="20"/>
              </w:rPr>
              <w:t>Published price range in USD</w:t>
            </w:r>
          </w:p>
        </w:tc>
      </w:tr>
      <w:tr>
        <w:trPr>
          <w:cantSplit/>
        </w:trPr>
        <w:tc>
          <w:tcPr>
            <w:tcW w:type="dxa" w:w="2880"/>
            <w:vAlign w:val="center"/>
            <w:tcMar>
              <w:top w:w="95" w:type="dxa"/>
              <w:left w:w="95" w:type="dxa"/>
              <w:bottom w:w="95" w:type="dxa"/>
              <w:right w:w="95" w:type="dxa"/>
            </w:tcMar>
            <w:shd w:fill="FFFFFF"/>
          </w:tcPr>
          <w:p>
            <w:pPr>
              <w:keepNext/>
              <w:spacing w:after="20" w:line="240" w:lineRule="auto"/>
            </w:pPr>
            <w:r>
              <w:rPr>
                <w:b w:val="0"/>
                <w:sz w:val="20"/>
              </w:rPr>
              <w:t>Simple illustrated icon</w:t>
            </w:r>
          </w:p>
        </w:tc>
        <w:tc>
          <w:tcPr>
            <w:tcW w:type="dxa" w:w="4608"/>
            <w:vAlign w:val="center"/>
            <w:tcMar>
              <w:top w:w="95" w:type="dxa"/>
              <w:left w:w="95" w:type="dxa"/>
              <w:bottom w:w="95" w:type="dxa"/>
              <w:right w:w="95" w:type="dxa"/>
            </w:tcMar>
            <w:shd w:fill="FFFFFF"/>
          </w:tcPr>
          <w:p>
            <w:pPr>
              <w:keepNext/>
              <w:spacing w:after="20" w:line="240" w:lineRule="auto"/>
            </w:pPr>
            <w:r>
              <w:rPr>
                <w:b w:val="0"/>
                <w:sz w:val="20"/>
              </w:rPr>
              <w:t>Taco design from 10 × 9 to 26 × 24 inches</w:t>
            </w:r>
          </w:p>
        </w:tc>
        <w:tc>
          <w:tcPr>
            <w:tcW w:type="dxa" w:w="2592"/>
            <w:vAlign w:val="center"/>
            <w:tcMar>
              <w:top w:w="95" w:type="dxa"/>
              <w:left w:w="95" w:type="dxa"/>
              <w:bottom w:w="95" w:type="dxa"/>
              <w:right w:w="95" w:type="dxa"/>
            </w:tcMar>
            <w:shd w:fill="FFFFFF"/>
          </w:tcPr>
          <w:p>
            <w:pPr>
              <w:keepNext/>
              <w:spacing w:after="20" w:line="240" w:lineRule="auto"/>
              <w:jc w:val="center"/>
            </w:pPr>
            <w:r>
              <w:rPr>
                <w:b w:val="0"/>
                <w:sz w:val="20"/>
              </w:rPr>
              <w:t>$157–$415</w:t>
            </w:r>
          </w:p>
        </w:tc>
      </w:tr>
      <w:tr>
        <w:trPr>
          <w:cantSplit/>
        </w:trPr>
        <w:tc>
          <w:tcPr>
            <w:tcW w:type="dxa" w:w="2880"/>
            <w:vAlign w:val="center"/>
            <w:tcMar>
              <w:top w:w="95" w:type="dxa"/>
              <w:left w:w="95" w:type="dxa"/>
              <w:bottom w:w="95" w:type="dxa"/>
              <w:right w:w="95" w:type="dxa"/>
            </w:tcMar>
            <w:shd w:fill="F7F8FA"/>
          </w:tcPr>
          <w:p>
            <w:pPr>
              <w:keepNext/>
              <w:spacing w:after="20" w:line="240" w:lineRule="auto"/>
            </w:pPr>
            <w:r>
              <w:rPr>
                <w:b w:val="0"/>
                <w:sz w:val="20"/>
              </w:rPr>
              <w:t>Short text design</w:t>
            </w:r>
          </w:p>
        </w:tc>
        <w:tc>
          <w:tcPr>
            <w:tcW w:type="dxa" w:w="4608"/>
            <w:vAlign w:val="center"/>
            <w:tcMar>
              <w:top w:w="95" w:type="dxa"/>
              <w:left w:w="95" w:type="dxa"/>
              <w:bottom w:w="95" w:type="dxa"/>
              <w:right w:w="95" w:type="dxa"/>
            </w:tcMar>
            <w:shd w:fill="F7F8FA"/>
          </w:tcPr>
          <w:p>
            <w:pPr>
              <w:keepNext/>
              <w:spacing w:after="20" w:line="240" w:lineRule="auto"/>
            </w:pPr>
            <w:r>
              <w:rPr>
                <w:b w:val="0"/>
                <w:sz w:val="20"/>
              </w:rPr>
              <w:t>XOXO from 24 × 8 to 41 × 14 inches</w:t>
            </w:r>
          </w:p>
        </w:tc>
        <w:tc>
          <w:tcPr>
            <w:tcW w:type="dxa" w:w="2592"/>
            <w:vAlign w:val="center"/>
            <w:tcMar>
              <w:top w:w="95" w:type="dxa"/>
              <w:left w:w="95" w:type="dxa"/>
              <w:bottom w:w="95" w:type="dxa"/>
              <w:right w:w="95" w:type="dxa"/>
            </w:tcMar>
            <w:shd w:fill="F7F8FA"/>
          </w:tcPr>
          <w:p>
            <w:pPr>
              <w:keepNext/>
              <w:spacing w:after="20" w:line="240" w:lineRule="auto"/>
              <w:jc w:val="center"/>
            </w:pPr>
            <w:r>
              <w:rPr>
                <w:b w:val="0"/>
                <w:sz w:val="20"/>
              </w:rPr>
              <w:t>$220–$379</w:t>
            </w:r>
          </w:p>
        </w:tc>
      </w:tr>
      <w:tr>
        <w:trPr>
          <w:cantSplit/>
        </w:trPr>
        <w:tc>
          <w:tcPr>
            <w:tcW w:type="dxa" w:w="2880"/>
            <w:vAlign w:val="center"/>
            <w:tcMar>
              <w:top w:w="95" w:type="dxa"/>
              <w:left w:w="95" w:type="dxa"/>
              <w:bottom w:w="95" w:type="dxa"/>
              <w:right w:w="95" w:type="dxa"/>
            </w:tcMar>
            <w:shd w:fill="FFFFFF"/>
          </w:tcPr>
          <w:p>
            <w:pPr>
              <w:keepNext w:val="0"/>
              <w:spacing w:after="20" w:line="240" w:lineRule="auto"/>
            </w:pPr>
            <w:r>
              <w:rPr>
                <w:b w:val="0"/>
                <w:sz w:val="20"/>
              </w:rPr>
              <w:t>Detailed multicolor artwork</w:t>
            </w:r>
          </w:p>
        </w:tc>
        <w:tc>
          <w:tcPr>
            <w:tcW w:type="dxa" w:w="4608"/>
            <w:vAlign w:val="center"/>
            <w:tcMar>
              <w:top w:w="95" w:type="dxa"/>
              <w:left w:w="95" w:type="dxa"/>
              <w:bottom w:w="95" w:type="dxa"/>
              <w:right w:w="95" w:type="dxa"/>
            </w:tcMar>
            <w:shd w:fill="FFFFFF"/>
          </w:tcPr>
          <w:p>
            <w:pPr>
              <w:keepNext w:val="0"/>
              <w:spacing w:after="20" w:line="240" w:lineRule="auto"/>
            </w:pPr>
            <w:r>
              <w:rPr>
                <w:b w:val="0"/>
                <w:sz w:val="20"/>
              </w:rPr>
              <w:t>Voodoo Skull from 16 × 26 to 25 × 39 inches</w:t>
            </w:r>
          </w:p>
        </w:tc>
        <w:tc>
          <w:tcPr>
            <w:tcW w:type="dxa" w:w="2592"/>
            <w:vAlign w:val="center"/>
            <w:tcMar>
              <w:top w:w="95" w:type="dxa"/>
              <w:left w:w="95" w:type="dxa"/>
              <w:bottom w:w="95" w:type="dxa"/>
              <w:right w:w="95" w:type="dxa"/>
            </w:tcMar>
            <w:shd w:fill="FFFFFF"/>
          </w:tcPr>
          <w:p>
            <w:pPr>
              <w:keepNext w:val="0"/>
              <w:spacing w:after="20" w:line="240" w:lineRule="auto"/>
              <w:jc w:val="center"/>
            </w:pPr>
            <w:r>
              <w:rPr>
                <w:b w:val="0"/>
                <w:sz w:val="20"/>
              </w:rPr>
              <w:t>$568–$864</w:t>
            </w:r>
          </w:p>
        </w:tc>
      </w:tr>
    </w:tbl>
    <w:p>
      <w:pPr>
        <w:spacing w:after="0"/>
      </w:pPr>
    </w:p>
    <w:p>
      <w:r>
        <w:rPr>
          <w:b w:val="0"/>
        </w:rPr>
        <w:t xml:space="preserve">The figures come from the published </w:t>
      </w:r>
      <w:hyperlink r:id="rId16">
        <w:r>
          <w:rPr>
            <w:color w:val="245B89"/>
          </w:rPr>
          <w:t>Taco</w:t>
        </w:r>
      </w:hyperlink>
      <w:r>
        <w:rPr>
          <w:b w:val="0"/>
        </w:rPr>
        <w:t xml:space="preserve">, </w:t>
      </w:r>
      <w:hyperlink r:id="rId17">
        <w:r>
          <w:rPr>
            <w:color w:val="245B89"/>
          </w:rPr>
          <w:t>XOXO</w:t>
        </w:r>
      </w:hyperlink>
      <w:r>
        <w:rPr>
          <w:b w:val="0"/>
        </w:rPr>
        <w:t xml:space="preserve"> and </w:t>
      </w:r>
      <w:hyperlink r:id="rId18">
        <w:r>
          <w:rPr>
            <w:color w:val="245B89"/>
          </w:rPr>
          <w:t>Voodoo Skull</w:t>
        </w:r>
      </w:hyperlink>
      <w:r>
        <w:rPr>
          <w:b w:val="0"/>
        </w:rPr>
        <w:t xml:space="preserve"> listings. Prices and options can change; these examples do not establish the cost of installation or your delivered project.</w:t>
      </w:r>
    </w:p>
    <w:p>
      <w:r>
        <w:rPr>
          <w:b w:val="0"/>
        </w:rPr>
        <w:t>Request an itemized quote covering the sign, controls, mounting hardware and shipping. Then account for any site preparation, installation labor, electrical work, permits and destination taxes or import charges. Larger channel-letter installations need their own project quote.</w:t>
      </w:r>
    </w:p>
    <w:p>
      <w:r>
        <w:rPr>
          <w:b w:val="0"/>
        </w:rPr>
        <w:t>If the estimate exceeds your budget, first discuss shorter wording, fewer colors or a simpler outline. For a detailed logo, compare neon-only construction with printed acrylic and selective illumination before reducing the size so far that the design becomes hard to read.</w:t>
      </w:r>
    </w:p>
    <w:p>
      <w:pPr>
        <w:pStyle w:val="Heading1"/>
      </w:pPr>
      <w:r>
        <w:t>Step 6 Request and approve your free digital mockup</w:t>
      </w:r>
    </w:p>
    <w:p>
      <w:r>
        <w:rPr>
          <w:b w:val="0"/>
        </w:rPr>
        <w:t xml:space="preserve">Send us your exact wording or logo, approximate dimensions, preferred colors, a photograph of the location, delivery country and required date. Include whether it is indoors or outdoors and what the mounting surface is made from. We will prepare a free mockup and a no-obligation quote. </w:t>
      </w:r>
      <w:hyperlink r:id="rId19">
        <w:r>
          <w:rPr>
            <w:color w:val="245B89"/>
          </w:rPr>
          <w:t>Request a design preview</w:t>
        </w:r>
      </w:hyperlink>
    </w:p>
    <w:p>
      <w:r>
        <w:rPr>
          <w:b w:val="0"/>
        </w:rPr>
        <w:t>Before approving, check:</w:t>
      </w:r>
    </w:p>
    <w:p>
      <w:pPr>
        <w:pStyle w:val="ListBullet"/>
      </w:pPr>
      <w:r>
        <w:rPr>
          <w:b w:val="0"/>
        </w:rPr>
        <w:t>Spelling, capitalization, punctuation and logo proportions.</w:t>
      </w:r>
    </w:p>
    <w:p>
      <w:pPr>
        <w:pStyle w:val="ListBullet"/>
      </w:pPr>
      <w:r>
        <w:rPr>
          <w:b w:val="0"/>
        </w:rPr>
        <w:t>Overall dimensions and the shape of the backing.</w:t>
      </w:r>
    </w:p>
    <w:p>
      <w:pPr>
        <w:pStyle w:val="ListBullet"/>
      </w:pPr>
      <w:r>
        <w:rPr>
          <w:b w:val="0"/>
        </w:rPr>
        <w:t>Illuminated color, font, spacing and any simplified artwork.</w:t>
      </w:r>
    </w:p>
    <w:p>
      <w:pPr>
        <w:pStyle w:val="ListBullet"/>
      </w:pPr>
      <w:r>
        <w:rPr>
          <w:b w:val="0"/>
        </w:rPr>
        <w:t>Mounting points, cable exit and the agreed power accessories.</w:t>
      </w:r>
    </w:p>
    <w:p>
      <w:pPr>
        <w:pStyle w:val="ListBullet"/>
      </w:pPr>
      <w:r>
        <w:rPr>
          <w:b w:val="0"/>
        </w:rPr>
        <w:t>Indoor or outdoor specification, final price and arrival estimate.</w:t>
      </w:r>
    </w:p>
    <w:p>
      <w:r>
        <w:rPr>
          <w:b w:val="0"/>
        </w:rPr>
        <w:t>Ask for revisions while the design is still on screen. Save the approved version with the quote so both sides have the same reference for production and delivery checks.</w:t>
      </w:r>
    </w:p>
    <w:p>
      <w:pPr>
        <w:pStyle w:val="Heading1"/>
      </w:pPr>
      <w:r>
        <w:t>Step 7 Place the order and agree on delivery timing</w:t>
      </w:r>
    </w:p>
    <w:p>
      <w:r>
        <w:rPr>
          <w:b w:val="0"/>
        </w:rPr>
        <w:t xml:space="preserve">We process payments through The Glownique’s Etsy shop. You can pay in full or make a 50% initial payment followed by the balance when the sign is ready, with dispatch after final payment. Confirm the arrangement in your order; Etsy’s own transaction and protection terms also apply. </w:t>
      </w:r>
      <w:hyperlink r:id="rId14">
        <w:r>
          <w:rPr>
            <w:color w:val="245B89"/>
          </w:rPr>
          <w:t>Ordering and payment terms</w:t>
        </w:r>
      </w:hyperlink>
    </w:p>
    <w:p>
      <w:r>
        <w:rPr>
          <w:b w:val="0"/>
        </w:rPr>
        <w:t>Ask for separate estimates for production, dispatch and arrival. A production estimate is not an arrival guarantee, especially for an international shipment or a complex sign. For weddings and opening dates, build in time to inspect and install the delivery before the event.</w:t>
      </w:r>
    </w:p>
    <w:p>
      <w:r>
        <w:rPr>
          <w:b w:val="0"/>
        </w:rPr>
        <w:t xml:space="preserve">We offer tracked international delivery, with shipping charges confirmed in your quote. Import duties, customs charges and applicable local taxes are the recipient’s responsibility under our shipping policy. Check the destination and full shipping address before paying. </w:t>
      </w:r>
      <w:hyperlink r:id="rId20">
        <w:r>
          <w:rPr>
            <w:color w:val="245B89"/>
          </w:rPr>
          <w:t>Shipping and delivery details</w:t>
        </w:r>
      </w:hyperlink>
    </w:p>
    <w:p>
      <w:pPr>
        <w:pStyle w:val="Heading1"/>
      </w:pPr>
      <w:r>
        <w:t>Step 8 Inspect and test the sign before mounting</w:t>
      </w:r>
    </w:p>
    <w:p>
      <w:r>
        <w:rPr>
          <w:b w:val="0"/>
        </w:rPr>
        <w:t>Unpack on a clean, padded surface and support the backing with both hands. Avoid lifting the sign by its tubing or cable.</w:t>
      </w:r>
    </w:p>
    <w:p>
      <w:r>
        <w:rPr>
          <w:b w:val="0"/>
        </w:rPr>
        <w:t>Compare the delivered sign with the approved mockup. Check the backing, mounting points, cables, adapter and accessories for damage. If everything appears intact, follow the supplied instructions for a brief power test, then unplug it before installation.</w:t>
      </w:r>
    </w:p>
    <w:p>
      <w:r>
        <w:rPr>
          <w:b w:val="0"/>
        </w:rPr>
        <w:t xml:space="preserve">Keep the packaging until the checks are complete. Report transit damage to us within 48 hours, with photographs of the sign and packaging. Do not power a visibly damaged unit; send the details to our support team. </w:t>
      </w:r>
      <w:hyperlink r:id="rId21">
        <w:r>
          <w:rPr>
            <w:color w:val="245B89"/>
          </w:rPr>
          <w:t>Damage reporting instructions</w:t>
        </w:r>
      </w:hyperlink>
    </w:p>
    <w:p>
      <w:pPr>
        <w:pStyle w:val="Heading1"/>
      </w:pPr>
      <w:r>
        <w:t>Step 9 Install your custom LED neon sign</w:t>
      </w:r>
    </w:p>
    <w:p>
      <w:r>
        <w:rPr>
          <w:b w:val="0"/>
        </w:rPr>
        <w:t>The following sequence is for a small, indoor, plug-in LED sign with a compatible wall-mounting kit. Follow the instructions supplied with your particular sign and fixings; there is no universal drill size or anchor suitable for every wall.</w:t>
      </w:r>
    </w:p>
    <w:p>
      <w:r>
        <w:rPr>
          <w:b w:val="0"/>
        </w:rPr>
        <w:t>Have a tape measure, pencil, level, suitable screwdriver and the specified mounting hardware ready. Depending on the surface, you may also need a drill, appropriate bits and a detector for concealed services.</w:t>
      </w:r>
    </w:p>
    <w:p>
      <w:pPr>
        <w:pStyle w:val="ListParagraph"/>
      </w:pPr>
      <w:r>
        <w:rPr>
          <w:b w:val="0"/>
        </w:rPr>
        <w:t xml:space="preserve">1. </w:t>
      </w:r>
      <w:r>
        <w:rPr>
          <w:b/>
        </w:rPr>
        <w:t>Choose the fixing points.</w:t>
      </w:r>
      <w:r>
        <w:rPr>
          <w:b w:val="0"/>
        </w:rPr>
        <w:t xml:space="preserve"> Confirm the wall can support the complete sign. Locate suitable structural support or use anchors specifically rated for the wall material and load. Check for concealed wiring and pipes before drilling.</w:t>
      </w:r>
    </w:p>
    <w:p>
      <w:pPr>
        <w:pStyle w:val="ListParagraph"/>
      </w:pPr>
      <w:r>
        <w:rPr>
          <w:b w:val="0"/>
        </w:rPr>
        <w:t xml:space="preserve">2. </w:t>
      </w:r>
      <w:r>
        <w:rPr>
          <w:b/>
        </w:rPr>
        <w:t>Mark and level the layout.</w:t>
      </w:r>
      <w:r>
        <w:rPr>
          <w:b w:val="0"/>
        </w:rPr>
        <w:t xml:space="preserve"> Use the supplied template, or have someone support the backboard while you mark through its mounting holes. Check alignment from the main viewing position.</w:t>
      </w:r>
    </w:p>
    <w:p>
      <w:pPr>
        <w:pStyle w:val="ListParagraph"/>
      </w:pPr>
      <w:r>
        <w:rPr>
          <w:b w:val="0"/>
        </w:rPr>
        <w:t xml:space="preserve">3. </w:t>
      </w:r>
      <w:r>
        <w:rPr>
          <w:b/>
        </w:rPr>
        <w:t>Install the fixings.</w:t>
      </w:r>
      <w:r>
        <w:rPr>
          <w:b w:val="0"/>
        </w:rPr>
        <w:t xml:space="preserve"> Put the sign safely aside. Fit anchors, screws and standoff bases according to the hardware instructions. Do not drill additional holes in the sign without the maker’s approval.</w:t>
      </w:r>
    </w:p>
    <w:p>
      <w:pPr>
        <w:pStyle w:val="ListParagraph"/>
      </w:pPr>
      <w:r>
        <w:rPr>
          <w:b w:val="0"/>
        </w:rPr>
        <w:t xml:space="preserve">4. </w:t>
      </w:r>
      <w:r>
        <w:rPr>
          <w:b/>
        </w:rPr>
        <w:t>Secure the backboard.</w:t>
      </w:r>
      <w:r>
        <w:rPr>
          <w:b w:val="0"/>
        </w:rPr>
        <w:t xml:space="preserve"> With assistance where needed, align the sign, fit the supplied washers or protective spacers and secure the retaining parts. Avoid stressing or overtightening the acrylic.</w:t>
      </w:r>
    </w:p>
    <w:p>
      <w:pPr>
        <w:pStyle w:val="ListParagraph"/>
      </w:pPr>
      <w:r>
        <w:rPr>
          <w:b w:val="0"/>
        </w:rPr>
        <w:t xml:space="preserve">5. </w:t>
      </w:r>
      <w:r>
        <w:rPr>
          <w:b/>
        </w:rPr>
        <w:t>Support the cable and adapter.</w:t>
      </w:r>
      <w:r>
        <w:rPr>
          <w:b w:val="0"/>
        </w:rPr>
        <w:t xml:space="preserve"> Use suitable cable clips or a surface cable cover. Keep cables away from sharp edges, pinching points and walking routes, and leave the adapter accessible with ventilation.</w:t>
      </w:r>
    </w:p>
    <w:p>
      <w:pPr>
        <w:pStyle w:val="ListParagraph"/>
      </w:pPr>
      <w:r>
        <w:rPr>
          <w:b w:val="0"/>
        </w:rPr>
        <w:t xml:space="preserve">6. </w:t>
      </w:r>
      <w:r>
        <w:rPr>
          <w:b/>
        </w:rPr>
        <w:t>Connect with the power off.</w:t>
      </w:r>
      <w:r>
        <w:rPr>
          <w:b w:val="0"/>
        </w:rPr>
        <w:t xml:space="preserve"> Follow the supplied connection order for the sign, controller and adapter. Once the installation is secure and the connections are checked, connect to the appropriate outlet.</w:t>
      </w:r>
    </w:p>
    <w:p>
      <w:pPr>
        <w:pStyle w:val="ListParagraph"/>
      </w:pPr>
      <w:r>
        <w:rPr>
          <w:b w:val="0"/>
        </w:rPr>
        <w:t xml:space="preserve">7. </w:t>
      </w:r>
      <w:r>
        <w:rPr>
          <w:b/>
        </w:rPr>
        <w:t>Test the finished display.</w:t>
      </w:r>
      <w:r>
        <w:rPr>
          <w:b w:val="0"/>
        </w:rPr>
        <w:t xml:space="preserve"> Check illumination and controls, then assess brightness from the intended viewing position. Make sure the sign is stable and the cable does not pull on its connector.</w:t>
      </w:r>
    </w:p>
    <w:p>
      <w:r>
        <w:rPr>
          <w:b w:val="0"/>
        </w:rPr>
        <w:t xml:space="preserve">Manufacturer mounting guidance illustrates the usual standoff sequence of marking, fitting spacers and securing the backing. Hardware details differ, so use your own sign’s instructions. </w:t>
      </w:r>
      <w:hyperlink r:id="rId22">
        <w:r>
          <w:rPr>
            <w:color w:val="245B89"/>
          </w:rPr>
          <w:t>Wall-mounting tutorial</w:t>
        </w:r>
      </w:hyperlink>
    </w:p>
    <w:p>
      <w:pPr>
        <w:pStyle w:val="Heading2"/>
      </w:pPr>
      <w:r>
        <w:t>Hanging and installations without drilling</w:t>
      </w:r>
    </w:p>
    <w:p>
      <w:r>
        <w:rPr>
          <w:b w:val="0"/>
        </w:rPr>
        <w:t xml:space="preserve">A suspended sign needs an approved hanging kit and a support capable of carrying its weight. A temporary event frame also needs a stable base. Do not assume decorative greenery, fabric or ordinary adhesive strips will support the sign. Ask the maker to approve any removable mounting method for the specific sign and surface. </w:t>
      </w:r>
      <w:hyperlink r:id="rId23">
        <w:r>
          <w:rPr>
            <w:color w:val="245B89"/>
          </w:rPr>
          <w:t>Mounting and hanging options</w:t>
        </w:r>
      </w:hyperlink>
    </w:p>
    <w:p>
      <w:pPr>
        <w:pStyle w:val="Heading2"/>
      </w:pPr>
      <w:r>
        <w:t>When to book an installer</w:t>
      </w:r>
    </w:p>
    <w:p>
      <w:r>
        <w:rPr>
          <w:b w:val="0"/>
        </w:rPr>
        <w:t xml:space="preserve">Arrange professional help for large or heavy signs, difficult access, permanent exterior mounting, glass neon or hardwiring. For storefront work, confirm the property owner’s requirements and any local approvals before fabrication. We recommend qualified installation for large commercial, permanent outdoor and hardwired projects. </w:t>
      </w:r>
      <w:hyperlink r:id="rId14">
        <w:r>
          <w:rPr>
            <w:color w:val="245B89"/>
          </w:rPr>
          <w:t>Installation terms</w:t>
        </w:r>
      </w:hyperlink>
    </w:p>
    <w:p>
      <w:pPr>
        <w:pStyle w:val="Heading1"/>
      </w:pPr>
      <w:r>
        <w:t>Step 10 Care for the sign and keep your warranty details</w:t>
      </w:r>
    </w:p>
    <w:p>
      <w:r>
        <w:rPr>
          <w:b w:val="0"/>
        </w:rPr>
        <w:t>Unplug before cleaning and follow the supplied care instructions. Use gentle dusting rather than pulling on the tubing or spraying liquid onto electrical parts. If the light develops a fault, stop using it and contact the maker before attempting repairs.</w:t>
      </w:r>
    </w:p>
    <w:p>
      <w:r>
        <w:rPr>
          <w:b w:val="0"/>
        </w:rPr>
        <w:t xml:space="preserve">Our 5-year warranty covers manufacturing defects, including specified LED, power-supply, wiring and workmanship faults. Exclusions include accidental damage, improper installation, unsuitable outdoor use, unauthorized modifications and using a different power supply. Keep your order details, approved design and photographs to make support requests easier. </w:t>
      </w:r>
      <w:hyperlink r:id="rId21">
        <w:r>
          <w:rPr>
            <w:color w:val="245B89"/>
          </w:rPr>
          <w:t>Full warranty and returns policy</w:t>
        </w:r>
      </w:hyperlink>
    </w:p>
    <w:p>
      <w:pPr>
        <w:pStyle w:val="Heading1"/>
      </w:pPr>
      <w:r>
        <w:t>Frequently asked questions</w:t>
      </w:r>
    </w:p>
    <w:p>
      <w:pPr>
        <w:pStyle w:val="Heading2"/>
      </w:pPr>
      <w:r>
        <w:t>Can I install a custom neon sign myself</w:t>
      </w:r>
    </w:p>
    <w:p>
      <w:r>
        <w:rPr>
          <w:b w:val="0"/>
        </w:rPr>
        <w:t>A small indoor LED sign may be suitable for DIY mounting when you have an appropriate wall, compatible hardware and an accessible outlet. Large, exterior, glass or hardwired installations need specialist planning and, where appropriate, a qualified installer.</w:t>
      </w:r>
    </w:p>
    <w:p>
      <w:pPr>
        <w:pStyle w:val="Heading2"/>
      </w:pPr>
      <w:r>
        <w:t>Can LED neon reproduce every part of my logo</w:t>
      </w:r>
    </w:p>
    <w:p>
      <w:r>
        <w:rPr>
          <w:b w:val="0"/>
        </w:rPr>
        <w:t xml:space="preserve">Very fine details may need simplification or a larger format. A printed acrylic design with illuminated accents can preserve detail that is difficult to reproduce using tubing alone. Ask to compare the options in your mockup. </w:t>
      </w:r>
      <w:hyperlink r:id="rId13">
        <w:r>
          <w:rPr>
            <w:color w:val="245B89"/>
          </w:rPr>
          <w:t>Printed acrylic signage</w:t>
        </w:r>
      </w:hyperlink>
    </w:p>
    <w:p>
      <w:pPr>
        <w:pStyle w:val="Heading2"/>
      </w:pPr>
      <w:r>
        <w:t>Can I return a custom sign if I change my mind</w:t>
      </w:r>
    </w:p>
    <w:p>
      <w:r>
        <w:rPr>
          <w:b w:val="0"/>
        </w:rPr>
        <w:t xml:space="preserve">Our policy generally excludes change-of-mind refunds once the approved custom design has entered production. Faulty, damaged or incorrect goods are treated separately, and statutory rights remain unaffected. Read the policy before approval. </w:t>
      </w:r>
      <w:hyperlink r:id="rId21">
        <w:r>
          <w:rPr>
            <w:color w:val="245B89"/>
          </w:rPr>
          <w:t>Custom returns policy</w:t>
        </w:r>
      </w:hyperlink>
    </w:p>
    <w:p>
      <w:pPr>
        <w:pStyle w:val="Heading2"/>
      </w:pPr>
      <w:r>
        <w:t>How early should I order for an event</w:t>
      </w:r>
    </w:p>
    <w:p>
      <w:r>
        <w:rPr>
          <w:b w:val="0"/>
        </w:rPr>
        <w:t xml:space="preserve">Provide the event date at your first inquiry and ask for a project-specific arrival estimate. Allow additional time for revisions, shipping, inspection and installation. Confirm the schedule directly for larger or more complex signs. </w:t>
      </w:r>
      <w:hyperlink r:id="rId20">
        <w:r>
          <w:rPr>
            <w:color w:val="245B89"/>
          </w:rPr>
          <w:t>Delivery planning</w:t>
        </w:r>
      </w:hyperlink>
    </w:p>
    <w:p>
      <w:pPr>
        <w:pStyle w:val="Heading1"/>
      </w:pPr>
      <w:r>
        <w:t>Start with a free design preview</w:t>
      </w:r>
    </w:p>
    <w:p>
      <w:r>
        <w:rPr>
          <w:b w:val="0"/>
        </w:rPr>
        <w:t>Send The Glownique your words or logo, a photo of your space and an approximate size. We can help you compare handcrafted LED neon, dimensional lettering and printed acrylic options before you commit.</w:t>
      </w:r>
    </w:p>
    <w:p>
      <w:r>
        <w:rPr>
          <w:b w:val="0"/>
        </w:rPr>
        <w:t>Your project starts with a free digital mockup and an individual quote, with tracked worldwide delivery and 5-year warranty coverage under the published terms.</w:t>
      </w:r>
    </w:p>
    <w:p>
      <w:hyperlink r:id="rId19">
        <w:r>
          <w:rPr>
            <w:color w:val="245B89"/>
            <w:b/>
          </w:rPr>
          <w:t>Request your free custom sign mockup</w:t>
        </w:r>
      </w:hyperlink>
      <w:r>
        <w:rPr>
          <w:b w:val="0"/>
        </w:rPr>
        <w:t xml:space="preserve"> and include your location, budget and required date so the first proposal fits your plans.</w:t>
      </w:r>
    </w:p>
    <w:p>
      <w:r>
        <w:br w:type="page"/>
      </w:r>
    </w:p>
    <w:p>
      <w:pPr>
        <w:pStyle w:val="Title"/>
      </w:pPr>
      <w:r>
        <w:t>SEO and publishing assets</w:t>
      </w:r>
    </w:p>
    <w:p>
      <w:pPr>
        <w:pStyle w:val="Heading1"/>
      </w:pPr>
      <w:r>
        <w:t>Search metadata</w:t>
      </w:r>
    </w:p>
    <w:p>
      <w:r>
        <w:rPr>
          <w:b/>
        </w:rPr>
        <w:t>SEO title:</w:t>
      </w:r>
      <w:r>
        <w:rPr>
          <w:b w:val="0"/>
        </w:rPr>
        <w:t xml:space="preserve"> Custom Neon Sign Ordering and Installation Guide</w:t>
      </w:r>
    </w:p>
    <w:p>
      <w:r>
        <w:rPr>
          <w:b/>
        </w:rPr>
        <w:t>Meta description:</w:t>
      </w:r>
      <w:r>
        <w:rPr>
          <w:b w:val="0"/>
        </w:rPr>
        <w:t xml:space="preserve"> Learn how to order and install a custom neon sign, compare LED and glass, plan your budget, and get a free design mockup from The Glownique.</w:t>
      </w:r>
    </w:p>
    <w:p>
      <w:r>
        <w:rPr>
          <w:b/>
        </w:rPr>
        <w:t>Suggested slug:</w:t>
      </w:r>
      <w:r>
        <w:rPr>
          <w:b w:val="0"/>
        </w:rPr>
        <w:t xml:space="preserve"> custom-neon-sign-ordering-installation</w:t>
      </w:r>
    </w:p>
    <w:p>
      <w:r>
        <w:rPr>
          <w:b/>
        </w:rPr>
        <w:t>Primary keyword:</w:t>
      </w:r>
      <w:r>
        <w:rPr>
          <w:b w:val="0"/>
        </w:rPr>
        <w:t xml:space="preserve"> custom neon sign</w:t>
      </w:r>
    </w:p>
    <w:p>
      <w:r>
        <w:rPr>
          <w:b/>
        </w:rPr>
        <w:t>Supporting phrases:</w:t>
      </w:r>
      <w:r>
        <w:rPr>
          <w:b w:val="0"/>
        </w:rPr>
        <w:t xml:space="preserve"> how to order a custom neon sign; custom neon sign installation; LED neon vs glass neon; custom neon sign cost; custom LED neon signs; neon signs for business.</w:t>
      </w:r>
    </w:p>
    <w:p>
      <w:r>
        <w:rPr>
          <w:b/>
        </w:rPr>
        <w:t>Suggested excerpt:</w:t>
      </w:r>
      <w:r>
        <w:rPr>
          <w:b w:val="0"/>
        </w:rPr>
        <w:t xml:space="preserve"> From your first design idea to the final wall mounting, learn how to choose, order and install a custom neon sign for a business, event or home.</w:t>
      </w:r>
    </w:p>
    <w:p>
      <w:r>
        <w:rPr>
          <w:b/>
        </w:rPr>
        <w:t>Search intent:</w:t>
      </w:r>
      <w:r>
        <w:rPr>
          <w:b w:val="0"/>
        </w:rPr>
        <w:t xml:space="preserve"> Informational guidance for buyers comparing sign types, preparing an order and planning installation. The article’s main conversion action is a free mockup request.</w:t>
      </w:r>
    </w:p>
    <w:p>
      <w:pPr>
        <w:pStyle w:val="Heading1"/>
      </w:pPr>
      <w:r>
        <w:t>Image briefs and suggested alt text</w:t>
      </w:r>
    </w:p>
    <w:p>
      <w:r>
        <w:rPr>
          <w:b w:val="0"/>
        </w:rPr>
        <w:t>Use original, approved product or workshop photographs. Match alt text to the actual selected image. If a visual is a digital design concept, label it as a mockup rather than a completed customer installation.</w:t>
      </w:r>
    </w:p>
    <w:p>
      <w:pPr>
        <w:pStyle w:val="ListParagraph"/>
      </w:pPr>
      <w:r>
        <w:rPr>
          <w:b w:val="0"/>
        </w:rPr>
        <w:t xml:space="preserve">1. </w:t>
      </w:r>
      <w:r>
        <w:rPr>
          <w:b/>
        </w:rPr>
        <w:t>Opening image:</w:t>
      </w:r>
      <w:r>
        <w:rPr>
          <w:b w:val="0"/>
        </w:rPr>
        <w:t xml:space="preserve"> A finished LED neon sign in a furnished cafe or retail interior, with the full sign and its scale visible. Suggested alt text: “Custom warm-white LED neon cafe sign mounted on a dark feature wall.”</w:t>
      </w:r>
    </w:p>
    <w:p>
      <w:pPr>
        <w:pStyle w:val="ListParagraph"/>
      </w:pPr>
      <w:r>
        <w:rPr>
          <w:b w:val="0"/>
        </w:rPr>
        <w:t xml:space="preserve">2. </w:t>
      </w:r>
      <w:r>
        <w:rPr>
          <w:b/>
        </w:rPr>
        <w:t>After Step 2:</w:t>
      </w:r>
      <w:r>
        <w:rPr>
          <w:b w:val="0"/>
        </w:rPr>
        <w:t xml:space="preserve"> Close-up photographs comparing silicone LED tubing on acrylic with traditional glass tubing. Suggested alt text: “LED neon tubing on acrylic beside a traditional glass neon tube.”</w:t>
      </w:r>
    </w:p>
    <w:p>
      <w:pPr>
        <w:pStyle w:val="ListParagraph"/>
      </w:pPr>
      <w:r>
        <w:rPr>
          <w:b w:val="0"/>
        </w:rPr>
        <w:t xml:space="preserve">3. </w:t>
      </w:r>
      <w:r>
        <w:rPr>
          <w:b/>
        </w:rPr>
        <w:t>After Step 3:</w:t>
      </w:r>
      <w:r>
        <w:rPr>
          <w:b w:val="0"/>
        </w:rPr>
        <w:t xml:space="preserve"> The same wall shown with a measured design mockup and the finished sign. Use a matching camera position and clearly identify the mockup. Suggested alt text: “Custom neon sign mockup and finished installation at the same wall size.”</w:t>
      </w:r>
    </w:p>
    <w:p>
      <w:pPr>
        <w:pStyle w:val="ListParagraph"/>
      </w:pPr>
      <w:r>
        <w:rPr>
          <w:b w:val="0"/>
        </w:rPr>
        <w:t xml:space="preserve">4. </w:t>
      </w:r>
      <w:r>
        <w:rPr>
          <w:b/>
        </w:rPr>
        <w:t>After Step 8:</w:t>
      </w:r>
      <w:r>
        <w:rPr>
          <w:b w:val="0"/>
        </w:rPr>
        <w:t xml:space="preserve"> The actual delivered kit laid out neatly, including the sign, supplied adapter, controller if ordered and mounting hardware. Suggested alt text: “Custom LED neon sign with power adapter and wall-mounting hardware.”</w:t>
      </w:r>
    </w:p>
    <w:p>
      <w:pPr>
        <w:pStyle w:val="ListParagraph"/>
      </w:pPr>
      <w:r>
        <w:rPr>
          <w:b w:val="0"/>
        </w:rPr>
        <w:t xml:space="preserve">5. </w:t>
      </w:r>
      <w:r>
        <w:rPr>
          <w:b/>
        </w:rPr>
        <w:t>Within Step 9:</w:t>
      </w:r>
      <w:r>
        <w:rPr>
          <w:b w:val="0"/>
        </w:rPr>
        <w:t xml:space="preserve"> A close-up of the actual standoff and backboard assembly. Suggested alt text: “Acrylic neon sign secured to a wall with a metal standoff and protective washer.”</w:t>
      </w:r>
    </w:p>
    <w:p>
      <w:r>
        <w:rPr>
          <w:b w:val="0"/>
        </w:rPr>
        <w:t>For additional use-case images, choose a retail window display, a hospitality feature wall, an event backdrop and a home reading or gaming corner. Photograph enough of each setting to explain scale and placement.</w:t>
      </w:r>
    </w:p>
    <w:p>
      <w:pPr>
        <w:pStyle w:val="Heading1"/>
      </w:pPr>
      <w:r>
        <w:t>Suggested internal links</w:t>
      </w:r>
    </w:p>
    <w:p>
      <w:pPr>
        <w:keepNext/>
      </w:pPr>
      <w:r>
        <w:rPr>
          <w:b w:val="0"/>
        </w:rPr>
        <w:t>The article already incorporates contextual links to the main product, contact and policy pages. Use these destinations when transferring the text into the website editor.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760"/>
      </w:tblGrid>
      <w:tr>
        <w:trPr>
          <w:cantSplit/>
          <w:tblHeader/>
        </w:trPr>
        <w:tc>
          <w:tcPr>
            <w:tcW w:type="dxa" w:w="4320"/>
            <w:vAlign w:val="center"/>
            <w:tcMar>
              <w:top w:w="95" w:type="dxa"/>
              <w:left w:w="95" w:type="dxa"/>
              <w:bottom w:w="95" w:type="dxa"/>
              <w:right w:w="95" w:type="dxa"/>
            </w:tcMar>
            <w:shd w:fill="E7EDF3"/>
          </w:tcPr>
          <w:p>
            <w:pPr>
              <w:keepNext/>
              <w:spacing w:after="20" w:line="240" w:lineRule="auto"/>
            </w:pPr>
            <w:r>
              <w:rPr>
                <w:b/>
                <w:sz w:val="20"/>
              </w:rPr>
              <w:t>Anchor text</w:t>
            </w:r>
          </w:p>
        </w:tc>
        <w:tc>
          <w:tcPr>
            <w:tcW w:type="dxa" w:w="5760"/>
            <w:vAlign w:val="center"/>
            <w:tcMar>
              <w:top w:w="95" w:type="dxa"/>
              <w:left w:w="95" w:type="dxa"/>
              <w:bottom w:w="95" w:type="dxa"/>
              <w:right w:w="95" w:type="dxa"/>
            </w:tcMar>
            <w:shd w:fill="E7EDF3"/>
          </w:tcPr>
          <w:p>
            <w:pPr>
              <w:keepNext/>
              <w:spacing w:after="20" w:line="240" w:lineRule="auto"/>
            </w:pPr>
            <w:r>
              <w:rPr>
                <w:b/>
                <w:sz w:val="20"/>
              </w:rPr>
              <w:t>Destination</w:t>
            </w:r>
          </w:p>
        </w:tc>
      </w:tr>
      <w:tr>
        <w:trPr>
          <w:cantSplit/>
        </w:trPr>
        <w:tc>
          <w:tcPr>
            <w:tcW w:type="dxa" w:w="4320"/>
            <w:vAlign w:val="center"/>
            <w:tcMar>
              <w:top w:w="95" w:type="dxa"/>
              <w:left w:w="95" w:type="dxa"/>
              <w:bottom w:w="95" w:type="dxa"/>
              <w:right w:w="95" w:type="dxa"/>
            </w:tcMar>
            <w:shd w:fill="FFFFFF"/>
          </w:tcPr>
          <w:p>
            <w:pPr>
              <w:keepNext/>
              <w:spacing w:after="20" w:line="240" w:lineRule="auto"/>
            </w:pPr>
            <w:r>
              <w:rPr>
                <w:b w:val="0"/>
                <w:sz w:val="20"/>
              </w:rPr>
              <w:t>Custom LED neon signs</w:t>
            </w:r>
          </w:p>
        </w:tc>
        <w:tc>
          <w:tcPr>
            <w:tcW w:type="dxa" w:w="5760"/>
            <w:vAlign w:val="center"/>
            <w:tcMar>
              <w:top w:w="95" w:type="dxa"/>
              <w:left w:w="95" w:type="dxa"/>
              <w:bottom w:w="95" w:type="dxa"/>
              <w:right w:w="95" w:type="dxa"/>
            </w:tcMar>
            <w:shd w:fill="FFFFFF"/>
          </w:tcPr>
          <w:p>
            <w:pPr>
              <w:keepNext/>
              <w:spacing w:after="20" w:line="240" w:lineRule="auto"/>
            </w:pPr>
            <w:hyperlink r:id="rId11">
              <w:r>
                <w:rPr>
                  <w:color w:val="245B89"/>
                </w:rPr>
                <w:t>LED neon product page</w:t>
              </w:r>
            </w:hyperlink>
          </w:p>
        </w:tc>
      </w:tr>
      <w:tr>
        <w:trPr>
          <w:cantSplit/>
        </w:trPr>
        <w:tc>
          <w:tcPr>
            <w:tcW w:type="dxa" w:w="4320"/>
            <w:vAlign w:val="center"/>
            <w:tcMar>
              <w:top w:w="95" w:type="dxa"/>
              <w:left w:w="95" w:type="dxa"/>
              <w:bottom w:w="95" w:type="dxa"/>
              <w:right w:w="95" w:type="dxa"/>
            </w:tcMar>
            <w:shd w:fill="F7F8FA"/>
          </w:tcPr>
          <w:p>
            <w:pPr>
              <w:keepNext/>
              <w:spacing w:after="20" w:line="240" w:lineRule="auto"/>
            </w:pPr>
            <w:r>
              <w:rPr>
                <w:b w:val="0"/>
                <w:sz w:val="20"/>
              </w:rPr>
              <w:t>UV-print acrylic options</w:t>
            </w:r>
          </w:p>
        </w:tc>
        <w:tc>
          <w:tcPr>
            <w:tcW w:type="dxa" w:w="5760"/>
            <w:vAlign w:val="center"/>
            <w:tcMar>
              <w:top w:w="95" w:type="dxa"/>
              <w:left w:w="95" w:type="dxa"/>
              <w:bottom w:w="95" w:type="dxa"/>
              <w:right w:w="95" w:type="dxa"/>
            </w:tcMar>
            <w:shd w:fill="F7F8FA"/>
          </w:tcPr>
          <w:p>
            <w:pPr>
              <w:keepNext/>
              <w:spacing w:after="20" w:line="240" w:lineRule="auto"/>
            </w:pPr>
            <w:hyperlink r:id="rId13">
              <w:r>
                <w:rPr>
                  <w:color w:val="245B89"/>
                </w:rPr>
                <w:t>Acrylic signage product page</w:t>
              </w:r>
            </w:hyperlink>
          </w:p>
        </w:tc>
      </w:tr>
      <w:tr>
        <w:trPr>
          <w:cantSplit/>
        </w:trPr>
        <w:tc>
          <w:tcPr>
            <w:tcW w:type="dxa" w:w="4320"/>
            <w:vAlign w:val="center"/>
            <w:tcMar>
              <w:top w:w="95" w:type="dxa"/>
              <w:left w:w="95" w:type="dxa"/>
              <w:bottom w:w="95" w:type="dxa"/>
              <w:right w:w="95" w:type="dxa"/>
            </w:tcMar>
            <w:shd w:fill="FFFFFF"/>
          </w:tcPr>
          <w:p>
            <w:pPr>
              <w:keepNext/>
              <w:spacing w:after="20" w:line="240" w:lineRule="auto"/>
            </w:pPr>
            <w:r>
              <w:rPr>
                <w:b w:val="0"/>
                <w:sz w:val="20"/>
              </w:rPr>
              <w:t>Request your free custom sign mockup</w:t>
            </w:r>
          </w:p>
        </w:tc>
        <w:tc>
          <w:tcPr>
            <w:tcW w:type="dxa" w:w="5760"/>
            <w:vAlign w:val="center"/>
            <w:tcMar>
              <w:top w:w="95" w:type="dxa"/>
              <w:left w:w="95" w:type="dxa"/>
              <w:bottom w:w="95" w:type="dxa"/>
              <w:right w:w="95" w:type="dxa"/>
            </w:tcMar>
            <w:shd w:fill="FFFFFF"/>
          </w:tcPr>
          <w:p>
            <w:pPr>
              <w:keepNext/>
              <w:spacing w:after="20" w:line="240" w:lineRule="auto"/>
            </w:pPr>
            <w:hyperlink r:id="rId19">
              <w:r>
                <w:rPr>
                  <w:color w:val="245B89"/>
                </w:rPr>
                <w:t>Contact and quote page</w:t>
              </w:r>
            </w:hyperlink>
          </w:p>
        </w:tc>
      </w:tr>
      <w:tr>
        <w:trPr>
          <w:cantSplit/>
        </w:trPr>
        <w:tc>
          <w:tcPr>
            <w:tcW w:type="dxa" w:w="4320"/>
            <w:vAlign w:val="center"/>
            <w:tcMar>
              <w:top w:w="95" w:type="dxa"/>
              <w:left w:w="95" w:type="dxa"/>
              <w:bottom w:w="95" w:type="dxa"/>
              <w:right w:w="95" w:type="dxa"/>
            </w:tcMar>
            <w:shd w:fill="F7F8FA"/>
          </w:tcPr>
          <w:p>
            <w:pPr>
              <w:keepNext/>
              <w:spacing w:after="20" w:line="240" w:lineRule="auto"/>
            </w:pPr>
            <w:r>
              <w:rPr>
                <w:b w:val="0"/>
                <w:sz w:val="20"/>
              </w:rPr>
              <w:t>Shipping and delivery details</w:t>
            </w:r>
          </w:p>
        </w:tc>
        <w:tc>
          <w:tcPr>
            <w:tcW w:type="dxa" w:w="5760"/>
            <w:vAlign w:val="center"/>
            <w:tcMar>
              <w:top w:w="95" w:type="dxa"/>
              <w:left w:w="95" w:type="dxa"/>
              <w:bottom w:w="95" w:type="dxa"/>
              <w:right w:w="95" w:type="dxa"/>
            </w:tcMar>
            <w:shd w:fill="F7F8FA"/>
          </w:tcPr>
          <w:p>
            <w:pPr>
              <w:keepNext/>
              <w:spacing w:after="20" w:line="240" w:lineRule="auto"/>
            </w:pPr>
            <w:hyperlink r:id="rId20">
              <w:r>
                <w:rPr>
                  <w:color w:val="245B89"/>
                </w:rPr>
                <w:t>Shipping policy</w:t>
              </w:r>
            </w:hyperlink>
          </w:p>
        </w:tc>
      </w:tr>
      <w:tr>
        <w:trPr>
          <w:cantSplit/>
        </w:trPr>
        <w:tc>
          <w:tcPr>
            <w:tcW w:type="dxa" w:w="4320"/>
            <w:vAlign w:val="center"/>
            <w:tcMar>
              <w:top w:w="95" w:type="dxa"/>
              <w:left w:w="95" w:type="dxa"/>
              <w:bottom w:w="95" w:type="dxa"/>
              <w:right w:w="95" w:type="dxa"/>
            </w:tcMar>
            <w:shd w:fill="FFFFFF"/>
          </w:tcPr>
          <w:p>
            <w:pPr>
              <w:keepNext w:val="0"/>
              <w:spacing w:after="20" w:line="240" w:lineRule="auto"/>
            </w:pPr>
            <w:r>
              <w:rPr>
                <w:b w:val="0"/>
                <w:sz w:val="20"/>
              </w:rPr>
              <w:t>Full warranty and returns policy</w:t>
            </w:r>
          </w:p>
        </w:tc>
        <w:tc>
          <w:tcPr>
            <w:tcW w:type="dxa" w:w="5760"/>
            <w:vAlign w:val="center"/>
            <w:tcMar>
              <w:top w:w="95" w:type="dxa"/>
              <w:left w:w="95" w:type="dxa"/>
              <w:bottom w:w="95" w:type="dxa"/>
              <w:right w:w="95" w:type="dxa"/>
            </w:tcMar>
            <w:shd w:fill="FFFFFF"/>
          </w:tcPr>
          <w:p>
            <w:pPr>
              <w:keepNext w:val="0"/>
              <w:spacing w:after="20" w:line="240" w:lineRule="auto"/>
            </w:pPr>
            <w:hyperlink r:id="rId21">
              <w:r>
                <w:rPr>
                  <w:color w:val="245B89"/>
                </w:rPr>
                <w:t>Returns and warranty</w:t>
              </w:r>
            </w:hyperlink>
          </w:p>
        </w:tc>
      </w:tr>
    </w:tbl>
    <w:p>
      <w:pPr>
        <w:spacing w:after="0"/>
      </w:pPr>
    </w:p>
    <w:p>
      <w:pPr>
        <w:pStyle w:val="Heading1"/>
      </w:pPr>
      <w:r>
        <w:t>Publishing notes</w:t>
      </w:r>
    </w:p>
    <w:p>
      <w:r>
        <w:rPr>
          <w:b w:val="0"/>
        </w:rPr>
        <w:t>Keep the exact requested article title as the page H1 and use the shorter SEO title in the search metadata. Keep the tables readable on mobile, retain descriptive links and place the mockup call to action after the article.</w:t>
      </w:r>
    </w:p>
    <w:p>
      <w:r>
        <w:rPr>
          <w:b w:val="0"/>
        </w:rPr>
        <w:t>The budget table contains published third-party examples, not a Glownique price schedule. Retain that distinction or replace the table with current, approved Glownique quotes for clearly defined specifications.</w:t>
      </w:r>
    </w:p>
    <w:p>
      <w:r>
        <w:rPr>
          <w:b w:val="0"/>
        </w:rPr>
        <w:t>Use the business’s real author or editorial byline and actual publication date. The research was checked on September 21, 2026. Review pricing and policy references when publishing and during future updates.</w:t>
      </w:r>
    </w:p>
    <w:sectPr w:rsidR="00FC693F" w:rsidRPr="0006063C" w:rsidSect="00034616">
      <w:footerReference w:type="default" r:id="rId24"/>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after="100" w:line="257" w:lineRule="auto"/>
      <w:ind w:left="259" w:hanging="259"/>
      <w:contextualSpacing/>
    </w:pPr>
    <w:rPr>
      <w:rFonts w:ascii="Calibri" w:hAnsi="Calibri"/>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7" w:lineRule="auto"/>
      <w:ind w:left="259" w:hanging="259"/>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onmona.org/about/" TargetMode="External"/><Relationship Id="rId10" Type="http://schemas.openxmlformats.org/officeDocument/2006/relationships/hyperlink" Target="https://support.customneon.com/hc/en-us/articles/14468010665499-What-s-the-difference-between-traditional-glass-neon-and-LED-neon" TargetMode="External"/><Relationship Id="rId11" Type="http://schemas.openxmlformats.org/officeDocument/2006/relationships/hyperlink" Target="https://www.theglownique.com/products/custom-neon-signs" TargetMode="External"/><Relationship Id="rId12" Type="http://schemas.openxmlformats.org/officeDocument/2006/relationships/hyperlink" Target="https://www.theglownique.com/" TargetMode="External"/><Relationship Id="rId13" Type="http://schemas.openxmlformats.org/officeDocument/2006/relationships/hyperlink" Target="https://www.theglownique.com/products/uv-print-acrylic-signs" TargetMode="External"/><Relationship Id="rId14" Type="http://schemas.openxmlformats.org/officeDocument/2006/relationships/hyperlink" Target="https://theglownique.com/terms" TargetMode="External"/><Relationship Id="rId15" Type="http://schemas.openxmlformats.org/officeDocument/2006/relationships/hyperlink" Target="https://customneon.com/media/pdf/CUS_Tech-Sheet_Outdoor_FA_US.pdf" TargetMode="External"/><Relationship Id="rId16" Type="http://schemas.openxmlformats.org/officeDocument/2006/relationships/hyperlink" Target="https://customneon.com/taco/" TargetMode="External"/><Relationship Id="rId17" Type="http://schemas.openxmlformats.org/officeDocument/2006/relationships/hyperlink" Target="https://customneon.com/xoxo/" TargetMode="External"/><Relationship Id="rId18" Type="http://schemas.openxmlformats.org/officeDocument/2006/relationships/hyperlink" Target="https://customneon.com/voodoo-skull/" TargetMode="External"/><Relationship Id="rId19" Type="http://schemas.openxmlformats.org/officeDocument/2006/relationships/hyperlink" Target="https://www.theglownique.com/contact" TargetMode="External"/><Relationship Id="rId20" Type="http://schemas.openxmlformats.org/officeDocument/2006/relationships/hyperlink" Target="https://theglownique.com/shipping" TargetMode="External"/><Relationship Id="rId21" Type="http://schemas.openxmlformats.org/officeDocument/2006/relationships/hyperlink" Target="https://theglownique.com/returns" TargetMode="External"/><Relationship Id="rId22" Type="http://schemas.openxmlformats.org/officeDocument/2006/relationships/hyperlink" Target="https://customneon.com/media/pdf/WALL_MOUNTING_TUTORIAL_USA.pdf" TargetMode="External"/><Relationship Id="rId23" Type="http://schemas.openxmlformats.org/officeDocument/2006/relationships/hyperlink" Target="https://support.customneon.com/hc/en-us/articles/14468364084379-How-do-I-hang-or-wall-mount-my-Custom-Neon-sign"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Step-by-Step Ordering and Installation of a Custom Neon Sign</dc:title>
  <dc:subject>Blog article with SEO metadata and publishing assets for The Glownique</dc:subject>
  <dc:creator/>
  <cp:keywords>custom neon sign, LED neon, installation, ordering</cp:keywords>
  <dc:description>generated by python-docx</dc:description>
  <cp:lastModifiedBy/>
  <cp:revision>1</cp:revision>
  <dcterms:created xsi:type="dcterms:W3CDTF">2013-12-23T23:15:00Z</dcterms:created>
  <dcterms:modified xsi:type="dcterms:W3CDTF">2013-12-23T23:15:00Z</dcterms:modified>
  <cp:category/>
</cp:coreProperties>
</file>