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10/31/2015: double print of instructions.. related to retrieval of previous sale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62425" cy="21526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8761d"/>
          <w:u w:val="single"/>
          <w:rtl w:val="0"/>
        </w:rPr>
        <w:t xml:space="preserve">10/31/2015: database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-currently the sale class uses a unix style path and assumes Database folder is inside of src, while rental class uses windows and assumes it’s in the same directory as src.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-going to fix this by moving database to the same directory as src, and adding an OS check to pointOfSale that decides which path-notation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-this should be pushed by ~2:30PM today (10/31)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10/31/2015: cancel sale: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shouldn’t exit the program, only shutdown should do 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10/31/2015: invalid item number (sale) can be ignored by pressing something other than “e”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52850" cy="28860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8761d"/>
          <w:u w:val="single"/>
          <w:rtl w:val="0"/>
        </w:rPr>
        <w:t xml:space="preserve">10/31/2015: trailing spaces in userDatabase cause crash when you enter a phone number that doesnt exist in the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isnt urgent, as long as we’re careful not to accidentally leave any trailing spaces/characters that arent ints at the end of the userDatabase. but it should be handled before beta release. edit: fixed this by adding an exception catch and calling continue on any blank fields/non Long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25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3.png"/></Relationships>
</file>