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Phase 2 — Data Engineering and Harmonisation</w:t>
      </w:r>
    </w:p>
    <w:p>
      <w:pPr>
        <w:jc w:val="center"/>
      </w:pPr>
      <w:r>
        <w:rPr>
          <w:b w:val="0"/>
          <w:i/>
        </w:rPr>
        <w:t>Emerging Disease Forecasting Framework</w:t>
      </w:r>
    </w:p>
    <w:p>
      <w:pPr>
        <w:jc w:val="center"/>
      </w:pPr>
      <w:r>
        <w:rPr>
          <w:b w:val="0"/>
          <w:i w:val="0"/>
          <w:sz w:val="20"/>
        </w:rPr>
        <w:t>Dengue · Influenza · Ebola</w:t>
      </w:r>
    </w:p>
    <w:p/>
    <w:p>
      <w:pPr>
        <w:pStyle w:val="Heading1"/>
      </w:pPr>
      <w:r>
        <w:t>Summary</w:t>
      </w:r>
    </w:p>
    <w:p>
      <w:r>
        <w:rPr>
          <w:b w:val="0"/>
          <w:i w:val="0"/>
        </w:rPr>
        <w:t>Phase 2 turns three separately-collected disease surveillance datasets into a single harmonised input that one model can read without being told which disease it is looking at. That work is complete. Dengue, influenza and Ebola now share a schema, a weekly calendar, a graph construction and a normalisation scheme, and the five released datasets rebuild from public sources by a single command, gated by 86 correctness checks that refuse to write a dataset if any fails.</w:t>
      </w:r>
    </w:p>
    <w:p>
      <w:r>
        <w:rPr>
          <w:b w:val="0"/>
          <w:i w:val="0"/>
        </w:rPr>
        <w:t>Before finalising, we put the work through independent adversarial review. It found defects that our own test suite had passed green — one had fabricated roughly a third of the Ebola forecasting target — and it corrected headline figures that we had measured the wrong way. Every one has since been fixed or, where the fix was a judgement call, decided with you. This report records what was built, what was wrong and how we found it, and the decisions now settled.</w:t>
      </w:r>
    </w:p>
    <w:p>
      <w:r>
        <w:rPr>
          <w:b w:val="0"/>
          <w:i w:val="0"/>
        </w:rPr>
        <w:t xml:space="preserve">The state in one line: </w:t>
      </w:r>
      <w:r>
        <w:rPr>
          <w:b/>
          <w:i w:val="0"/>
        </w:rPr>
        <w:t>the datasets are correct, internally consistent, and no longer blocked on any decision.</w:t>
      </w:r>
    </w:p>
    <w:p>
      <w:pPr>
        <w:pStyle w:val="Heading1"/>
      </w:pPr>
      <w:r>
        <w:t>1. What was built</w:t>
      </w:r>
    </w:p>
    <w:p>
      <w:r>
        <w:rPr>
          <w:b w:val="0"/>
          <w:i w:val="0"/>
        </w:rPr>
        <w:t>Every disease is expressed in one structure: a node-by-week-by-feature tensor of inputs, a geographic adjacency matrix, an observation mask recording which cells were actually reported, and a target series. Only four channels ever reach the shared model — normalised incidence, two seasonality channels from the calendar, and the observation flag. Anything that could identify the disease, such as geographic coordinates or an Ebola-only deaths channel, is computed and stored but withheld from the shared encoder. That restriction is the point of the framework, so it is enforced in code, not left to discipline.</w:t>
      </w:r>
    </w:p>
    <w:tbl>
      <w:tblPr>
        <w:tblW w:type="auto" w:w="0"/>
        <w:tblLook w:firstColumn="1" w:firstRow="1" w:lastColumn="0" w:lastRow="0" w:noHBand="0" w:noVBand="1" w:val="04A0"/>
      </w:tblPr>
      <w:tblGrid>
        <w:gridCol w:w="1872"/>
        <w:gridCol w:w="1872"/>
        <w:gridCol w:w="1872"/>
        <w:gridCol w:w="1872"/>
        <w:gridCol w:w="1872"/>
      </w:tblGrid>
      <w:tr>
        <w:tc>
          <w:tcPr>
            <w:tcW w:type="dxa" w:w="3312"/>
          </w:tcPr>
          <w:p>
            <w:r/>
            <w:r>
              <w:rPr>
                <w:b/>
                <w:sz w:val="20"/>
              </w:rPr>
              <w:t>Dataset</w:t>
            </w:r>
          </w:p>
        </w:tc>
        <w:tc>
          <w:tcPr>
            <w:tcW w:type="dxa" w:w="1296"/>
          </w:tcPr>
          <w:p>
            <w:r/>
            <w:r>
              <w:rPr>
                <w:b/>
                <w:sz w:val="20"/>
              </w:rPr>
              <w:t>Nodes</w:t>
            </w:r>
          </w:p>
        </w:tc>
        <w:tc>
          <w:tcPr>
            <w:tcW w:type="dxa" w:w="1152"/>
          </w:tcPr>
          <w:p>
            <w:r/>
            <w:r>
              <w:rPr>
                <w:b/>
                <w:sz w:val="20"/>
              </w:rPr>
              <w:t>Weeks</w:t>
            </w:r>
          </w:p>
        </w:tc>
        <w:tc>
          <w:tcPr>
            <w:tcW w:type="dxa" w:w="1872"/>
          </w:tcPr>
          <w:p>
            <w:r/>
            <w:r>
              <w:rPr>
                <w:b/>
                <w:sz w:val="20"/>
              </w:rPr>
              <w:t>Observed cells</w:t>
            </w:r>
          </w:p>
        </w:tc>
        <w:tc>
          <w:tcPr>
            <w:tcW w:type="dxa" w:w="1728"/>
          </w:tcPr>
          <w:p>
            <w:r/>
            <w:r>
              <w:rPr>
                <w:b/>
                <w:sz w:val="20"/>
              </w:rPr>
              <w:t>Role</w:t>
            </w:r>
          </w:p>
        </w:tc>
      </w:tr>
      <w:tr>
        <w:tc>
          <w:tcPr>
            <w:tcW w:type="dxa" w:w="3312"/>
          </w:tcPr>
          <w:p>
            <w:r/>
            <w:r>
              <w:rPr>
                <w:b w:val="0"/>
                <w:sz w:val="20"/>
              </w:rPr>
              <w:t>Dengue (12 countries)</w:t>
            </w:r>
          </w:p>
        </w:tc>
        <w:tc>
          <w:tcPr>
            <w:tcW w:type="dxa" w:w="1296"/>
          </w:tcPr>
          <w:p>
            <w:r/>
            <w:r>
              <w:rPr>
                <w:b w:val="0"/>
                <w:sz w:val="20"/>
              </w:rPr>
              <w:t>7,165</w:t>
            </w:r>
          </w:p>
        </w:tc>
        <w:tc>
          <w:tcPr>
            <w:tcW w:type="dxa" w:w="1152"/>
          </w:tcPr>
          <w:p>
            <w:r/>
            <w:r>
              <w:rPr>
                <w:b w:val="0"/>
                <w:sz w:val="20"/>
              </w:rPr>
              <w:t>1,409</w:t>
            </w:r>
          </w:p>
        </w:tc>
        <w:tc>
          <w:tcPr>
            <w:tcW w:type="dxa" w:w="1872"/>
          </w:tcPr>
          <w:p>
            <w:r/>
            <w:r>
              <w:rPr>
                <w:b w:val="0"/>
                <w:sz w:val="20"/>
              </w:rPr>
              <w:t>2,196,261</w:t>
            </w:r>
          </w:p>
        </w:tc>
        <w:tc>
          <w:tcPr>
            <w:tcW w:type="dxa" w:w="1728"/>
          </w:tcPr>
          <w:p>
            <w:r/>
            <w:r>
              <w:rPr>
                <w:b w:val="0"/>
                <w:sz w:val="20"/>
              </w:rPr>
              <w:t>Development</w:t>
            </w:r>
          </w:p>
        </w:tc>
      </w:tr>
      <w:tr>
        <w:tc>
          <w:tcPr>
            <w:tcW w:type="dxa" w:w="3312"/>
          </w:tcPr>
          <w:p>
            <w:r/>
            <w:r>
              <w:rPr>
                <w:b w:val="0"/>
                <w:sz w:val="20"/>
              </w:rPr>
              <w:t>Influenza — Japan</w:t>
            </w:r>
          </w:p>
        </w:tc>
        <w:tc>
          <w:tcPr>
            <w:tcW w:type="dxa" w:w="1296"/>
          </w:tcPr>
          <w:p>
            <w:r/>
            <w:r>
              <w:rPr>
                <w:b w:val="0"/>
                <w:sz w:val="20"/>
              </w:rPr>
              <w:t>47</w:t>
            </w:r>
          </w:p>
        </w:tc>
        <w:tc>
          <w:tcPr>
            <w:tcW w:type="dxa" w:w="1152"/>
          </w:tcPr>
          <w:p>
            <w:r/>
            <w:r>
              <w:rPr>
                <w:b w:val="0"/>
                <w:sz w:val="20"/>
              </w:rPr>
              <w:t>348</w:t>
            </w:r>
          </w:p>
        </w:tc>
        <w:tc>
          <w:tcPr>
            <w:tcW w:type="dxa" w:w="1872"/>
          </w:tcPr>
          <w:p>
            <w:r/>
            <w:r>
              <w:rPr>
                <w:b w:val="0"/>
                <w:sz w:val="20"/>
              </w:rPr>
              <w:t>16,356</w:t>
            </w:r>
          </w:p>
        </w:tc>
        <w:tc>
          <w:tcPr>
            <w:tcW w:type="dxa" w:w="1728"/>
          </w:tcPr>
          <w:p>
            <w:r/>
            <w:r>
              <w:rPr>
                <w:b w:val="0"/>
                <w:sz w:val="20"/>
              </w:rPr>
              <w:t>Development</w:t>
            </w:r>
          </w:p>
        </w:tc>
      </w:tr>
      <w:tr>
        <w:tc>
          <w:tcPr>
            <w:tcW w:type="dxa" w:w="3312"/>
          </w:tcPr>
          <w:p>
            <w:r/>
            <w:r>
              <w:rPr>
                <w:b w:val="0"/>
                <w:sz w:val="20"/>
              </w:rPr>
              <w:t>Influenza — US regions</w:t>
            </w:r>
          </w:p>
        </w:tc>
        <w:tc>
          <w:tcPr>
            <w:tcW w:type="dxa" w:w="1296"/>
          </w:tcPr>
          <w:p>
            <w:r/>
            <w:r>
              <w:rPr>
                <w:b w:val="0"/>
                <w:sz w:val="20"/>
              </w:rPr>
              <w:t>10</w:t>
            </w:r>
          </w:p>
        </w:tc>
        <w:tc>
          <w:tcPr>
            <w:tcW w:type="dxa" w:w="1152"/>
          </w:tcPr>
          <w:p>
            <w:r/>
            <w:r>
              <w:rPr>
                <w:b w:val="0"/>
                <w:sz w:val="20"/>
              </w:rPr>
              <w:t>785</w:t>
            </w:r>
          </w:p>
        </w:tc>
        <w:tc>
          <w:tcPr>
            <w:tcW w:type="dxa" w:w="1872"/>
          </w:tcPr>
          <w:p>
            <w:r/>
            <w:r>
              <w:rPr>
                <w:b w:val="0"/>
                <w:sz w:val="20"/>
              </w:rPr>
              <w:t>7,850</w:t>
            </w:r>
          </w:p>
        </w:tc>
        <w:tc>
          <w:tcPr>
            <w:tcW w:type="dxa" w:w="1728"/>
          </w:tcPr>
          <w:p>
            <w:r/>
            <w:r>
              <w:rPr>
                <w:b w:val="0"/>
                <w:sz w:val="20"/>
              </w:rPr>
              <w:t>Development</w:t>
            </w:r>
          </w:p>
        </w:tc>
      </w:tr>
      <w:tr>
        <w:tc>
          <w:tcPr>
            <w:tcW w:type="dxa" w:w="3312"/>
          </w:tcPr>
          <w:p>
            <w:r/>
            <w:r>
              <w:rPr>
                <w:b w:val="0"/>
                <w:sz w:val="20"/>
              </w:rPr>
              <w:t>Influenza — US states</w:t>
            </w:r>
          </w:p>
        </w:tc>
        <w:tc>
          <w:tcPr>
            <w:tcW w:type="dxa" w:w="1296"/>
          </w:tcPr>
          <w:p>
            <w:r/>
            <w:r>
              <w:rPr>
                <w:b w:val="0"/>
                <w:sz w:val="20"/>
              </w:rPr>
              <w:t>49</w:t>
            </w:r>
          </w:p>
        </w:tc>
        <w:tc>
          <w:tcPr>
            <w:tcW w:type="dxa" w:w="1152"/>
          </w:tcPr>
          <w:p>
            <w:r/>
            <w:r>
              <w:rPr>
                <w:b w:val="0"/>
                <w:sz w:val="20"/>
              </w:rPr>
              <w:t>360</w:t>
            </w:r>
          </w:p>
        </w:tc>
        <w:tc>
          <w:tcPr>
            <w:tcW w:type="dxa" w:w="1872"/>
          </w:tcPr>
          <w:p>
            <w:r/>
            <w:r>
              <w:rPr>
                <w:b w:val="0"/>
                <w:sz w:val="20"/>
              </w:rPr>
              <w:t>17,640</w:t>
            </w:r>
          </w:p>
        </w:tc>
        <w:tc>
          <w:tcPr>
            <w:tcW w:type="dxa" w:w="1728"/>
          </w:tcPr>
          <w:p>
            <w:r/>
            <w:r>
              <w:rPr>
                <w:b w:val="0"/>
                <w:sz w:val="20"/>
              </w:rPr>
              <w:t>Development</w:t>
            </w:r>
          </w:p>
        </w:tc>
      </w:tr>
      <w:tr>
        <w:tc>
          <w:tcPr>
            <w:tcW w:type="dxa" w:w="3312"/>
          </w:tcPr>
          <w:p>
            <w:r/>
            <w:r>
              <w:rPr>
                <w:b w:val="0"/>
                <w:sz w:val="20"/>
              </w:rPr>
              <w:t>Ebola (Guinea, Liberia, Sierra Leone)</w:t>
            </w:r>
          </w:p>
        </w:tc>
        <w:tc>
          <w:tcPr>
            <w:tcW w:type="dxa" w:w="1296"/>
          </w:tcPr>
          <w:p>
            <w:r/>
            <w:r>
              <w:rPr>
                <w:b w:val="0"/>
                <w:sz w:val="20"/>
              </w:rPr>
              <w:t>61</w:t>
            </w:r>
          </w:p>
        </w:tc>
        <w:tc>
          <w:tcPr>
            <w:tcW w:type="dxa" w:w="1152"/>
          </w:tcPr>
          <w:p>
            <w:r/>
            <w:r>
              <w:rPr>
                <w:b w:val="0"/>
                <w:sz w:val="20"/>
              </w:rPr>
              <w:t>52</w:t>
            </w:r>
          </w:p>
        </w:tc>
        <w:tc>
          <w:tcPr>
            <w:tcW w:type="dxa" w:w="1872"/>
          </w:tcPr>
          <w:p>
            <w:r/>
            <w:r>
              <w:rPr>
                <w:b w:val="0"/>
                <w:sz w:val="20"/>
              </w:rPr>
              <w:t>1,299</w:t>
            </w:r>
          </w:p>
        </w:tc>
        <w:tc>
          <w:tcPr>
            <w:tcW w:type="dxa" w:w="1728"/>
          </w:tcPr>
          <w:p>
            <w:r/>
            <w:r>
              <w:rPr>
                <w:b w:val="0"/>
                <w:sz w:val="20"/>
              </w:rPr>
              <w:t>Held-out, few-shot</w:t>
            </w:r>
          </w:p>
        </w:tc>
      </w:tr>
    </w:tbl>
    <w:p/>
    <w:p>
      <w:r>
        <w:rPr>
          <w:b w:val="0"/>
          <w:i w:val="0"/>
        </w:rPr>
        <w:t>The build verifies all eighteen raw inputs by checksum before it starts, runs 86 correctness gates after it finishes, and writes nothing if any gate fails. Two consecutive builds produce byte-identical outputs.</w:t>
      </w:r>
    </w:p>
    <w:p>
      <w:pPr>
        <w:pStyle w:val="Heading1"/>
      </w:pPr>
      <w:r>
        <w:t>2. What the review found, and how it was fixed</w:t>
      </w:r>
    </w:p>
    <w:p>
      <w:r>
        <w:rPr>
          <w:b w:val="0"/>
          <w:i w:val="0"/>
        </w:rPr>
        <w:t>This section is longer than we would like, because the most useful thing we can tell you about Phase 2 is not what passed but what did not — and that a green test suite was, on its own, worthless as evidence until we made its checks able to fail.</w:t>
      </w:r>
    </w:p>
    <w:p>
      <w:pPr>
        <w:pStyle w:val="Heading2"/>
      </w:pPr>
      <w:r>
        <w:t>2.1 The Ebola conversion was inventing cases</w:t>
      </w:r>
    </w:p>
    <w:p>
      <w:r>
        <w:rPr>
          <w:b w:val="0"/>
          <w:i w:val="0"/>
        </w:rPr>
        <w:t>Ebola is reported as cumulative case counts, so weekly incidence must be recovered by differencing. Our code differenced the series and clipped any negative result to zero, on the recorded reasoning that a falling cumulative count is a reporting revision. That reasoning was wrong: a cumulative count cannot fall, and where the report falls it is a single-week data-entry error. Western Area Urban, the epidemic's largest district, taken straight from the source:</w:t>
      </w:r>
    </w:p>
    <w:tbl>
      <w:tblPr>
        <w:tblW w:type="auto" w:w="0"/>
        <w:tblLook w:firstColumn="1" w:firstRow="1" w:lastColumn="0" w:lastRow="0" w:noHBand="0" w:noVBand="1" w:val="04A0"/>
      </w:tblPr>
      <w:tblGrid>
        <w:gridCol w:w="3120"/>
        <w:gridCol w:w="3120"/>
        <w:gridCol w:w="3120"/>
      </w:tblGrid>
      <w:tr>
        <w:tc>
          <w:tcPr>
            <w:tcW w:type="dxa" w:w="1728"/>
          </w:tcPr>
          <w:p>
            <w:r/>
            <w:r>
              <w:rPr>
                <w:b/>
                <w:sz w:val="20"/>
              </w:rPr>
              <w:t>Week</w:t>
            </w:r>
          </w:p>
        </w:tc>
        <w:tc>
          <w:tcPr>
            <w:tcW w:type="dxa" w:w="3168"/>
          </w:tcPr>
          <w:p>
            <w:r/>
            <w:r>
              <w:rPr>
                <w:b/>
                <w:sz w:val="20"/>
              </w:rPr>
              <w:t>Cumulative reported</w:t>
            </w:r>
          </w:p>
        </w:tc>
        <w:tc>
          <w:tcPr>
            <w:tcW w:type="dxa" w:w="4464"/>
          </w:tcPr>
          <w:p>
            <w:r/>
            <w:r>
              <w:rPr>
                <w:b/>
                <w:sz w:val="20"/>
              </w:rPr>
              <w:t>What we released as new cases</w:t>
            </w:r>
          </w:p>
        </w:tc>
      </w:tr>
      <w:tr>
        <w:tc>
          <w:tcPr>
            <w:tcW w:type="dxa" w:w="1728"/>
          </w:tcPr>
          <w:p>
            <w:r/>
            <w:r>
              <w:rPr>
                <w:b w:val="0"/>
                <w:sz w:val="20"/>
              </w:rPr>
              <w:t>2015-01-24</w:t>
            </w:r>
          </w:p>
        </w:tc>
        <w:tc>
          <w:tcPr>
            <w:tcW w:type="dxa" w:w="3168"/>
          </w:tcPr>
          <w:p>
            <w:r/>
            <w:r>
              <w:rPr>
                <w:b w:val="0"/>
                <w:sz w:val="20"/>
              </w:rPr>
              <w:t>2,612</w:t>
            </w:r>
          </w:p>
        </w:tc>
        <w:tc>
          <w:tcPr>
            <w:tcW w:type="dxa" w:w="4464"/>
          </w:tcPr>
          <w:p>
            <w:r/>
            <w:r>
              <w:rPr>
                <w:b w:val="0"/>
                <w:sz w:val="20"/>
              </w:rPr>
              <w:t>43</w:t>
            </w:r>
          </w:p>
        </w:tc>
      </w:tr>
      <w:tr>
        <w:tc>
          <w:tcPr>
            <w:tcW w:type="dxa" w:w="1728"/>
          </w:tcPr>
          <w:p>
            <w:r/>
            <w:r>
              <w:rPr>
                <w:b w:val="0"/>
                <w:sz w:val="20"/>
              </w:rPr>
              <w:t>2015-01-31</w:t>
            </w:r>
          </w:p>
        </w:tc>
        <w:tc>
          <w:tcPr>
            <w:tcW w:type="dxa" w:w="3168"/>
          </w:tcPr>
          <w:p>
            <w:r/>
            <w:r>
              <w:rPr>
                <w:b w:val="0"/>
                <w:sz w:val="20"/>
              </w:rPr>
              <w:t>613</w:t>
            </w:r>
          </w:p>
        </w:tc>
        <w:tc>
          <w:tcPr>
            <w:tcW w:type="dxa" w:w="4464"/>
          </w:tcPr>
          <w:p>
            <w:r/>
            <w:r>
              <w:rPr>
                <w:b w:val="0"/>
                <w:sz w:val="20"/>
              </w:rPr>
              <w:t>0 — recorded as a week with no cases</w:t>
            </w:r>
          </w:p>
        </w:tc>
      </w:tr>
      <w:tr>
        <w:tc>
          <w:tcPr>
            <w:tcW w:type="dxa" w:w="1728"/>
          </w:tcPr>
          <w:p>
            <w:r/>
            <w:r>
              <w:rPr>
                <w:b w:val="0"/>
                <w:sz w:val="20"/>
              </w:rPr>
              <w:t>2015-02-07</w:t>
            </w:r>
          </w:p>
        </w:tc>
        <w:tc>
          <w:tcPr>
            <w:tcW w:type="dxa" w:w="3168"/>
          </w:tcPr>
          <w:p>
            <w:r/>
            <w:r>
              <w:rPr>
                <w:b w:val="0"/>
                <w:sz w:val="20"/>
              </w:rPr>
              <w:t>631</w:t>
            </w:r>
          </w:p>
        </w:tc>
        <w:tc>
          <w:tcPr>
            <w:tcW w:type="dxa" w:w="4464"/>
          </w:tcPr>
          <w:p>
            <w:r/>
            <w:r>
              <w:rPr>
                <w:b w:val="0"/>
                <w:sz w:val="20"/>
              </w:rPr>
              <w:t>18</w:t>
            </w:r>
          </w:p>
        </w:tc>
      </w:tr>
      <w:tr>
        <w:tc>
          <w:tcPr>
            <w:tcW w:type="dxa" w:w="1728"/>
          </w:tcPr>
          <w:p>
            <w:r/>
            <w:r>
              <w:rPr>
                <w:b w:val="0"/>
                <w:sz w:val="20"/>
              </w:rPr>
              <w:t>2015-02-14</w:t>
            </w:r>
          </w:p>
        </w:tc>
        <w:tc>
          <w:tcPr>
            <w:tcW w:type="dxa" w:w="3168"/>
          </w:tcPr>
          <w:p>
            <w:r/>
            <w:r>
              <w:rPr>
                <w:b w:val="0"/>
                <w:sz w:val="20"/>
              </w:rPr>
              <w:t>2,741</w:t>
            </w:r>
          </w:p>
        </w:tc>
        <w:tc>
          <w:tcPr>
            <w:tcW w:type="dxa" w:w="4464"/>
          </w:tcPr>
          <w:p>
            <w:r/>
            <w:r>
              <w:rPr>
                <w:b w:val="0"/>
                <w:sz w:val="20"/>
              </w:rPr>
              <w:t>2,110 in a single week</w:t>
            </w:r>
          </w:p>
        </w:tc>
      </w:tr>
    </w:tbl>
    <w:p/>
    <w:p>
      <w:r>
        <w:rPr>
          <w:b w:val="0"/>
          <w:i w:val="0"/>
        </w:rPr>
        <w:t>The 613 is a typo; the series snaps back to trend a fortnight later. The clip zeroed the fall and then counted the recovery — a climb back to cases already counted once — as new incidence.</w:t>
      </w:r>
    </w:p>
    <w:p>
      <w:r>
        <w:rPr>
          <w:b w:val="0"/>
          <w:i w:val="0"/>
        </w:rPr>
        <w:t xml:space="preserve">Across the dataset this fabricated </w:t>
      </w:r>
      <w:r>
        <w:rPr>
          <w:b/>
          <w:i w:val="0"/>
        </w:rPr>
        <w:t>8,786 cases in 34 districts, 35.8 per cent of the entire Ebola target</w:t>
      </w:r>
      <w:r>
        <w:rPr>
          <w:b w:val="0"/>
          <w:i w:val="0"/>
        </w:rPr>
        <w:t>. The six largest cells in the released data were all artefacts, and the national epidemic peak was displaced from late 2014, where it belongs, to February 2015.</w:t>
      </w:r>
    </w:p>
    <w:p>
      <w:r>
        <w:rPr>
          <w:b w:val="0"/>
          <w:i w:val="0"/>
        </w:rPr>
        <w:t>The fix differences the running maximum of the cumulative series instead, which conserves the total case count exactly, and masks the corrupt weeks rather than scoring them as genuine zeros. The Ebola target now totals 24,552 cases against an independently-computed reference of 24,552, and peaks in late October 2014. Observed cells fall from 1,667 to 1,299, because the corrupt weeks are no longer counted as data — a real reduction, and the honest number.</w:t>
      </w:r>
    </w:p>
    <w:p>
      <w:pPr>
        <w:pStyle w:val="Heading2"/>
      </w:pPr>
      <w:r>
        <w:t>2.2 The dengue split was leaking across the graph</w:t>
      </w:r>
    </w:p>
    <w:p>
      <w:r>
        <w:rPr>
          <w:b w:val="0"/>
          <w:i w:val="0"/>
        </w:rPr>
        <w:t>Dengue is split chronologically, per country. Nodes whose reporting began after their country's training cut-off were being re-cut on their own timeline, which placed their training cells inside their neighbours' test period. Because a graph network aggregates over neighbours, that quietly pulled test-period data into the training pass — 475 nodes, and 31 per cent of all observed cells sitting in weeks that mixed training and test. Every node now takes its country's boundary without exception; the 475 affected nodes keep their place in the graph and are still scored, taking their country's training statistics for normalisation. No nodes and no cells were dropped.</w:t>
      </w:r>
    </w:p>
    <w:p>
      <w:pPr>
        <w:pStyle w:val="Heading2"/>
      </w:pPr>
      <w:r>
        <w:t>2.3 Two smaller corrections</w:t>
      </w:r>
    </w:p>
    <w:p>
      <w:pPr>
        <w:pStyle w:val="ListBullet"/>
      </w:pPr>
      <w:r>
        <w:t>A normalisation guard for nodes with no variation in their training window was leaving 76 dengue nodes un-normalised — on the raw scale while their neighbours were standardised. They now take their country's pooled training statistics; zero nodes are left un-normalised.</w:t>
      </w:r>
    </w:p>
    <w:p>
      <w:pPr>
        <w:pStyle w:val="ListBullet"/>
      </w:pPr>
      <w:r>
        <w:t>The influenza matrices ship undated, and an earlier calendar we assigned was 39 weeks out of phase. Investigating it, we established that the two US matrices are not merely consistent with CDC ILINet — they are ILINet, verified to the case (759 of 785 rows identical across all ten regions; 97.5 per cent of state cells). The calendar is now proven, not argued, and the datasets cite ILINet at a known vintage rather than a reconstruction.</w:t>
      </w:r>
    </w:p>
    <w:p>
      <w:pPr>
        <w:pStyle w:val="Heading2"/>
      </w:pPr>
      <w:r>
        <w:t>2.4 Why the tests did not catch the first two</w:t>
      </w:r>
    </w:p>
    <w:p>
      <w:r>
        <w:rPr>
          <w:b w:val="0"/>
          <w:i w:val="0"/>
        </w:rPr>
        <w:t>Both major defects passed a suite of 83 gates. That is worth dwelling on: the number of passing tests was, by itself, worth nothing as evidence. The suite had no check comparing the weekly conversion against anything the conversion had not itself produced, and no check that the split honoured the rule our own documentation claimed for it. Both were invisible for the same reason — the tests were written from the same understanding as the code.</w:t>
      </w:r>
    </w:p>
    <w:p>
      <w:r>
        <w:rPr>
          <w:b w:val="0"/>
          <w:i w:val="0"/>
        </w:rPr>
        <w:t>There are now three more gates: one checks the weekly series against a case count computed directly from the source column; one checks that no week mixes training and test data; and one checks that the Ebola support set is calendar-causal (Section 3.3). Each was written before its fix and confirmed to fail on the broken build, and each carries a deliberately planted defect it must detect. A test that has never failed proves nothing. The suite now stands at 86 gates and six such negative controls.</w:t>
      </w:r>
    </w:p>
    <w:p>
      <w:pPr>
        <w:pStyle w:val="Heading1"/>
      </w:pPr>
      <w:r>
        <w:t>3. Decisions, now settled</w:t>
      </w:r>
    </w:p>
    <w:p>
      <w:r>
        <w:rPr>
          <w:b w:val="0"/>
          <w:i w:val="0"/>
        </w:rPr>
        <w:t>Four questions required your judgement. All four are resolved and reflected in the released build; each is recorded here with its reasoning, and any of them can still be overruled.</w:t>
      </w:r>
    </w:p>
    <w:p>
      <w:pPr>
        <w:pStyle w:val="Heading2"/>
      </w:pPr>
      <w:r>
        <w:t>3.1 Dengue spatial resolution — approved as built</w:t>
      </w:r>
    </w:p>
    <w:p>
      <w:r>
        <w:rPr>
          <w:b w:val="0"/>
          <w:i w:val="0"/>
        </w:rPr>
        <w:t>We had agreed Admin-1 (provinces and states); we built the finest resolution each country can actually support, which is Admin-2 for most. The reason is Brazil: it has no Admin-1 weekly data at all in this extract, so an Admin-1 dataset would have excluded the largest dengue signal in the world and taken Colombia's modern series with it. The cost is that the dataset grows to 7,165 nodes with Brazil supplying 77 per cent of them; the intended remedy is a metric that averages within each country before averaging across countries, which is modelling-phase work and not yet built.</w:t>
      </w:r>
    </w:p>
    <w:p>
      <w:r>
        <w:rPr>
          <w:b/>
        </w:rPr>
        <w:t>☑  Approved: finest-available resolution per country.</w:t>
      </w:r>
    </w:p>
    <w:p>
      <w:pPr>
        <w:pStyle w:val="Heading2"/>
      </w:pPr>
      <w:r>
        <w:t>3.2 Dengue case definitions over time — accepted as built, disclosed</w:t>
      </w:r>
    </w:p>
    <w:p>
      <w:r>
        <w:rPr>
          <w:b w:val="0"/>
          <w:i w:val="0"/>
        </w:rPr>
        <w:t>An earlier draft flagged five countries as changing their case definition mid-series, with multipliers up to 220-fold, and asked you to choose a remedy. We then measured each figure against the data that actually enters the model, and the picture is far milder — the multipliers came from grouping the raw source file by definition, and are not properties of any node's time series.</w:t>
      </w:r>
    </w:p>
    <w:tbl>
      <w:tblPr>
        <w:tblW w:type="auto" w:w="0"/>
        <w:tblLook w:firstColumn="1" w:firstRow="1" w:lastColumn="0" w:lastRow="0" w:noHBand="0" w:noVBand="1" w:val="04A0"/>
      </w:tblPr>
      <w:tblGrid>
        <w:gridCol w:w="3120"/>
        <w:gridCol w:w="3120"/>
        <w:gridCol w:w="3120"/>
      </w:tblGrid>
      <w:tr>
        <w:tc>
          <w:tcPr>
            <w:tcW w:type="dxa" w:w="2448"/>
          </w:tcPr>
          <w:p>
            <w:r/>
            <w:r>
              <w:rPr>
                <w:b/>
                <w:sz w:val="20"/>
              </w:rPr>
              <w:t>Country</w:t>
            </w:r>
          </w:p>
        </w:tc>
        <w:tc>
          <w:tcPr>
            <w:tcW w:type="dxa" w:w="2448"/>
          </w:tcPr>
          <w:p>
            <w:r/>
            <w:r>
              <w:rPr>
                <w:b/>
                <w:sz w:val="20"/>
              </w:rPr>
              <w:t>Earlier draft claimed</w:t>
            </w:r>
          </w:p>
        </w:tc>
        <w:tc>
          <w:tcPr>
            <w:tcW w:type="dxa" w:w="4464"/>
          </w:tcPr>
          <w:p>
            <w:r/>
            <w:r>
              <w:rPr>
                <w:b/>
                <w:sz w:val="20"/>
              </w:rPr>
              <w:t>Measured on the extracted data</w:t>
            </w:r>
          </w:p>
        </w:tc>
      </w:tr>
      <w:tr>
        <w:tc>
          <w:tcPr>
            <w:tcW w:type="dxa" w:w="2448"/>
          </w:tcPr>
          <w:p>
            <w:r/>
            <w:r>
              <w:rPr>
                <w:b w:val="0"/>
                <w:sz w:val="20"/>
              </w:rPr>
              <w:t>Peru</w:t>
            </w:r>
          </w:p>
        </w:tc>
        <w:tc>
          <w:tcPr>
            <w:tcW w:type="dxa" w:w="2448"/>
          </w:tcPr>
          <w:p>
            <w:r/>
            <w:r>
              <w:rPr>
                <w:b w:val="0"/>
                <w:sz w:val="20"/>
              </w:rPr>
              <w:t>×220</w:t>
            </w:r>
          </w:p>
        </w:tc>
        <w:tc>
          <w:tcPr>
            <w:tcW w:type="dxa" w:w="4464"/>
          </w:tcPr>
          <w:p>
            <w:r/>
            <w:r>
              <w:rPr>
                <w:b w:val="0"/>
                <w:sz w:val="20"/>
              </w:rPr>
              <w:t>no change — single definition throughout</w:t>
            </w:r>
          </w:p>
        </w:tc>
      </w:tr>
      <w:tr>
        <w:tc>
          <w:tcPr>
            <w:tcW w:type="dxa" w:w="2448"/>
          </w:tcPr>
          <w:p>
            <w:r/>
            <w:r>
              <w:rPr>
                <w:b w:val="0"/>
                <w:sz w:val="20"/>
              </w:rPr>
              <w:t>Dominican Republic</w:t>
            </w:r>
          </w:p>
        </w:tc>
        <w:tc>
          <w:tcPr>
            <w:tcW w:type="dxa" w:w="2448"/>
          </w:tcPr>
          <w:p>
            <w:r/>
            <w:r>
              <w:rPr>
                <w:b w:val="0"/>
                <w:sz w:val="20"/>
              </w:rPr>
              <w:t>×48</w:t>
            </w:r>
          </w:p>
        </w:tc>
        <w:tc>
          <w:tcPr>
            <w:tcW w:type="dxa" w:w="4464"/>
          </w:tcPr>
          <w:p>
            <w:r/>
            <w:r>
              <w:rPr>
                <w:b w:val="0"/>
                <w:sz w:val="20"/>
              </w:rPr>
              <w:t>no change — single definition throughout</w:t>
            </w:r>
          </w:p>
        </w:tc>
      </w:tr>
      <w:tr>
        <w:tc>
          <w:tcPr>
            <w:tcW w:type="dxa" w:w="2448"/>
          </w:tcPr>
          <w:p>
            <w:r/>
            <w:r>
              <w:rPr>
                <w:b w:val="0"/>
                <w:sz w:val="20"/>
              </w:rPr>
              <w:t>Mexico</w:t>
            </w:r>
          </w:p>
        </w:tc>
        <w:tc>
          <w:tcPr>
            <w:tcW w:type="dxa" w:w="2448"/>
          </w:tcPr>
          <w:p>
            <w:r/>
            <w:r>
              <w:rPr>
                <w:b w:val="0"/>
                <w:sz w:val="20"/>
              </w:rPr>
              <w:t>×13</w:t>
            </w:r>
          </w:p>
        </w:tc>
        <w:tc>
          <w:tcPr>
            <w:tcW w:type="dxa" w:w="4464"/>
          </w:tcPr>
          <w:p>
            <w:r/>
            <w:r>
              <w:rPr>
                <w:b w:val="0"/>
                <w:sz w:val="20"/>
              </w:rPr>
              <w:t>2.8× step across the split</w:t>
            </w:r>
          </w:p>
        </w:tc>
      </w:tr>
      <w:tr>
        <w:tc>
          <w:tcPr>
            <w:tcW w:type="dxa" w:w="2448"/>
          </w:tcPr>
          <w:p>
            <w:r/>
            <w:r>
              <w:rPr>
                <w:b w:val="0"/>
                <w:sz w:val="20"/>
              </w:rPr>
              <w:t>Bolivia</w:t>
            </w:r>
          </w:p>
        </w:tc>
        <w:tc>
          <w:tcPr>
            <w:tcW w:type="dxa" w:w="2448"/>
          </w:tcPr>
          <w:p>
            <w:r/>
            <w:r>
              <w:rPr>
                <w:b w:val="0"/>
                <w:sz w:val="20"/>
              </w:rPr>
              <w:t>×11</w:t>
            </w:r>
          </w:p>
        </w:tc>
        <w:tc>
          <w:tcPr>
            <w:tcW w:type="dxa" w:w="4464"/>
          </w:tcPr>
          <w:p>
            <w:r/>
            <w:r>
              <w:rPr>
                <w:b w:val="0"/>
                <w:sz w:val="20"/>
              </w:rPr>
              <w:t>1.6×, and the change sits inside training</w:t>
            </w:r>
          </w:p>
        </w:tc>
      </w:tr>
      <w:tr>
        <w:tc>
          <w:tcPr>
            <w:tcW w:type="dxa" w:w="2448"/>
          </w:tcPr>
          <w:p>
            <w:r/>
            <w:r>
              <w:rPr>
                <w:b w:val="0"/>
                <w:sz w:val="20"/>
              </w:rPr>
              <w:t>Panama</w:t>
            </w:r>
          </w:p>
        </w:tc>
        <w:tc>
          <w:tcPr>
            <w:tcW w:type="dxa" w:w="2448"/>
          </w:tcPr>
          <w:p>
            <w:r/>
            <w:r>
              <w:rPr>
                <w:b w:val="0"/>
                <w:sz w:val="20"/>
              </w:rPr>
              <w:t>×7</w:t>
            </w:r>
          </w:p>
        </w:tc>
        <w:tc>
          <w:tcPr>
            <w:tcW w:type="dxa" w:w="4464"/>
          </w:tcPr>
          <w:p>
            <w:r/>
            <w:r>
              <w:rPr>
                <w:b w:val="0"/>
                <w:sz w:val="20"/>
              </w:rPr>
              <w:t>one node, negligible</w:t>
            </w:r>
          </w:p>
        </w:tc>
      </w:tr>
    </w:tbl>
    <w:p/>
    <w:p>
      <w:r>
        <w:rPr>
          <w:b w:val="0"/>
          <w:i w:val="0"/>
        </w:rPr>
        <w:t>Peru's “×220” was a 52-row sliver of a differently-labelled series the extract never selected; the built Peru data is entirely one definition. The genuine exposure is Mexico (a 2.8× step, part definition-change and part twenty years of real dengue growth) and Bolivia (1.6×, mild, and the model already trains on the later definition) — 41 of 7,165 nodes in total. A shift that small, partly genuine trend, does not justify discarding Mexico's twenty-year history.</w:t>
      </w:r>
    </w:p>
    <w:p>
      <w:r>
        <w:rPr>
          <w:b/>
        </w:rPr>
        <w:t>☑  Decided: kept as built and disclosed; any Mexico or Bolivia result read with the step in mind.</w:t>
      </w:r>
    </w:p>
    <w:p>
      <w:pPr>
        <w:pStyle w:val="Heading2"/>
      </w:pPr>
      <w:r>
        <w:t>3.3 Ebola few-shot protocol — made calendar-causal</w:t>
      </w:r>
    </w:p>
    <w:p>
      <w:r>
        <w:rPr>
          <w:b w:val="0"/>
          <w:i w:val="0"/>
        </w:rPr>
        <w:t>The support set was the first two observed weeks of each district. Because districts enter the record at very different dates, that was not calendar-causal: 85 per cent of the evaluation cells lay earlier in time than the last support cell, so the normalisation of an early district's data drew on another district's peak-epidemic magnitudes — the model was handed a hint about how large the outbreak would get. The support set is now a calendar prefix: every observed cell dated on or before a fixed cutoff of 2014-05-24 is support, everything after is evaluation. This is causal by construction, and enforced on every build by a new gate.</w:t>
      </w:r>
    </w:p>
    <w:tbl>
      <w:tblPr>
        <w:tblW w:type="auto" w:w="0"/>
        <w:tblLook w:firstColumn="1" w:firstRow="1" w:lastColumn="0" w:lastRow="0" w:noHBand="0" w:noVBand="1" w:val="04A0"/>
      </w:tblPr>
      <w:tblGrid>
        <w:gridCol w:w="4680"/>
        <w:gridCol w:w="4680"/>
      </w:tblGrid>
      <w:tr>
        <w:tc>
          <w:tcPr>
            <w:tcW w:type="dxa" w:w="4320"/>
          </w:tcPr>
          <w:p>
            <w:r/>
            <w:r>
              <w:rPr>
                <w:b/>
                <w:sz w:val="20"/>
              </w:rPr>
              <w:t>Support cells</w:t>
            </w:r>
          </w:p>
        </w:tc>
        <w:tc>
          <w:tcPr>
            <w:tcW w:type="dxa" w:w="5040"/>
          </w:tcPr>
          <w:p>
            <w:r/>
            <w:r>
              <w:rPr>
                <w:b/>
                <w:sz w:val="20"/>
              </w:rPr>
              <w:t>27 (the 9 districts reporting by 2014-05-24)</w:t>
            </w:r>
          </w:p>
        </w:tc>
      </w:tr>
      <w:tr>
        <w:tc>
          <w:tcPr>
            <w:tcW w:type="dxa" w:w="4320"/>
          </w:tcPr>
          <w:p>
            <w:r/>
            <w:r>
              <w:rPr>
                <w:b w:val="0"/>
                <w:sz w:val="20"/>
              </w:rPr>
              <w:t>Evaluation cells</w:t>
            </w:r>
          </w:p>
        </w:tc>
        <w:tc>
          <w:tcPr>
            <w:tcW w:type="dxa" w:w="5040"/>
          </w:tcPr>
          <w:p>
            <w:r/>
            <w:r>
              <w:rPr>
                <w:b w:val="0"/>
                <w:sz w:val="20"/>
              </w:rPr>
              <w:t>1,272</w:t>
            </w:r>
          </w:p>
        </w:tc>
      </w:tr>
      <w:tr>
        <w:tc>
          <w:tcPr>
            <w:tcW w:type="dxa" w:w="4320"/>
          </w:tcPr>
          <w:p>
            <w:r/>
            <w:r>
              <w:rPr>
                <w:b w:val="0"/>
                <w:sz w:val="20"/>
              </w:rPr>
              <w:t>Districts evaluated</w:t>
            </w:r>
          </w:p>
        </w:tc>
        <w:tc>
          <w:tcPr>
            <w:tcW w:type="dxa" w:w="5040"/>
          </w:tcPr>
          <w:p>
            <w:r/>
            <w:r>
              <w:rPr>
                <w:b w:val="0"/>
                <w:sz w:val="20"/>
              </w:rPr>
              <w:t>61 of 61</w:t>
            </w:r>
          </w:p>
        </w:tc>
      </w:tr>
      <w:tr>
        <w:tc>
          <w:tcPr>
            <w:tcW w:type="dxa" w:w="4320"/>
          </w:tcPr>
          <w:p>
            <w:r/>
            <w:r>
              <w:rPr>
                <w:b w:val="0"/>
                <w:sz w:val="20"/>
              </w:rPr>
              <w:t>Districts with no support (pure zero-shot)</w:t>
            </w:r>
          </w:p>
        </w:tc>
        <w:tc>
          <w:tcPr>
            <w:tcW w:type="dxa" w:w="5040"/>
          </w:tcPr>
          <w:p>
            <w:r/>
            <w:r>
              <w:rPr>
                <w:b w:val="0"/>
                <w:sz w:val="20"/>
              </w:rPr>
              <w:t>52 of 61</w:t>
            </w:r>
          </w:p>
        </w:tc>
      </w:tr>
    </w:tbl>
    <w:p/>
    <w:p>
      <w:r>
        <w:rPr>
          <w:b w:val="0"/>
          <w:i w:val="0"/>
        </w:rPr>
        <w:t>That most districts are zero-shot is not a defect — it is the genuine emerging-outbreak problem, and arguably the paper's real contribution: the model must forecast a district it has never seen, from the graph and the few districts that reported early.</w:t>
      </w:r>
    </w:p>
    <w:p>
      <w:r>
        <w:rPr>
          <w:b/>
        </w:rPr>
        <w:t>☑  Decided: calendar-prefix support, cutoff 2014-05-24 (the window size may widen in a later revision).</w:t>
      </w:r>
    </w:p>
    <w:p>
      <w:pPr>
        <w:pStyle w:val="Heading2"/>
      </w:pPr>
      <w:r>
        <w:t>3.4 Ebola gap-lumping — disclose and proceed</w:t>
      </w:r>
    </w:p>
    <w:p>
      <w:r>
        <w:rPr>
          <w:b w:val="0"/>
          <w:i w:val="0"/>
        </w:rPr>
        <w:t>Differencing a cumulative series recovers how many cases accrued between two reports, but not when within that interval they occurred. Where a district falls silent and then files, the whole multi-week increment lands on the week the report arrived — seven per cent of intervals exceed one week, the longest gap is 24 weeks, and Montserrado carries 1,428 cases on the week of 2014-10-25. No cases are invented and the epidemic curve is correctly shaped, but the peaks are inflated and the quiet weeks either side flattened.</w:t>
      </w:r>
    </w:p>
    <w:p>
      <w:r>
        <w:rPr>
          <w:b/>
        </w:rPr>
        <w:t>☑  Decided: disclose and proceed — the shape is right, and the alternatives (spreading an increment across its gap, or scoring only contiguous runs) cost more than the distortion. Any weekly Ebola magnitude is quoted with this stated.</w:t>
      </w:r>
    </w:p>
    <w:p>
      <w:pPr>
        <w:pStyle w:val="Heading1"/>
      </w:pPr>
      <w:r>
        <w:t>4. Decisions taken during the build</w:t>
      </w:r>
    </w:p>
    <w:p>
      <w:r>
        <w:rPr>
          <w:b w:val="0"/>
          <w:i w:val="0"/>
        </w:rPr>
        <w:t>These were not anticipated in the original plan but had to be resolved to build anything. None is baked into the raw files and all are reversible; each is documented with its evidence in the audit note. They are listed so nothing affecting the data is discovered later by reading the code.</w:t>
      </w:r>
    </w:p>
    <w:p>
      <w:pPr>
        <w:pStyle w:val="Heading2"/>
      </w:pPr>
      <w:r>
        <w:t>Ebola — the first observed week of every district is masked</w:t>
      </w:r>
    </w:p>
    <w:p>
      <w:r>
        <w:rPr>
          <w:b w:val="0"/>
          <w:i w:val="0"/>
        </w:rPr>
        <w:t>The original method assigned each district's entire cumulative total to date as its first week's new cases. Because the compilation opens months into an outbreak already under way, this fabricated a backlog for every district and fed it into the normalisation of the whole held-out disease. At a district's first report there is nothing to subtract from, so the increment does not exist and the week is marked unobserved. Cost: 61 cells.</w:t>
      </w:r>
    </w:p>
    <w:p>
      <w:pPr>
        <w:pStyle w:val="Heading2"/>
      </w:pPr>
      <w:r>
        <w:t>Taiwan aggregated from townships to counties</w:t>
      </w:r>
    </w:p>
    <w:p>
      <w:r>
        <w:rPr>
          <w:b w:val="0"/>
          <w:i w:val="0"/>
        </w:rPr>
        <w:t>The shapefile has no township layer for Taiwan and no coarser data to fall back on, so its 287 townships were summed into their 22 parent counties. Townships partition counties exactly, so the sum is exact. The alternative was to drop Taiwan.</w:t>
      </w:r>
    </w:p>
    <w:p>
      <w:pPr>
        <w:pStyle w:val="Heading2"/>
      </w:pPr>
      <w:r>
        <w:t>The influenza self-connections were removed</w:t>
      </w:r>
    </w:p>
    <w:p>
      <w:r>
        <w:rPr>
          <w:b w:val="0"/>
          <w:i w:val="0"/>
        </w:rPr>
        <w:t>The published influenza graphs give every node a connection to itself; ours do not. Left as shipped, influenza nodes would carry twice the self-weight of dengue nodes inside the shared model — a structural signature the model could use to tell which disease it was looking at. The real edges are reused unchanged, so comparability with the published baselines holds.</w:t>
      </w:r>
    </w:p>
    <w:p>
      <w:pPr>
        <w:pStyle w:val="Heading2"/>
      </w:pPr>
      <w:r>
        <w:t>The Ebola graph keeps its cross-border connections</w:t>
      </w:r>
    </w:p>
    <w:p>
      <w:r>
        <w:rPr>
          <w:b w:val="0"/>
          <w:i w:val="0"/>
        </w:rPr>
        <w:t>Guinea, Liberia and Sierra Leone are contiguous, and the 2014 epidemic was a single outbreak that spread across them; a country-separated graph would sever exactly the edges that carry the signal. Twenty-one cross-border edges are verified present on every build.</w:t>
      </w:r>
    </w:p>
    <w:p>
      <w:pPr>
        <w:pStyle w:val="Heading2"/>
      </w:pPr>
      <w:r>
        <w:t>Ebola — three Sierra Leonean labels that are not districts</w:t>
      </w:r>
    </w:p>
    <w:p>
      <w:r>
        <w:rPr>
          <w:b w:val="0"/>
          <w:i w:val="0"/>
        </w:rPr>
        <w:t>Sierra Leone reports seventeen labels but has fourteen districts. 'Port' was 'Port Loko' under a truncated label and was merged. 'Western Area' is the parent of two districts we already hold and overlaps them in time, so keeping it would triple-count; it was dropped, and its two children (Urban and Rural) retained — a distinction that matters, since Western Area Urban, Freetown, is the epidemic's largest district and behaves nothing like the rural remainder.</w:t>
      </w:r>
    </w:p>
    <w:p>
      <w:pPr>
        <w:pStyle w:val="Heading2"/>
      </w:pPr>
      <w:r>
        <w:t>Dengue splits are cut per country</w:t>
      </w:r>
    </w:p>
    <w:p>
      <w:r>
        <w:rPr>
          <w:b w:val="0"/>
          <w:i w:val="0"/>
        </w:rPr>
        <w:t>A single global cut would have given zero training data to Brazil, Japan, Ecuador, Panama and Argentina — every country whose reporting begins after the cut — silently, with no error raised.</w:t>
      </w:r>
    </w:p>
    <w:p>
      <w:pPr>
        <w:pStyle w:val="Heading2"/>
      </w:pPr>
      <w:r>
        <w:t>Geographic covariates are withheld from the shared model</w:t>
      </w:r>
    </w:p>
    <w:p>
      <w:r>
        <w:rPr>
          <w:b w:val="0"/>
          <w:i w:val="0"/>
        </w:rPr>
        <w:t>Every node carries its centroid and area, deliberately not exposed to the shared cross-disease model: the three diseases occupy disjoint parts of the world, so a coordinate identifies the disease outright. Single-disease models may use them freely.</w:t>
      </w:r>
    </w:p>
    <w:p>
      <w:pPr>
        <w:pStyle w:val="Heading1"/>
      </w:pPr>
      <w:r>
        <w:t>5. How the results must be read</w:t>
      </w:r>
    </w:p>
    <w:p>
      <w:r>
        <w:rPr>
          <w:b w:val="0"/>
          <w:i w:val="0"/>
        </w:rPr>
        <w:t>No decision is required on these, but they must be understood before any number is quoted.</w:t>
      </w:r>
    </w:p>
    <w:p>
      <w:pPr>
        <w:pStyle w:val="ListBullet"/>
      </w:pPr>
      <w:r>
        <w:t>Twenty-nine of Japan's forty-seven prefectures report zero dengue, always. Those zeros are true — dengue is not endemic in Japan — and the nodes are kept as valid graph neighbours, but 62 per cent of Japan's nodes are trivially predictable, so any table reporting Japan must say so.</w:t>
      </w:r>
    </w:p>
    <w:p>
      <w:pPr>
        <w:pStyle w:val="ListBullet"/>
      </w:pPr>
      <w:r>
        <w:t>The dengue graph forbids connections between countries. We originally justified this on the grounds that the countries are not adjacent; they are — Brazil borders four of them — so the construction severs real transmission corridors. It stands as a deliberate simplification that keeps mixed spatial resolutions safe to combine, not as a geographic fact.</w:t>
      </w:r>
    </w:p>
    <w:p>
      <w:pPr>
        <w:pStyle w:val="ListBullet"/>
      </w:pPr>
      <w:r>
        <w:t>Two Japanese node identities (Kōchi and Kagawa) rest on a thinner signal than the other forty-five; a transposition would change no model result, as the two are interchangeable within the graph. Recorded honestly rather than presented as certain.</w:t>
      </w:r>
    </w:p>
    <w:p>
      <w:pPr>
        <w:pStyle w:val="ListBullet"/>
      </w:pPr>
      <w:r>
        <w:t>The Japanese influenza calendar is the one anchor still resting on seasonal phase alone, not a row-level identification. Pinning it against Japanese sentinel data is recommended before the influenza numbers are published.</w:t>
      </w:r>
    </w:p>
    <w:p>
      <w:pPr>
        <w:pStyle w:val="Heading1"/>
      </w:pPr>
      <w:r>
        <w:t>6. What happens next</w:t>
      </w:r>
    </w:p>
    <w:p>
      <w:r>
        <w:rPr>
          <w:b w:val="0"/>
          <w:i w:val="0"/>
        </w:rPr>
        <w:t>The pipeline is finished, the datasets are built, and all four decisions in Section 3 are settled, so the modelling phase is unblocked. Two provenance refinements remain worthwhile before any influenza or Ebola number is published — pinning the Japanese calendar, and promoting the Brazil name-to-code check to a build gate — but neither blocks modelling, and both are recorded so they are not forgotten.</w:t>
      </w:r>
    </w:p>
    <w:p>
      <w:r>
        <w:rPr>
          <w:b w:val="0"/>
          <w:i w:val="0"/>
        </w:rPr>
        <w:t>What we would ask you to take from this report is less any single number than the way it was arrived at: the figures here are the ones that survived being measured against the released data, not the ones that first looked right.</w:t>
      </w:r>
    </w:p>
    <w:p/>
    <w:p>
      <w:pPr>
        <w:pStyle w:val="Heading1"/>
      </w:pPr>
      <w:r>
        <w:t>Decisions on record</w:t>
      </w:r>
    </w:p>
    <w:tbl>
      <w:tblPr>
        <w:tblW w:type="auto" w:w="0"/>
        <w:tblLook w:firstColumn="1" w:firstRow="1" w:lastColumn="0" w:lastRow="0" w:noHBand="0" w:noVBand="1" w:val="04A0"/>
      </w:tblPr>
      <w:tblGrid>
        <w:gridCol w:w="4680"/>
        <w:gridCol w:w="4680"/>
      </w:tblGrid>
      <w:tr>
        <w:tc>
          <w:tcPr>
            <w:tcW w:type="dxa" w:w="3744"/>
          </w:tcPr>
          <w:p>
            <w:r/>
            <w:r>
              <w:rPr>
                <w:b/>
                <w:sz w:val="20"/>
              </w:rPr>
              <w:t>Item</w:t>
            </w:r>
          </w:p>
        </w:tc>
        <w:tc>
          <w:tcPr>
            <w:tcW w:type="dxa" w:w="5616"/>
          </w:tcPr>
          <w:p>
            <w:r/>
            <w:r>
              <w:rPr>
                <w:b/>
                <w:sz w:val="20"/>
              </w:rPr>
              <w:t>Decision</w:t>
            </w:r>
          </w:p>
        </w:tc>
      </w:tr>
      <w:tr>
        <w:tc>
          <w:tcPr>
            <w:tcW w:type="dxa" w:w="3744"/>
          </w:tcPr>
          <w:p>
            <w:r/>
            <w:r>
              <w:rPr>
                <w:b w:val="0"/>
                <w:sz w:val="20"/>
              </w:rPr>
              <w:t>A1 — dengue spatial resolution</w:t>
            </w:r>
          </w:p>
        </w:tc>
        <w:tc>
          <w:tcPr>
            <w:tcW w:type="dxa" w:w="5616"/>
          </w:tcPr>
          <w:p>
            <w:r/>
            <w:r>
              <w:rPr>
                <w:b w:val="0"/>
                <w:sz w:val="20"/>
              </w:rPr>
              <w:t>Approved — finest-available per country</w:t>
            </w:r>
          </w:p>
        </w:tc>
      </w:tr>
      <w:tr>
        <w:tc>
          <w:tcPr>
            <w:tcW w:type="dxa" w:w="3744"/>
          </w:tcPr>
          <w:p>
            <w:r/>
            <w:r>
              <w:rPr>
                <w:b w:val="0"/>
                <w:sz w:val="20"/>
              </w:rPr>
              <w:t>A2 — dengue case definitions</w:t>
            </w:r>
          </w:p>
        </w:tc>
        <w:tc>
          <w:tcPr>
            <w:tcW w:type="dxa" w:w="5616"/>
          </w:tcPr>
          <w:p>
            <w:r/>
            <w:r>
              <w:rPr>
                <w:b w:val="0"/>
                <w:sz w:val="20"/>
              </w:rPr>
              <w:t>Accepted as built, disclosed (2.8× / 1.6× on 41 nodes)</w:t>
            </w:r>
          </w:p>
        </w:tc>
      </w:tr>
      <w:tr>
        <w:tc>
          <w:tcPr>
            <w:tcW w:type="dxa" w:w="3744"/>
          </w:tcPr>
          <w:p>
            <w:r/>
            <w:r>
              <w:rPr>
                <w:b w:val="0"/>
                <w:sz w:val="20"/>
              </w:rPr>
              <w:t>A3 — Ebola few-shot protocol</w:t>
            </w:r>
          </w:p>
        </w:tc>
        <w:tc>
          <w:tcPr>
            <w:tcW w:type="dxa" w:w="5616"/>
          </w:tcPr>
          <w:p>
            <w:r/>
            <w:r>
              <w:rPr>
                <w:b w:val="0"/>
                <w:sz w:val="20"/>
              </w:rPr>
              <w:t>Calendar-prefix support, cutoff 2014-05-24</w:t>
            </w:r>
          </w:p>
        </w:tc>
      </w:tr>
      <w:tr>
        <w:tc>
          <w:tcPr>
            <w:tcW w:type="dxa" w:w="3744"/>
          </w:tcPr>
          <w:p>
            <w:r/>
            <w:r>
              <w:rPr>
                <w:b w:val="0"/>
                <w:sz w:val="20"/>
              </w:rPr>
              <w:t>A4 — Ebola gap-lumping</w:t>
            </w:r>
          </w:p>
        </w:tc>
        <w:tc>
          <w:tcPr>
            <w:tcW w:type="dxa" w:w="5616"/>
          </w:tcPr>
          <w:p>
            <w:r/>
            <w:r>
              <w:rPr>
                <w:b w:val="0"/>
                <w:sz w:val="20"/>
              </w:rPr>
              <w:t>Disclose and proceed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760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7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