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356F1B">
      <w:pPr>
        <w:pStyle w:val="36"/>
      </w:pPr>
      <w:r>
        <w:t>Encoder Architecture Decision</w:t>
      </w:r>
    </w:p>
    <w:p w14:paraId="75468602">
      <w:r>
        <w:rPr>
          <w:i/>
        </w:rPr>
        <w:t>Phase 3</w:t>
      </w:r>
      <w:r>
        <w:rPr>
          <w:rFonts w:hint="default"/>
          <w:i/>
          <w:lang w:val="en-US"/>
        </w:rPr>
        <w:t xml:space="preserve">, </w:t>
      </w:r>
      <w:r>
        <w:rPr>
          <w:i/>
        </w:rPr>
        <w:t>2026-07-20</w:t>
      </w:r>
    </w:p>
    <w:p w14:paraId="114AC584">
      <w:pPr>
        <w:pStyle w:val="2"/>
      </w:pPr>
      <w:r>
        <w:t>1. Objective</w:t>
      </w:r>
    </w:p>
    <w:p w14:paraId="21CF5A9D">
      <w:r>
        <w:t>This note walks through how we compared candidate architectures for the framework’s shared spatio-temporal encoder, and why we ended up choosing the design we did. This encoder is the disease-agnostic representation that single-disease training, multi-disease joint training, and later few-shot adaptation to Ebola all depend on, so getting it right matters more than most of the other decisions in this phase.</w:t>
      </w:r>
    </w:p>
    <w:p w14:paraId="7E41D531">
      <w:pPr>
        <w:pStyle w:val="2"/>
      </w:pPr>
      <w:r>
        <w:t>2. Candidates Compared</w:t>
      </w:r>
    </w:p>
    <w:p w14:paraId="07B781D2">
      <w:r>
        <w:t>We looked at five candidate designs: three architecture families drawn from the epidemic-forecasting literature, and two complete architectures from papers published recently.</w:t>
      </w:r>
    </w:p>
    <w:p w14:paraId="1BF0E1D0">
      <w:pPr>
        <w:pStyle w:val="23"/>
      </w:pPr>
      <w:r>
        <w:rPr>
          <w:b/>
        </w:rPr>
        <w:t xml:space="preserve">A: Dilated convolution + GCN. </w:t>
      </w:r>
      <w:r>
        <w:t>A dilated causal-convolution temporal encoder paired with graph convolution, producing all four forecast horizons in one forward pass. This is the same family as the MTGNN and EpiGNN models we use as comparators.</w:t>
      </w:r>
    </w:p>
    <w:p w14:paraId="1229838D">
      <w:pPr>
        <w:pStyle w:val="23"/>
      </w:pPr>
      <w:r>
        <w:rPr>
          <w:b/>
        </w:rPr>
        <w:t xml:space="preserve">B: Recurrent network + graph attention. </w:t>
      </w:r>
      <w:r>
        <w:t>A GRU/LSTM temporal encoder paired with graph attention. This is the family Cola-GNN comes from.</w:t>
      </w:r>
    </w:p>
    <w:p w14:paraId="6BDCBFCD">
      <w:pPr>
        <w:pStyle w:val="23"/>
      </w:pPr>
      <w:r>
        <w:rPr>
          <w:b/>
        </w:rPr>
        <w:t xml:space="preserve">C: Temporal transformer + GNN. </w:t>
      </w:r>
      <w:r>
        <w:t>A transformer on the temporal side, paired with a graph neural network.</w:t>
      </w:r>
    </w:p>
    <w:p w14:paraId="6C0F10D5">
      <w:pPr>
        <w:pStyle w:val="23"/>
      </w:pPr>
      <w:r>
        <w:rPr>
          <w:b/>
        </w:rPr>
        <w:t xml:space="preserve">D: ST-GAT (published). </w:t>
      </w:r>
      <w:r>
        <w:t>A recent paper’s architecture combining relation-specific graph attention, over both geographic and mobility-derived connections, with causal temporal self-attention and a distribution-aware output layer.</w:t>
      </w:r>
    </w:p>
    <w:p w14:paraId="22ABD357">
      <w:pPr>
        <w:pStyle w:val="23"/>
      </w:pPr>
      <w:r>
        <w:rPr>
          <w:b/>
        </w:rPr>
        <w:t xml:space="preserve">E: HeatGNN (published). </w:t>
      </w:r>
      <w:r>
        <w:t>Another recent paper’s architecture. It adds a mechanistic SIR model on top of a graph encoder and learns a second, disease-specific transmission graph from the inferred SIR states.</w:t>
      </w:r>
    </w:p>
    <w:p w14:paraId="0ACD9237">
      <w:pPr>
        <w:pStyle w:val="2"/>
      </w:pPr>
      <w:r>
        <w:t>3. Comparison Methodology</w:t>
      </w:r>
    </w:p>
    <w:p w14:paraId="13D3E112">
      <w:r>
        <w:t>We evaluated the candidates in two passes. First, we checked each one against six constraints the project cannot compromise on. Failing even one of these ruled a candidate out, no matter how well it scored elsewhere. Whatever survived that pass, we then compared on a second, less strict set of criteria.</w:t>
      </w:r>
    </w:p>
    <w:p w14:paraId="1C1216A6">
      <w:pPr>
        <w:pStyle w:val="3"/>
      </w:pPr>
      <w:r>
        <w:t>Constraints that could not be compromised</w:t>
      </w:r>
    </w:p>
    <w:p w14:paraId="338ED6F3">
      <w:pPr>
        <w:pStyle w:val="23"/>
      </w:pPr>
      <w:r>
        <w:rPr>
          <w:b/>
        </w:rPr>
        <w:t xml:space="preserve">Data availability. </w:t>
      </w:r>
      <w:r>
        <w:t>The architecture can’t depend on data we don’t have.</w:t>
      </w:r>
    </w:p>
    <w:p w14:paraId="1379846A">
      <w:pPr>
        <w:pStyle w:val="23"/>
      </w:pPr>
      <w:r>
        <w:rPr>
          <w:b/>
        </w:rPr>
        <w:t xml:space="preserve">Disease-agnostic representation. </w:t>
      </w:r>
      <w:r>
        <w:t>Nothing that would let the model identify which disease it’s looking at, geographic covariates or disease-specific state, can reach the shared representation.</w:t>
      </w:r>
    </w:p>
    <w:p w14:paraId="14ECAFF1">
      <w:pPr>
        <w:pStyle w:val="23"/>
      </w:pPr>
      <w:r>
        <w:rPr>
          <w:b/>
        </w:rPr>
        <w:t xml:space="preserve">Hardware feasibility. </w:t>
      </w:r>
      <w:r>
        <w:t>Training has to fit inside a 12 GB GPU budget at the scale of our largest development dataset (7,165 spatial units).</w:t>
      </w:r>
    </w:p>
    <w:p w14:paraId="5C8819AA">
      <w:pPr>
        <w:pStyle w:val="23"/>
      </w:pPr>
      <w:r>
        <w:rPr>
          <w:b/>
        </w:rPr>
        <w:t xml:space="preserve">Meta-learning tractability. </w:t>
      </w:r>
      <w:r>
        <w:t>The encoder needs to support efficient second-order differentiation, since the next development phase runs meta-learning through it.</w:t>
      </w:r>
    </w:p>
    <w:p w14:paraId="4702FEBC">
      <w:pPr>
        <w:pStyle w:val="23"/>
      </w:pPr>
      <w:r>
        <w:rPr>
          <w:b/>
        </w:rPr>
        <w:t xml:space="preserve">Few-shot adaptability. </w:t>
      </w:r>
      <w:r>
        <w:t>Whatever is specific to a single disease has to be small enough to estimate reliably from as few as 27 labelled examples, which is the size of the smallest disease’s support set.</w:t>
      </w:r>
    </w:p>
    <w:p w14:paraId="62E2BCFA">
      <w:pPr>
        <w:pStyle w:val="3"/>
      </w:pPr>
      <w:r>
        <w:t>Secondary criteria, for whatever survived those constraints</w:t>
      </w:r>
    </w:p>
    <w:p w14:paraId="687C2BC2">
      <w:pPr>
        <w:pStyle w:val="23"/>
      </w:pPr>
      <w:r>
        <w:rPr>
          <w:b/>
        </w:rPr>
        <w:t xml:space="preserve">Comparator alignment. </w:t>
      </w:r>
      <w:r>
        <w:t>Sharing an architecture family with the models we’re benchmarking against, so a reported improvement reflects the framework and not just a different class of model.</w:t>
      </w:r>
    </w:p>
    <w:p w14:paraId="21F01D59">
      <w:pPr>
        <w:pStyle w:val="23"/>
      </w:pPr>
      <w:r>
        <w:rPr>
          <w:b/>
        </w:rPr>
        <w:t xml:space="preserve">Expressiveness. </w:t>
      </w:r>
      <w:r>
        <w:t>Enough capacity for the task without undermining few-shot identifiability.</w:t>
      </w:r>
    </w:p>
    <w:p w14:paraId="79B7C880">
      <w:pPr>
        <w:pStyle w:val="23"/>
      </w:pPr>
      <w:r>
        <w:rPr>
          <w:b/>
        </w:rPr>
        <w:t xml:space="preserve">Interpretability. </w:t>
      </w:r>
      <w:r>
        <w:t>Whether it gives us something useful to show and explain to stakeholders.</w:t>
      </w:r>
    </w:p>
    <w:p w14:paraId="0163A6E1">
      <w:pPr>
        <w:pStyle w:val="2"/>
      </w:pPr>
      <w:r>
        <w:t>4. Comparison Outcome</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14:paraId="20887C6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3219E86C">
            <w:pPr>
              <w:spacing w:after="0" w:line="240" w:lineRule="auto"/>
            </w:pPr>
            <w:r>
              <w:rPr>
                <w:b/>
              </w:rPr>
              <w:t>Candidate</w:t>
            </w:r>
          </w:p>
        </w:tc>
        <w:tc>
          <w:tcPr>
            <w:tcW w:w="2880" w:type="dxa"/>
          </w:tcPr>
          <w:p w14:paraId="65960A7E">
            <w:pPr>
              <w:spacing w:after="0" w:line="240" w:lineRule="auto"/>
            </w:pPr>
            <w:r>
              <w:rPr>
                <w:b/>
              </w:rPr>
              <w:t>Outcome</w:t>
            </w:r>
          </w:p>
        </w:tc>
        <w:tc>
          <w:tcPr>
            <w:tcW w:w="2880" w:type="dxa"/>
          </w:tcPr>
          <w:p w14:paraId="47B81179">
            <w:pPr>
              <w:spacing w:after="0" w:line="240" w:lineRule="auto"/>
            </w:pPr>
            <w:r>
              <w:rPr>
                <w:b/>
              </w:rPr>
              <w:t>Reason</w:t>
            </w:r>
          </w:p>
        </w:tc>
      </w:tr>
      <w:tr w14:paraId="1C05BFA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409642E5">
            <w:pPr>
              <w:spacing w:after="0" w:line="240" w:lineRule="auto"/>
            </w:pPr>
            <w:r>
              <w:t>A: Dilated convolution + GCN (+ LTR)</w:t>
            </w:r>
          </w:p>
        </w:tc>
        <w:tc>
          <w:tcPr>
            <w:tcW w:w="2880" w:type="dxa"/>
          </w:tcPr>
          <w:p w14:paraId="798EC6D7">
            <w:pPr>
              <w:spacing w:after="0" w:line="240" w:lineRule="auto"/>
            </w:pPr>
            <w:r>
              <w:t>Selected</w:t>
            </w:r>
          </w:p>
        </w:tc>
        <w:tc>
          <w:tcPr>
            <w:tcW w:w="2880" w:type="dxa"/>
          </w:tcPr>
          <w:p w14:paraId="06122817">
            <w:pPr>
              <w:spacing w:after="0" w:line="240" w:lineRule="auto"/>
            </w:pPr>
            <w:r>
              <w:t>Passes all six constraints, shares its lineage with our strongest reproduced comparator models, and costs the least in memory and meta-learning overhead.</w:t>
            </w:r>
          </w:p>
        </w:tc>
      </w:tr>
      <w:tr w14:paraId="0D143D3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384DBAE6">
            <w:pPr>
              <w:spacing w:after="0" w:line="240" w:lineRule="auto"/>
            </w:pPr>
            <w:r>
              <w:t>B: Recurrent network + graph attention</w:t>
            </w:r>
          </w:p>
        </w:tc>
        <w:tc>
          <w:tcPr>
            <w:tcW w:w="2880" w:type="dxa"/>
          </w:tcPr>
          <w:p w14:paraId="510A7A0B">
            <w:pPr>
              <w:spacing w:after="0" w:line="240" w:lineRule="auto"/>
            </w:pPr>
            <w:r>
              <w:t>Rejected</w:t>
            </w:r>
          </w:p>
        </w:tc>
        <w:tc>
          <w:tcPr>
            <w:tcW w:w="2880" w:type="dxa"/>
          </w:tcPr>
          <w:p w14:paraId="3A874292">
            <w:pPr>
              <w:spacing w:after="0" w:line="240" w:lineRule="auto"/>
            </w:pPr>
            <w:r>
              <w:t>Second-order differentiation through a 20-step recurrence makes the planned meta-learning stage far more expensive in memory and time.</w:t>
            </w:r>
          </w:p>
        </w:tc>
      </w:tr>
      <w:tr w14:paraId="5E9BE69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2A0DBBA5">
            <w:pPr>
              <w:spacing w:after="0" w:line="240" w:lineRule="auto"/>
            </w:pPr>
            <w:r>
              <w:t>C: Temporal transformer + GNN</w:t>
            </w:r>
          </w:p>
        </w:tc>
        <w:tc>
          <w:tcPr>
            <w:tcW w:w="2880" w:type="dxa"/>
          </w:tcPr>
          <w:p w14:paraId="6BED85AE">
            <w:pPr>
              <w:spacing w:after="0" w:line="240" w:lineRule="auto"/>
            </w:pPr>
            <w:r>
              <w:t>Rejected</w:t>
            </w:r>
          </w:p>
        </w:tc>
        <w:tc>
          <w:tcPr>
            <w:tcW w:w="2880" w:type="dxa"/>
          </w:tcPr>
          <w:p w14:paraId="7DCC1F28">
            <w:pPr>
              <w:spacing w:after="0" w:line="240" w:lineRule="auto"/>
            </w:pPr>
            <w:r>
              <w:t>The heaviest memory footprint of the three architecture families at our largest dataset’s scale, without any comparator-alignment benefit to offset it.</w:t>
            </w:r>
          </w:p>
        </w:tc>
      </w:tr>
      <w:tr w14:paraId="3C37B02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57F101E5">
            <w:pPr>
              <w:spacing w:after="0" w:line="240" w:lineRule="auto"/>
            </w:pPr>
            <w:r>
              <w:t>D: ST-GAT (published)</w:t>
            </w:r>
          </w:p>
        </w:tc>
        <w:tc>
          <w:tcPr>
            <w:tcW w:w="2880" w:type="dxa"/>
          </w:tcPr>
          <w:p w14:paraId="3730802A">
            <w:pPr>
              <w:spacing w:after="0" w:line="240" w:lineRule="auto"/>
            </w:pPr>
            <w:r>
              <w:t>Rejected</w:t>
            </w:r>
          </w:p>
        </w:tc>
        <w:tc>
          <w:tcPr>
            <w:tcW w:w="2880" w:type="dxa"/>
          </w:tcPr>
          <w:p w14:paraId="625F37F3">
            <w:pPr>
              <w:spacing w:after="0" w:line="240" w:lineRule="auto"/>
            </w:pPr>
            <w:r>
              <w:t>Its core spatial mechanism needs origin-destination mobility data we don’t have, and its node features risk leaking disease-identifying information into the shared encoder.</w:t>
            </w:r>
          </w:p>
        </w:tc>
      </w:tr>
      <w:tr w14:paraId="1B6B73C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14EEB086">
            <w:pPr>
              <w:spacing w:after="0" w:line="240" w:lineRule="auto"/>
            </w:pPr>
            <w:r>
              <w:t>E: HeatGNN (published)</w:t>
            </w:r>
          </w:p>
        </w:tc>
        <w:tc>
          <w:tcPr>
            <w:tcW w:w="2880" w:type="dxa"/>
          </w:tcPr>
          <w:p w14:paraId="042EBB32">
            <w:pPr>
              <w:spacing w:after="0" w:line="240" w:lineRule="auto"/>
            </w:pPr>
            <w:r>
              <w:t>Core mechanism rejected, idea kept for a future ablation</w:t>
            </w:r>
          </w:p>
        </w:tc>
        <w:tc>
          <w:tcPr>
            <w:tcW w:w="2880" w:type="dxa"/>
          </w:tcPr>
          <w:p w14:paraId="331D15B2">
            <w:pPr>
              <w:spacing w:after="0" w:line="240" w:lineRule="auto"/>
            </w:pPr>
            <w:r>
              <w:t>Its defining mechanism is parameterized per disease by design, which conflicts with keeping the shared representation disease-agnostic.</w:t>
            </w:r>
          </w:p>
        </w:tc>
      </w:tr>
    </w:tbl>
    <w:p w14:paraId="14971A6B"/>
    <w:p w14:paraId="3D7EC852">
      <w:pPr>
        <w:pStyle w:val="2"/>
      </w:pPr>
      <w:r>
        <w:rPr>
          <w:rFonts w:hint="default"/>
          <w:lang w:val="en-US"/>
        </w:rPr>
        <w:t>5</w:t>
      </w:r>
      <w:r>
        <w:t>. Selected Design and Rationale</w:t>
      </w:r>
    </w:p>
    <w:p w14:paraId="2A92B921">
      <w:r>
        <w:t>We picked the dilated convolution and graph-convolution design (candidate A) as the framework’s encoder. It clears every constraint we couldn’t compromise on, it holds up when those constraints are lifted, and it is the option that keeps our central claim clean at review.</w:t>
      </w:r>
    </w:p>
    <w:p w14:paraId="401A6755">
      <w:r>
        <w:t>While reviewing the published work behind this same design family, we found one more component worth adding: a degree-based local transmission-risk encoding. It improves each region’s representation using information the model already computes elsewhere, at almost no extra parameter cost, so we folded it into the final design. Two related ideas from the same and other papers were evaluated separately. The inter-region affinity graph is out permanently, for the structural reason</w:t>
      </w:r>
      <w:r>
        <w:rPr>
          <w:rFonts w:hint="default"/>
          <w:lang w:val="en-US"/>
        </w:rPr>
        <w:t xml:space="preserve"> because it</w:t>
      </w:r>
      <w:r>
        <w:t xml:space="preserve"> still ties its parameters to a fixed region count, which can’t work across datasets ranging from 10 to 7,165 regions. The global transmission risk encoding is out of the main build but is now a Week 6 ablation candidate.</w:t>
      </w:r>
    </w:p>
    <w:p w14:paraId="6B1D1ED3">
      <w:r>
        <w:t>We also didn’t want to throw away the mechanistic-heterogeneity idea behind candidate E just because the full version doesn’t fit. A simplified, disease-agnostic version of it, a soft penalty on epidemiologically implausible predicted trends, is staying in as a planned ablation. We’ll report it alongside the main result rather than building it into the primary model.</w:t>
      </w:r>
    </w:p>
    <w:p w14:paraId="018CA732">
      <w:pPr>
        <w:pStyle w:val="2"/>
      </w:pPr>
      <w:r>
        <w:rPr>
          <w:rFonts w:hint="default"/>
          <w:lang w:val="en-US"/>
        </w:rPr>
        <w:t>6</w:t>
      </w:r>
      <w:r>
        <w:t>. Recommendation</w:t>
      </w:r>
    </w:p>
    <w:p w14:paraId="0D905A06">
      <w:pPr>
        <w:rPr>
          <w:rFonts w:hint="default"/>
          <w:lang w:val="en-US"/>
        </w:rPr>
      </w:pPr>
      <w:r>
        <w:t>Our recommendation is the dilated causal convolution and graph-convolution design, with the local transmission-risk encoding add</w:t>
      </w:r>
      <w:bookmarkStart w:id="0" w:name="_GoBack"/>
      <w:bookmarkEnd w:id="0"/>
      <w:r>
        <w:t>ed in. This is the default we’re carrying forward</w:t>
      </w:r>
      <w:r>
        <w:rPr>
          <w:rFonts w:hint="default"/>
          <w:lang w:val="en-US"/>
        </w:rPr>
        <w: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57273B"/>
    <w:rsid w:val="0A552200"/>
    <w:rsid w:val="27B53233"/>
    <w:rsid w:val="2AE87872"/>
    <w:rsid w:val="30544389"/>
    <w:rsid w:val="30F46B5D"/>
    <w:rsid w:val="3FB3410E"/>
    <w:rsid w:val="426C4306"/>
    <w:rsid w:val="46DB5421"/>
    <w:rsid w:val="47A23D34"/>
    <w:rsid w:val="5D2508DD"/>
    <w:rsid w:val="66AD5901"/>
    <w:rsid w:val="6BA14120"/>
    <w:rsid w:val="6FD9000D"/>
    <w:rsid w:val="71167A14"/>
    <w:rsid w:val="7C6D0C6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1686</Words>
  <Characters>9401</Characters>
  <Lines>0</Lines>
  <Paragraphs>0</Paragraphs>
  <TotalTime>21</TotalTime>
  <ScaleCrop>false</ScaleCrop>
  <LinksUpToDate>false</LinksUpToDate>
  <CharactersWithSpaces>11013</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Administrator</cp:lastModifiedBy>
  <dcterms:modified xsi:type="dcterms:W3CDTF">2026-07-20T15:14:13Z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eyJoZGlkIjoiNmNkZjJlOTgzZGIzMjY0NTFkNzc1NTA2NGNkNjZkM2EifQ==</vt:lpwstr>
  </property>
  <property fmtid="{D5CDD505-2E9C-101B-9397-08002B2CF9AE}" pid="3" name="KSOProductBuildVer">
    <vt:lpwstr>1033-12.1.0.27458</vt:lpwstr>
  </property>
  <property fmtid="{D5CDD505-2E9C-101B-9397-08002B2CF9AE}" pid="4" name="ICV">
    <vt:lpwstr>29DB3DA0794C4DEB9FA2F448D742A984_12</vt:lpwstr>
  </property>
</Properties>
</file>