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6E1F8">
      <w:pPr>
        <w:pStyle w:val="7"/>
      </w:pPr>
      <w:r>
        <w:t>Project Update</w:t>
      </w:r>
    </w:p>
    <w:p w14:paraId="67AB3D1A">
      <w:pPr>
        <w:pStyle w:val="6"/>
      </w:pPr>
      <w:r>
        <w:t>Emerging Disease Forecasting Framework · Phase 2 close-out, resolved methodology, and manuscript reconciliation · 20 July 2026</w:t>
      </w:r>
    </w:p>
    <w:p w14:paraId="3DDA32B9">
      <w:pPr>
        <w:pStyle w:val="2"/>
      </w:pPr>
      <w:r>
        <w:t>1. Purpose</w:t>
      </w:r>
    </w:p>
    <w:p w14:paraId="10D8B138">
      <w:r>
        <w:t>This update records the work completed since the Phase 2 data engineering report: the resolution of the three methodological items left open at that point, the closure of every outstanding decision on the data, the outcome of a second independent adversarial review, and the amendments now required to the Phase 1 manuscript. It is intended to be read alongside the data descriptor and the project record, and it supersedes no earlier figure without saying so.</w:t>
      </w:r>
    </w:p>
    <w:p w14:paraId="432FB161">
      <w:pPr>
        <w:pStyle w:val="2"/>
      </w:pPr>
      <w:r>
        <w:t>2. Status of the released datasets</w:t>
      </w:r>
    </w:p>
    <w:p w14:paraId="56795AA6">
      <w:r>
        <w:t>Five harmonised datasets remain as released: dengue at 7,165 nodes over 1,409 weekly steps, three influenza panels, and Ebola at 61 districts over 52 weeks. These figures were re-verified against the released archives rather than against the documentation. The Ebola target totals 24,552 cases against an independently computed reference of the same value, and the dengue partitions divide the observed cells exactly as recorded.</w:t>
      </w:r>
    </w:p>
    <w:p w14:paraId="6A682B42">
      <w:r>
        <w:t>The build verifies eighteen raw inputs by checksum before constructing anything, passes eighty-six leakage and invariant checks together with six negative controls, and reproduces byte-identically from the committed source. Nothing is written if a check fails.</w:t>
      </w:r>
    </w:p>
    <w:p w14:paraId="2A7C2B4D">
      <w:pPr>
        <w:pStyle w:val="2"/>
      </w:pPr>
      <w:r>
        <w:t>3. Methodological items resolved</w:t>
      </w:r>
    </w:p>
    <w:p w14:paraId="4C290C40">
      <w:pPr>
        <w:pStyle w:val="3"/>
      </w:pPr>
      <w:r>
        <w:t>3.1 Validation protocol for the held-out disease</w:t>
      </w:r>
    </w:p>
    <w:p w14:paraId="400EC040">
      <w:r>
        <w:t>Ebola carries no validation split, and this is now a stated design choice rather than an omission. An emerging pathogen affords no validation data, and carving one from the 1,272 query cells would both shrink the evaluation set and reintroduce the target-tuning the few-shot design exists to avoid. Every hyperparameter is therefore selected on the development diseases — model and optimisation settings on the development validation folds, adaptation settings by holding each development disease out in turn as a surrogate emerging disease — then frozen and applied to Ebola once. Adaptation runs for a fixed number of steps rather than stopping on query performance, and predictive uncertainty is produced by an online conformal method that calibrates over the query sequence without a held-out calibration set. The Ebola query set is scored exactly once.</w:t>
      </w:r>
    </w:p>
    <w:p w14:paraId="2DB6D770">
      <w:pPr>
        <w:pStyle w:val="3"/>
      </w:pPr>
      <w:r>
        <w:t>3.2 Identification of the influenza calendars</w:t>
      </w:r>
    </w:p>
    <w:p w14:paraId="512BBA31">
      <w:r>
        <w:t>The benchmark influenza matrices ship undated. The two United States matrices were already identified cell-for-cell as CDC ILINet at a known vintage. The Japanese calendar, previously resting on seasonal phase alone and so uncertain to within about four weeks, is now pinned to the week by matching the per-season national maxima of the matrix to the season peaks dated by Japan's National Institute of Infectious Diseases: the 2018/19 maximum falls on the week of 26 January 2019 and the 2017/18 maximum on 3 February 2018, each the exact epidemiological week the Institute records. Because a one-week shift would move at least one maximum off its dated week, the two seasons together fix the anchor. All three influenza calendars are now identified against dated authoritative sources, and the Japanese pin is re-asserted whenever the check is run.</w:t>
      </w:r>
    </w:p>
    <w:p w14:paraId="24C643FE">
      <w:pPr>
        <w:pStyle w:val="3"/>
      </w:pPr>
      <w:r>
        <w:t>3.3 Evaluation metric for dengue</w:t>
      </w:r>
    </w:p>
    <w:p w14:paraId="2553738F">
      <w:r>
        <w:t>The country-macro average is implemented rather than merely specified: each node is scored over its observed test cells, node scores are averaged within a country, and the twelve countries are then averaged with equal weight, so that the seventy-seven per cent share of nodes held by Brazil cannot determine the headline. The equal-weight node average is reported alongside. Nodes whose truth is constant over the scored window are excluded from scoring and retained in the graph as neighbours, since a constant prediction is trivially exact and its correlation undefined.</w:t>
      </w:r>
    </w:p>
    <w:p w14:paraId="680522CD">
      <w:pPr>
        <w:pStyle w:val="2"/>
      </w:pPr>
      <w:r>
        <w:t>4. Decisions closed</w:t>
      </w:r>
    </w:p>
    <w:p w14:paraId="53FC39DC">
      <w:r>
        <w:t>Five items that the data descriptor had left to the modelling phase are now settled, and no decision on the data remains open.</w:t>
      </w:r>
    </w:p>
    <w:p w14:paraId="12E943FE">
      <w:pPr>
        <w:pStyle w:val="8"/>
        <w:ind w:left="360"/>
      </w:pPr>
      <w:r>
        <w:t>Constant nodes are excluded from scoring and kept in the graph, with the affected panel additionally reported without them as a sensitivity.</w:t>
      </w:r>
    </w:p>
    <w:p w14:paraId="3589B039">
      <w:pPr>
        <w:pStyle w:val="8"/>
        <w:ind w:left="360"/>
      </w:pPr>
      <w:r>
        <w:t>The directly reported new-cases series is adopted as a cross-check against the cumulative-derived Ebola target.</w:t>
      </w:r>
    </w:p>
    <w:p w14:paraId="19F74A03">
      <w:pPr>
        <w:pStyle w:val="8"/>
        <w:ind w:left="360"/>
      </w:pPr>
      <w:r>
        <w:t>Node sampling remains uniform, so that the encoder is data-proportional; a country-balanced sampler is provided as an ablation and the question is settled empirically rather than by assumption.</w:t>
      </w:r>
    </w:p>
    <w:p w14:paraId="77158C7F">
      <w:pPr>
        <w:pStyle w:val="8"/>
        <w:ind w:left="360"/>
      </w:pPr>
      <w:r>
        <w:t>The calendar-prefix cutoff of 24 May 2014 is the primary Ebola support window, with its width retained as a parameter so that sensitivity to the support size can be reported.</w:t>
      </w:r>
    </w:p>
    <w:p w14:paraId="2350F840">
      <w:pPr>
        <w:pStyle w:val="8"/>
        <w:ind w:left="360"/>
      </w:pPr>
      <w:r>
        <w:t>The finest-available spatial resolution per country is confirmed for dengue.</w:t>
      </w:r>
    </w:p>
    <w:p w14:paraId="2326F65A">
      <w:pPr>
        <w:pStyle w:val="2"/>
        <w:rPr>
          <w:rFonts w:hint="default"/>
          <w:lang w:val="en-US"/>
        </w:rPr>
      </w:pPr>
      <w:r>
        <w:t xml:space="preserve">5. </w:t>
      </w:r>
      <w:r>
        <w:rPr>
          <w:rFonts w:hint="default"/>
          <w:lang w:val="en-US"/>
        </w:rPr>
        <w:t>Final Verifications</w:t>
      </w:r>
    </w:p>
    <w:p w14:paraId="18F7BA96">
      <w:r>
        <w:rPr>
          <w:rFonts w:hint="default"/>
          <w:lang w:val="en-US"/>
        </w:rPr>
        <w:t>We have confirmed the corrections performed i</w:t>
      </w:r>
      <w:r>
        <w:t>n the released artefacts, the datasets reproduce byte-exactly from the committed source, no scaler leak could be planted that the check suite failed to detect, and the Japanese calendar pin was independently verified. The review nonetheless returned findings that bear on interpretation rather than on the data pipeline, and they are recorded here in full.</w:t>
      </w:r>
    </w:p>
    <w:p w14:paraId="7DF89446">
      <w:r>
        <w:t>The most consequential concerns the Ebola target. Its late-October peak is substantially a retrospective reporting revision rather than an epidemic peak: a single district contributes 1,428 cases in one week during which it reported continuously, so the increment is a reclassification rather than the previously disclosed consequence of a reporting gap. The mass-conservation check cannot detect this, because mass is conserved and only timing is affected. This strengthens the case for adopting the directly reported new-cases series as the target rather than only as a cross-check; until that is decided, no claim about peak timing or peak intensity should rest on the cumulative-derived target.</w:t>
      </w:r>
    </w:p>
    <w:p w14:paraId="1BF064C3">
      <w:r>
        <w:t>Equal country weighting carries a second-order cost. It elevates two countries of limited validity to a twelfth of the dengue headline each: Mexico, whose case definition changes across the evaluation boundary and whose record carries a three-year gap, and Japan, which is not endemic and whose cases are predominantly imported. Together they carry a sixth of the headline figure, and both should be demoted from it or reported as negative controls.</w:t>
      </w:r>
    </w:p>
    <w:p w14:paraId="1D65F6D2">
      <w:r>
        <w:t>Three further findings are being addressed. Pearson correlation is presently aggregated over a node set that depends on the model, because an undefined correlation is dropped rather than scored; the instruction to refit at each rolling origin is asserted rather than enforced and requires a guard in the modelling phase; and the observation-mask channel differs systematically between diseases, so that it carries a disease signal into the shared encoder and the claim of disease-agnosticism should be qualified accordingly. Finally, the Ebola result is a single evaluation and should carry a data-level interval rather than seed variance alone.</w:t>
      </w:r>
    </w:p>
    <w:p w14:paraId="5DC4A2AA">
      <w:pPr>
        <w:pStyle w:val="2"/>
      </w:pPr>
      <w:r>
        <w:t>6. Amendments required to the manuscript</w:t>
      </w:r>
    </w:p>
    <w:p w14:paraId="3B8CDBA9">
      <w:r>
        <w:t>The Phase 1 manuscript predates the data engineering and in several places describes methods since superseded. The following amendments are required before submission; replacement text for each is specified in the accompanying reconciliation memorandum.</w:t>
      </w:r>
    </w:p>
    <w:p w14:paraId="25B36297">
      <w:pPr>
        <w:pStyle w:val="8"/>
        <w:ind w:left="360"/>
      </w:pPr>
      <w:r>
        <w:t>Equation (4). The printed conversion differences the cumulative series and clips negative increments to zero. It is replaced by differencing the running maximum, with corrupt weeks and the first week of each district masked. This is a correctness amendment rather than a matter of wording: as printed, the manuscript specifies the conversion found to fabricate roughly a third of the Ebola target.</w:t>
      </w:r>
    </w:p>
    <w:p w14:paraId="09E96858">
      <w:pPr>
        <w:pStyle w:val="8"/>
        <w:ind w:left="360"/>
      </w:pPr>
      <w:r>
        <w:t>Table 3 and Section 6.3. Dengue is described at the first administrative level over 2014 to the present; it is in fact resolved at the finest level each country supports, across twelve countries and 7,165 nodes spanning 1998 to 2024. The Ebola row is corrected to mixed administrative level over 2014 to 2015.</w:t>
      </w:r>
    </w:p>
    <w:p w14:paraId="7449EDA3">
      <w:pPr>
        <w:pStyle w:val="8"/>
        <w:ind w:left="360"/>
      </w:pPr>
      <w:r>
        <w:t>Sections 5.2, 6.4 and 7. The support set is described as the first two observed weeks of each district, the scheme found not to be calendar-causal. It is replaced by the calendar prefix, with the fifty-two of sixty-one districts evaluated zero-shot stated explicitly.</w:t>
      </w:r>
    </w:p>
    <w:p w14:paraId="03F6EB39">
      <w:pPr>
        <w:pStyle w:val="8"/>
        <w:ind w:left="360"/>
      </w:pPr>
      <w:r>
        <w:t>Section 7. A new paragraph states the validation protocol of Section 3.1 above, so that model selection and the single scoring of the held-out disease are explicit.</w:t>
      </w:r>
    </w:p>
    <w:p w14:paraId="499ABFBB">
      <w:pPr>
        <w:pStyle w:val="8"/>
        <w:ind w:left="360"/>
      </w:pPr>
      <w:r>
        <w:t>Section 7. The node-macro average is replaced by the country-macro average, with the treatment of constant nodes stated.</w:t>
      </w:r>
    </w:p>
    <w:p w14:paraId="7A24BA6A">
      <w:pPr>
        <w:pStyle w:val="8"/>
        <w:ind w:left="360"/>
      </w:pPr>
      <w:r>
        <w:t>Section 6.2 and Table 2. The block-diagonal dengue graph is reframed as a deliberate simplification rather than a geographic fact, and the contrasting decision to retain cross-border edges for Ebola is given with its reasoning.</w:t>
      </w:r>
    </w:p>
    <w:p w14:paraId="3B847DA6">
      <w:pPr>
        <w:pStyle w:val="8"/>
        <w:ind w:left="360"/>
      </w:pPr>
      <w:r>
        <w:t>Section 6.3. One sentence records that the influenza calendars are identified against dated sources, citing the season reports of the Institute.</w:t>
      </w:r>
    </w:p>
    <w:p w14:paraId="0EC08080">
      <w:pPr>
        <w:pStyle w:val="2"/>
      </w:pPr>
      <w:r>
        <w:t>7. Outstanding</w:t>
      </w:r>
    </w:p>
    <w:p w14:paraId="17C3C0D7">
      <w:r>
        <w:t>Two decisions remain for the client: whether the directly reported new-cases series should become the Ebola target rather than a cross-check, and how Mexico and Japan should be treated in the dengue headline average. Two contained corrections to the scoring code are pending, as are three guards to be carried into the modelling phase — enforcing the refit at each rolling origin, attaching a data-level interval to the Ebola result, and qualifying the claim of disease-agnosticism. The manuscript amendments of Section 6 may be applied im</w:t>
      </w:r>
      <w:bookmarkStart w:id="0" w:name="_GoBack"/>
      <w:bookmarkEnd w:id="0"/>
      <w:r>
        <w:t>mediately.</w:t>
      </w:r>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2322053B"/>
    <w:rsid w:val="35CA2D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276" w:lineRule="auto"/>
    </w:pPr>
    <w:rPr>
      <w:rFonts w:ascii="Georgia" w:hAnsi="Georgia"/>
      <w:sz w:val="21"/>
      <w:szCs w:val="22"/>
    </w:rPr>
  </w:style>
  <w:style w:type="paragraph" w:styleId="2">
    <w:name w:val="heading 1"/>
    <w:qFormat/>
    <w:uiPriority w:val="0"/>
    <w:pPr>
      <w:spacing w:before="320" w:after="120" w:line="276" w:lineRule="auto"/>
    </w:pPr>
    <w:rPr>
      <w:rFonts w:ascii="Georgia" w:hAnsi="Georgia"/>
      <w:b/>
      <w:sz w:val="26"/>
      <w:szCs w:val="22"/>
    </w:rPr>
  </w:style>
  <w:style w:type="paragraph" w:styleId="3">
    <w:name w:val="heading 2"/>
    <w:qFormat/>
    <w:uiPriority w:val="0"/>
    <w:pPr>
      <w:spacing w:before="220" w:after="100" w:line="276" w:lineRule="auto"/>
    </w:pPr>
    <w:rPr>
      <w:rFonts w:ascii="Georgia" w:hAnsi="Georgia"/>
      <w:b/>
      <w:sz w:val="22"/>
      <w:szCs w:val="2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Subtitle"/>
    <w:qFormat/>
    <w:uiPriority w:val="0"/>
    <w:pPr>
      <w:spacing w:before="0" w:after="320" w:line="276" w:lineRule="auto"/>
    </w:pPr>
    <w:rPr>
      <w:rFonts w:ascii="Georgia" w:hAnsi="Georgia"/>
      <w:i/>
      <w:sz w:val="20"/>
      <w:szCs w:val="22"/>
    </w:rPr>
  </w:style>
  <w:style w:type="paragraph" w:styleId="7">
    <w:name w:val="Title"/>
    <w:qFormat/>
    <w:uiPriority w:val="0"/>
    <w:pPr>
      <w:spacing w:before="0" w:after="60" w:line="276" w:lineRule="auto"/>
    </w:pPr>
    <w:rPr>
      <w:rFonts w:ascii="Georgia" w:hAnsi="Georgia"/>
      <w:b/>
      <w:sz w:val="34"/>
      <w:szCs w:val="22"/>
    </w:rPr>
  </w:style>
  <w:style w:type="paragraph" w:customStyle="1" w:styleId="8">
    <w:name w:val="Indented"/>
    <w:qFormat/>
    <w:uiPriority w:val="0"/>
    <w:pPr>
      <w:spacing w:before="0" w:after="160" w:line="276" w:lineRule="auto"/>
    </w:pPr>
    <w:rPr>
      <w:rFonts w:ascii="Georgia" w:hAnsi="Georgia"/>
      <w:sz w:val="21"/>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1452</Words>
  <Characters>8029</Characters>
  <TotalTime>63</TotalTime>
  <ScaleCrop>false</ScaleCrop>
  <LinksUpToDate>false</LinksUpToDate>
  <CharactersWithSpaces>9444</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2026-07-20T07:54:14Z</dcterms:created>
  <dc:creator>Administrator</dc:creator>
  <cp:lastModifiedBy>Administrator</cp:lastModifiedBy>
  <dcterms:modified xsi:type="dcterms:W3CDTF">2026-07-20T08:58:52Z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eyJoZGlkIjoiNmNkZjJlOTgzZGIzMjY0NTFkNzc1NTA2NGNkNjZkM2EifQ==</vt:lpwstr>
  </property>
  <property fmtid="{D5CDD505-2E9C-101B-9397-08002B2CF9AE}" pid="3" name="KSOProductBuildVer">
    <vt:lpwstr>1033-12.1.0.27458</vt:lpwstr>
  </property>
  <property fmtid="{D5CDD505-2E9C-101B-9397-08002B2CF9AE}" pid="4" name="ICV">
    <vt:lpwstr>8FD0997961744CC4B960663EFF169190_12</vt:lpwstr>
  </property>
</Properties>
</file>