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FAB10">
      <w:pPr>
        <w:spacing w:after="120"/>
        <w:jc w:val="center"/>
      </w:pPr>
      <w:r>
        <w:rPr>
          <w:rFonts w:ascii="Times New Roman" w:hAnsi="Times New Roman"/>
          <w:b/>
          <w:i w:val="0"/>
          <w:sz w:val="32"/>
        </w:rPr>
        <w:t>A Dise</w:t>
      </w:r>
      <w:bookmarkStart w:id="0" w:name="_GoBack"/>
      <w:bookmarkEnd w:id="0"/>
      <w:r>
        <w:rPr>
          <w:rFonts w:ascii="Times New Roman" w:hAnsi="Times New Roman"/>
          <w:b/>
          <w:i w:val="0"/>
          <w:sz w:val="32"/>
        </w:rPr>
        <w:t>ase-Agnostic Spatio-Temporal Framework for Emerging Infectious Disease Forecasting: Transferable Representations, Few-Shot Adaptation, and Calibrated Explanation</w:t>
      </w:r>
    </w:p>
    <w:p w14:paraId="1D6B3E98">
      <w:pPr>
        <w:spacing w:after="240"/>
        <w:jc w:val="center"/>
      </w:pPr>
      <w:r>
        <w:rPr>
          <w:rFonts w:ascii="Times New Roman" w:hAnsi="Times New Roman"/>
          <w:b w:val="0"/>
          <w:i/>
          <w:sz w:val="23"/>
        </w:rPr>
        <w:t>Formalisation, a standardised representation, an evaluation testbed, and a reproduced-baseline benchmark</w:t>
      </w:r>
    </w:p>
    <w:p w14:paraId="790B1653">
      <w:pPr>
        <w:keepNext/>
        <w:spacing w:before="120" w:after="130"/>
      </w:pPr>
      <w:r>
        <w:rPr>
          <w:rFonts w:ascii="Times New Roman" w:hAnsi="Times New Roman"/>
          <w:b/>
          <w:i w:val="0"/>
          <w:sz w:val="26"/>
        </w:rPr>
        <w:t>Abstract</w:t>
      </w:r>
    </w:p>
    <w:p w14:paraId="6C2FAEC1">
      <w:pPr>
        <w:jc w:val="both"/>
      </w:pPr>
      <w:r>
        <w:rPr>
          <w:rFonts w:ascii="Times New Roman" w:hAnsi="Times New Roman"/>
          <w:b w:val="0"/>
          <w:i w:val="0"/>
          <w:sz w:val="22"/>
        </w:rPr>
        <w:t>Forecasting an emerging infectious disease is hardest at the moment it matters most: early in an outbreak, when almost none of the pathogen's own history has yet accrued. A natural response is to transfer structure learned from data-rich diseases to the data-scarce one, yet the spatio-temporal graph neural networks that now dominate epidemic forecasting are, with few exceptions, tied to a single disease, report point forecasts without calibrated coverage, explain themselves only through attention weights, and leave cross-disease transfer as future work. This manuscript establishes the groundwork for a general framework that learns transferable spatio-temporal representations from dengue and influenza and adapts, few-shot, to Ebola as a genuinely unseen, data-scarce target, with calibrated uncertainty and faithful explanation. It contributes four foundations that together define and de-risk that framework. First, it formalises emerging-disease forecasting as multi-horizon, joint multi-node incidence prediction over a single standardised representation, so that one task statement and one model apply unchanged across diseases. Second, it specifies that representation — a disease-agnostic bundle of a feature tensor, a graph, an observation mask, and a target series, with leakage-safe, training-only normalisation — that places dengue, influenza, and Ebola on a common weekly interface. Third, it fixes an evaluation testbed: a pre-specified protocol of chronological splits, horizon-resolved point and probabilistic metrics, five seeds, and a significance battery matched to the structure of the comparison. Fourth, it assembles and validates a baseline suite by reproducing state-of-the-art models on their own shipped datasets, establishing which can be trusted as comparators under a common pipeline. A structured competitive analysis across ten representative models then locates the precise gap the framework targets: no incumbent simultaneously offers disease-agnostic construction, cross-disease transfer, few-shot adaptation to an unseen pathogen, and calibrated, explained forecasts.</w:t>
      </w:r>
    </w:p>
    <w:p w14:paraId="5B1904EE">
      <w:pPr>
        <w:jc w:val="both"/>
      </w:pPr>
      <w:r>
        <w:rPr>
          <w:rFonts w:ascii="Times New Roman" w:hAnsi="Times New Roman"/>
          <w:b/>
          <w:i w:val="0"/>
          <w:sz w:val="22"/>
        </w:rPr>
        <w:t xml:space="preserve">Keywords: </w:t>
      </w:r>
      <w:r>
        <w:rPr>
          <w:rFonts w:ascii="Times New Roman" w:hAnsi="Times New Roman"/>
          <w:b w:val="0"/>
          <w:i w:val="0"/>
          <w:sz w:val="22"/>
        </w:rPr>
        <w:t>epidemic forecasting; spatio-temporal graph neural networks; transferable representation learning; few-shot adaptation; conformal prediction; explainability.</w:t>
      </w:r>
    </w:p>
    <w:p w14:paraId="3DFFE0FD">
      <w:pPr>
        <w:keepNext/>
        <w:spacing w:before="120" w:after="130"/>
      </w:pPr>
      <w:r>
        <w:rPr>
          <w:rFonts w:ascii="Times New Roman" w:hAnsi="Times New Roman"/>
          <w:b/>
          <w:i w:val="0"/>
          <w:sz w:val="26"/>
        </w:rPr>
        <w:t>1 Introduction</w:t>
      </w:r>
    </w:p>
    <w:p w14:paraId="7D08745B">
      <w:pPr>
        <w:jc w:val="both"/>
      </w:pPr>
      <w:r>
        <w:rPr>
          <w:rFonts w:ascii="Times New Roman" w:hAnsi="Times New Roman"/>
          <w:b w:val="0"/>
          <w:i w:val="0"/>
          <w:sz w:val="22"/>
        </w:rPr>
        <w:t>Every epidemic leaves a trail of surveillance data, but an emerging pathogen leaves almost none when a forecast is first needed. The early weeks of an outbreak are precisely when public-health decisions are most consequential and when the record on which a data-driven model would ordinarily rely is thinnest. This asymmetry motivates a different design premise from the one that underlies most epidemic forecasting: rather than learn a model from a single disease's own long history, learn structure from diseases that are data-rich — dengue and influenza, each with years of spatially resolved records — and carry that structure over to a disease that is data-scarce. Realising this promise, however, requires that a model receive comparable inputs regardless of which disease it is looking at, and surveillance data resist comparability at every turn: dengue, influenza, and Ebola are reported at different administrative levels, over different periods, in different units, and under different conventions for what counts as a case and how time is bucketed.</w:t>
      </w:r>
    </w:p>
    <w:p w14:paraId="50B1500A">
      <w:pPr>
        <w:jc w:val="both"/>
      </w:pPr>
      <w:r>
        <w:rPr>
          <w:rFonts w:ascii="Times New Roman" w:hAnsi="Times New Roman"/>
          <w:b w:val="0"/>
          <w:i w:val="0"/>
          <w:sz w:val="22"/>
        </w:rPr>
        <w:t>Graph neural networks (GNNs) have become the dominant answer to the forecasting problem itself because they exploit the two structures every notifiable-disease surveillance stream carries at once: temporal autocorrelation within each reporting unit, and spatial coupling between units that share population flows, borders, or environmental drivers. A GNN factorises the task over a graph whose nodes are regions and whose edges encode transmission-relevant relations, then composes that spatial operator with a temporal one. Read against the requirements of an operational early-warning system, the design space decomposes into a handful of sub-problems: capturing temporal dynamics, representing spatial coupling, deciding whether to inject mechanistic epidemiological structure, quantifying predictive uncertainty, explaining outputs, and transferring what has been learned to a disease or region where labelled history is scarce. The literature has made strong progress on each of these in isolation, but no single line of work has closed all of them at once, and the properties an emerging-disease system most needs — calibrated uncertainty, faithful explanation, and cross-disease transfer — are exactly the ones it treats least uniformly.</w:t>
      </w:r>
    </w:p>
    <w:p w14:paraId="5C78828F">
      <w:pPr>
        <w:jc w:val="both"/>
      </w:pPr>
      <w:r>
        <w:rPr>
          <w:rFonts w:ascii="Times New Roman" w:hAnsi="Times New Roman"/>
          <w:b w:val="0"/>
          <w:i w:val="0"/>
          <w:sz w:val="22"/>
        </w:rPr>
        <w:t>The gap is therefore not that any one property is unmet but that the properties are met separately. Mechanistic-hybrid models encode epidemiological structure yet remain single-disease and uncalibrated; attention and transmission-risk models offer interpretable spatial structure yet fit each disease independently and report point forecasts; transfer has been demonstrated across locations for a single disease, but not across diseases; and the one system that reaches calibrated, explained, multi-disease forecasting does so by joint multi-task training over a fixed panel of diseases rather than by disease-agnostic construction, and shows only a leave-one-disease-out learning curve rather than few-shot adaptation to a genuinely unseen pathogen. An operational emerging-disease forecaster needs all four properties together: it should be disease-agnostic by construction, learn transferable representations, adapt few-shot to a scarce disease, and deliver calibrated uncertainty with faithful explanation. That intersection is empty.</w:t>
      </w:r>
    </w:p>
    <w:p w14:paraId="1A081403">
      <w:pPr>
        <w:jc w:val="both"/>
      </w:pPr>
      <w:r>
        <w:rPr>
          <w:rFonts w:ascii="Times New Roman" w:hAnsi="Times New Roman"/>
          <w:b w:val="0"/>
          <w:i w:val="0"/>
          <w:sz w:val="22"/>
        </w:rPr>
        <w:t>This manuscript does not yet report the comparative forecasting results of a model that occupies the intersection; it lays the foundations on which such a model is built and against which it will be judged. Its contributions are four:</w:t>
      </w:r>
    </w:p>
    <w:p w14:paraId="363E59C5">
      <w:pPr>
        <w:pStyle w:val="23"/>
        <w:spacing w:after="60"/>
        <w:jc w:val="both"/>
      </w:pPr>
      <w:r>
        <w:rPr>
          <w:rFonts w:ascii="Times New Roman" w:hAnsi="Times New Roman"/>
          <w:b/>
          <w:i w:val="0"/>
          <w:sz w:val="22"/>
        </w:rPr>
        <w:t xml:space="preserve">A formalisation </w:t>
      </w:r>
      <w:r>
        <w:rPr>
          <w:rFonts w:ascii="Times New Roman" w:hAnsi="Times New Roman"/>
          <w:b w:val="0"/>
          <w:i w:val="0"/>
          <w:sz w:val="22"/>
        </w:rPr>
        <w:t>of emerging-disease forecasting as multi-horizon, joint multi-node incidence prediction over a shared representation, with a single notation and task statement that apply unchanged to data-rich development diseases and to the held-out disease.</w:t>
      </w:r>
    </w:p>
    <w:p w14:paraId="65F4ABDD">
      <w:pPr>
        <w:pStyle w:val="23"/>
        <w:spacing w:after="60"/>
        <w:jc w:val="both"/>
      </w:pPr>
      <w:r>
        <w:rPr>
          <w:rFonts w:ascii="Times New Roman" w:hAnsi="Times New Roman"/>
          <w:b/>
          <w:i w:val="0"/>
          <w:sz w:val="22"/>
        </w:rPr>
        <w:t xml:space="preserve">A standardised, disease-agnostic input representation </w:t>
      </w:r>
      <w:r>
        <w:rPr>
          <w:rFonts w:ascii="Times New Roman" w:hAnsi="Times New Roman"/>
          <w:b w:val="0"/>
          <w:i w:val="0"/>
          <w:sz w:val="22"/>
        </w:rPr>
        <w:t>that maps any surveillance stream onto one bundle of arrays — a feature tensor, a graph, static covariates, an observation mask, and a target — with leakage-safe, training-only normalisation, so that the architecture contains nothing specific to any one disease.</w:t>
      </w:r>
    </w:p>
    <w:p w14:paraId="1C61781C">
      <w:pPr>
        <w:pStyle w:val="23"/>
        <w:spacing w:after="60"/>
        <w:jc w:val="both"/>
      </w:pPr>
      <w:r>
        <w:rPr>
          <w:rFonts w:ascii="Times New Roman" w:hAnsi="Times New Roman"/>
          <w:b/>
          <w:i w:val="0"/>
          <w:sz w:val="22"/>
        </w:rPr>
        <w:t>An evaluation testbed</w:t>
      </w:r>
      <w:r>
        <w:rPr>
          <w:rFonts w:ascii="Times New Roman" w:hAnsi="Times New Roman"/>
          <w:b w:val="0"/>
          <w:i w:val="0"/>
          <w:sz w:val="22"/>
        </w:rPr>
        <w:t>: a pre-specified protocol of chronological splits, horizon-resolved point and probabilistic metrics, fixed seeds, a time-series-valid conformal uncertainty method, and a significance battery matched to the structure of the comparison.</w:t>
      </w:r>
    </w:p>
    <w:p w14:paraId="76B8BAE5">
      <w:pPr>
        <w:pStyle w:val="23"/>
        <w:spacing w:after="60"/>
        <w:jc w:val="both"/>
      </w:pPr>
      <w:r>
        <w:rPr>
          <w:rFonts w:ascii="Times New Roman" w:hAnsi="Times New Roman"/>
          <w:b/>
          <w:i w:val="0"/>
          <w:sz w:val="22"/>
        </w:rPr>
        <w:t>A reproduced-baseline benchmark</w:t>
      </w:r>
      <w:r>
        <w:rPr>
          <w:rFonts w:ascii="Times New Roman" w:hAnsi="Times New Roman"/>
          <w:b w:val="0"/>
          <w:i w:val="0"/>
          <w:sz w:val="22"/>
        </w:rPr>
        <w:t>: a suite of state-of-the-art models reproduced on their own shipped datasets to establish which can be trusted as comparators, together with a structured competitive analysis that locates the research gap the framework targets.</w:t>
      </w:r>
    </w:p>
    <w:p w14:paraId="01769483">
      <w:pPr>
        <w:jc w:val="both"/>
      </w:pPr>
      <w:r>
        <w:rPr>
          <w:rFonts w:ascii="Times New Roman" w:hAnsi="Times New Roman"/>
          <w:b w:val="0"/>
          <w:i w:val="0"/>
          <w:sz w:val="22"/>
        </w:rPr>
        <w:t>The remainder of the paper is organised as follows. Section 2 synthesises the literature by the sub-problem each method family solves, and Section 3 renders that synthesis as a structured competitive analysis. Section 4 states the research gap the evidence licenses. Section 5 formalises the forecasting task and fixes the notation used throughout, and Section 6 specifies the standardised input representation. Section 7 sets out the evaluation protocol and metrics, and Section 8 reports the reproduce-then-compare benchmark that validates the baseline suite and freezes the comparison protocol. Section 9 maps each element of the gap to a concrete design commitment, and Section 10 concludes.</w:t>
      </w:r>
    </w:p>
    <w:p w14:paraId="043E01C4">
      <w:pPr>
        <w:keepNext/>
        <w:spacing w:before="120" w:after="130"/>
      </w:pPr>
      <w:r>
        <w:rPr>
          <w:rFonts w:ascii="Times New Roman" w:hAnsi="Times New Roman"/>
          <w:b/>
          <w:i w:val="0"/>
          <w:sz w:val="26"/>
        </w:rPr>
        <w:t>2 Related Work</w:t>
      </w:r>
    </w:p>
    <w:p w14:paraId="71F902EC">
      <w:pPr>
        <w:jc w:val="both"/>
      </w:pPr>
      <w:r>
        <w:rPr>
          <w:rFonts w:ascii="Times New Roman" w:hAnsi="Times New Roman"/>
          <w:b w:val="0"/>
          <w:i w:val="0"/>
          <w:sz w:val="22"/>
        </w:rPr>
        <w:t>The architectural vocabulary of epidemic GNNs is largely inherited from traffic and multivariate-sensor forecasting, and it is instructive to treat that lineage as a control group that shares the machinery but none of the epidemiological intent. STGCN (Yu, Yin, and Zhu, 2018) and DCRNN (Li, Yu, Shahabi, and Liu, 2018) established, respectively, the fully convolutional and the diffusion-recurrent templates for graph time series. Graph WaveNet (Wu, Pan, Long, Jiang, and Zhang, 2019) added the idea that proved most consequential for the epidemic setting: rather than fixing the adjacency from geography, it learns a self-adaptive dependency matrix from node embeddings and couples it to a stack of dilated causal convolutions, so that the graph becomes a parameter rather than an input; MTGNN (Wu, Pan, Long, Jiang, Chang, and Zhang, 2020) generalised this into an explicit graph-learning layer with dilated inception temporal convolutions. These models are strong precisely because they impose no domain structure, which is also their limitation here: evaluated on traffic and energy benchmarks, they carry no notion of transmission, offer no calibrated uncertainty, and were never asked to move between diseases. They define the floor that any epidemic-specific contribution must clear, and we retain one of them (Graph WaveNet) in the competitive analysis and reproduce another (MTGNN) as a sanity control. This survey follows the organising anchors of Liu, Wan, Prakash, Lau, and Jin (2024), who separate epidemic GNNs into purely neural and mechanistic-hybrid families, and of Jin, Koh, Wen, Zambon, Alippi, Webb, King, and Pan (2024), who place epidemic forecasting within the broader taxonomy of graph neural networks for time series along the axes of spatial module, temporal module, and how the graph is obtained.</w:t>
      </w:r>
    </w:p>
    <w:p w14:paraId="197E7654">
      <w:pPr>
        <w:jc w:val="both"/>
      </w:pPr>
      <w:r>
        <w:rPr>
          <w:rFonts w:ascii="Times New Roman" w:hAnsi="Times New Roman"/>
          <w:b w:val="0"/>
          <w:i w:val="0"/>
          <w:sz w:val="22"/>
        </w:rPr>
        <w:t>The first sub-problem the epidemic community isolated was that geographic adjacency is a poor proxy for epidemiological coupling: two regions can be distant yet epidemically synchronised through travel or shared seasonality. Cola-GNN (Deng, Wang, Rangwala, Wang, and Ning, 2020) addressed this by learning a directed, asymmetric location-aware attention matrix from recurrent hidden states and fusing it with a normalised geographic adjacency through a learned gate, then propagating messages over the resulting graph while a multi-scale dilated convolution reads short- and long-range temporal patterns. Its interpretability case study, which contrasts the learned attention with the geolocation and correlation matrices, is an early example of the field taking explanation seriously. The model is nonetheless single-disease by construction, trained separately for each influenza lead time, and produces point forecasts without any uncertainty statement. EpiGNN (Xie, Zhang, Li, Zhou, and Tan, 2022) refined the graph-learning idea for epidemics by encoding spatial transmission risk directly: its region-aware graph learner constructs a directed correlation graph from temporal features and fuses it with a degree-gated geographic adjacency and, optionally, an external human-mobility matrix, while local and global transmission-risk encodings summarise how exposed each region is within the network. EpiGNN is one of the few incumbents evaluated on more than one disease, spanning three influenza benchmarks and two COVID-19 datasets, and it exposes interpretable risk signals; even so, each dataset is fitted with its own model, so that its multi-disease evaluation is a breadth-of-testing claim rather than a transfer claim, and it carries neither a mechanistic prior nor a calibrated interval. We adopt EpiGNN both as a competitor and, because it reproduces faithfully, as a load-bearing baseline.</w:t>
      </w:r>
    </w:p>
    <w:p w14:paraId="09A1824A">
      <w:pPr>
        <w:jc w:val="both"/>
      </w:pPr>
      <w:r>
        <w:rPr>
          <w:rFonts w:ascii="Times New Roman" w:hAnsi="Times New Roman"/>
          <w:b w:val="0"/>
          <w:i w:val="0"/>
          <w:sz w:val="22"/>
        </w:rPr>
        <w:t>A parallel family accepts that purely data-driven graphs discard hard-won epidemiological knowledge and re-injects a compartmental prior. MepoGNN (Cao, Jiang, Yang, Fan, Song, and Shibasaki, 2022) embeds a metapopulation Susceptible-Infected-Recovered process inside a spatio-temporal GNN, learning an adaptive graph from commuter surveys and a dynamic graph from origin-destination flows so that the compartmental coupling is informed by mobility. CausalGNN (Wang, Adiga, Chen, Sadilek, Venkatramanan, and Marathe, 2022) couples an attention-based dynamic graph with a single-patch SIRD ordinary-differential-equation module, letting the mechanistic parameters and the graph representation refine one another and yielding epidemiologically meaningful quantities such as transmissibility and recovery rate. The trend has intensified in the most recent work: BDGSTN (Mao, Han, Tanaka, and Wang, 2023) fuses a trainable backbone graph with a convolution-derived temporal graph and drives a decomposition-linear predictor with an SIR module; HeatGNN (Zheng, Jiang, Chen, Zhou, Zhan, Nguyen, and Yin, 2024) fits a time-varying SIR per location under a physics-informed loss and reads out a mechanistic affinity graph that exposes cross-location similarity; and STOEP (Ruan, Li, Wei, Xu, Bao, Xu, Qiu, Wang, Wang, and Yuan, 2026) combines a metapopulation SIR with implicit spatio-temporal priors and an explicit expert-guided thresholding rule that stabilises the estimated transmission rate. STAN (Gao, Sharma, Qian, Glass, Spaeder, Romberg, Sun, and Xiao, 2021) belongs to the same spirit, coupling a graph-attention network and a gated recurrent unit over a geographic-proximity graph with transmission dynamics learned from real-world claims data. This family is the most epidemiologically principled, and several of its members offer parameter-level interpretability; yet with a partial exception discussed below, every one of them is trained and evaluated on a single disease, reports point forecasts without calibrated coverage, and explicitly lists cross-disease transfer as future work.</w:t>
      </w:r>
    </w:p>
    <w:p w14:paraId="10608787">
      <w:pPr>
        <w:jc w:val="both"/>
      </w:pPr>
      <w:r>
        <w:rPr>
          <w:rFonts w:ascii="Times New Roman" w:hAnsi="Times New Roman"/>
          <w:b w:val="0"/>
          <w:i w:val="0"/>
          <w:sz w:val="22"/>
        </w:rPr>
        <w:t>A further strand keeps the spatial graph simple and invests instead in the temporal operator or the feature set. The graph-based transformer models LTGCN and GTGCN (Ezzat, Malek, AbdelKader, and Badr, 2026) place node-wise or global self-attention over a static mobility graph pruned by a disparity backbone, and their controlled temporal-mechanism swap usefully shows that the graph convolutional encoder, not the attention, drives most of the accuracy; the authors state plainly that their model emits deterministic predictions without calibrated uncertainty. At the applied end, single-country COVID-19 studies use the same components without a transfer or calibration objective: the multiresolution ATMGNN of Nguyen, Hy, Tran-Thanh, and Nghiem (2023), whose public code we reuse as a baseline, pairs a learned graph-coarsening hierarchy with a transformer over a static border graph; the Dutch municipality model of Croft, van Iersel, and Della Santina (2023) combines gated recurrent units with GATv2 (Brody, Alon, and Yahav, 2022) over a static commuter graph and enriches it with sewage signals; and two mobility-driven forecasters dispense with a graph almost entirely, one coupling per-district long short-term memory networks through traffic-sensor adjacency (Muñoz-Organero, 2022) and one treating mobility categories as covariates to an LSTM-transformer stack (Jiao, Wang, Ye, Nagahara, and Sakurai, 2025). These works are valuable demonstrations of feature engineering and locale-specific accuracy, but each is confined to a single disease in a single country, without uncertainty, explanation, or transfer.</w:t>
      </w:r>
    </w:p>
    <w:p w14:paraId="677DFF2E">
      <w:pPr>
        <w:jc w:val="both"/>
      </w:pPr>
      <w:r>
        <w:rPr>
          <w:rFonts w:ascii="Times New Roman" w:hAnsi="Times New Roman"/>
          <w:b w:val="0"/>
          <w:i w:val="0"/>
          <w:sz w:val="22"/>
        </w:rPr>
        <w:t>Stepping back from individual architectures, the properties an operational emerging-disease system most needs are exactly the ones the literature treats least uniformly. Calibrated uncertainty is almost absent: the mechanistic-hybrid models report point forecasts, and where confidence figures appear they are typically run-to-run variability over random seeds rather than a statement about predictive coverage, as in CausalGNN's seed intervals. Explainability is more common but shallow, usually amounting to visualising an attention matrix or recovered compartmental parameters rather than attributing a specific forecast to specific inputs. Transfer has been studied, but along the wrong axis for the present problem: Panagopoulos, Nikolentzos, and Vazirgiannis (2021) use model-agnostic meta-learning to carry a mobility GNN from data-rich to data-poor countries, demonstrating cross-location transfer for a single disease, and several models generalise across regions by leave-one-region-out evaluation. The work closest to the present ambition is the dynamic spatio-temporal graph-attention model of Liu and Cao (2026), which forecasts influenza-like illness, hand-foot-and-mouth disease, dengue, and respiratory syncytial virus jointly from a shared encoder with disease-specific probabilistic decoders and reports genuinely calibrated quantile and distributional forecasts together with attention- and SHAP-based explanations. It is, on the calibration and explanation axes, the strongest incumbent. Its multi-disease capability, however, is joint multi-task learning over a fixed panel of four diseases rather than disease-agnosticism by construction, and its only cross-disease evidence is a leave-one-disease-out learning curve in a single figure, not a few-shot adaptation protocol with held-out metrics; the model is also not accompanied by public code. It therefore sharpens rather than closes the gap: it shows that calibration and explanation are attainable, while leaving disease-agnostic construction and few-shot adaptation to a genuinely unseen, data-scarce pathogen unaddressed.</w:t>
      </w:r>
    </w:p>
    <w:p w14:paraId="00DB549E">
      <w:pPr>
        <w:keepNext/>
        <w:spacing w:before="120" w:after="130"/>
      </w:pPr>
      <w:r>
        <w:rPr>
          <w:rFonts w:ascii="Times New Roman" w:hAnsi="Times New Roman"/>
          <w:b/>
          <w:i w:val="0"/>
          <w:sz w:val="26"/>
        </w:rPr>
        <w:t>3 Competitive Analysis</w:t>
      </w:r>
    </w:p>
    <w:p w14:paraId="287B8949">
      <w:pPr>
        <w:jc w:val="both"/>
      </w:pPr>
      <w:r>
        <w:rPr>
          <w:rFonts w:ascii="Times New Roman" w:hAnsi="Times New Roman"/>
          <w:b w:val="0"/>
          <w:i w:val="0"/>
          <w:sz w:val="22"/>
        </w:rPr>
        <w:t>Table 1 renders the preceding synthesis as a single grid, scoring each representative model on the dimensions drawn from our design requirements: the spatial and temporal modules, how the graph is obtained, whether a mechanistic prior is present, whether predictive uncertainty and explanation are provided, which diseases are evaluated, whether cross-disease transfer is demonstrated, the datasets and metrics used, and whether code is public. Each cell was verified against the source paper or its released repository rather than from memory; a general-purpose spatio-temporal control (Graph WaveNet) marks the non-epidemic floor, and the final row states the position of the framework proposed here.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620"/>
        <w:gridCol w:w="850"/>
        <w:gridCol w:w="800"/>
        <w:gridCol w:w="820"/>
        <w:gridCol w:w="690"/>
        <w:gridCol w:w="600"/>
        <w:gridCol w:w="740"/>
        <w:gridCol w:w="850"/>
        <w:gridCol w:w="820"/>
        <w:gridCol w:w="770"/>
        <w:gridCol w:w="720"/>
        <w:gridCol w:w="530"/>
      </w:tblGrid>
      <w:tr w14:paraId="7C7AF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50" w:type="dxa"/>
            <w:shd w:val="clear" w:color="auto" w:fill="D9D9D9"/>
            <w:tcMar>
              <w:top w:w="40" w:type="dxa"/>
              <w:left w:w="90" w:type="dxa"/>
              <w:bottom w:w="40" w:type="dxa"/>
              <w:right w:w="90" w:type="dxa"/>
            </w:tcMar>
            <w:vAlign w:val="center"/>
          </w:tcPr>
          <w:p w14:paraId="4608E832">
            <w:pPr>
              <w:spacing w:after="0"/>
              <w:jc w:val="left"/>
            </w:pPr>
            <w:r>
              <w:rPr>
                <w:rFonts w:ascii="Times New Roman" w:hAnsi="Times New Roman"/>
                <w:b/>
                <w:i w:val="0"/>
                <w:sz w:val="13"/>
              </w:rPr>
              <w:t>Method</w:t>
            </w:r>
          </w:p>
        </w:tc>
        <w:tc>
          <w:tcPr>
            <w:tcW w:w="620" w:type="dxa"/>
            <w:shd w:val="clear" w:color="auto" w:fill="D9D9D9"/>
            <w:tcMar>
              <w:top w:w="40" w:type="dxa"/>
              <w:left w:w="90" w:type="dxa"/>
              <w:bottom w:w="40" w:type="dxa"/>
              <w:right w:w="90" w:type="dxa"/>
            </w:tcMar>
            <w:vAlign w:val="center"/>
          </w:tcPr>
          <w:p w14:paraId="4900BD49">
            <w:pPr>
              <w:spacing w:after="0"/>
              <w:jc w:val="left"/>
            </w:pPr>
            <w:r>
              <w:rPr>
                <w:rFonts w:ascii="Times New Roman" w:hAnsi="Times New Roman"/>
                <w:b/>
                <w:i w:val="0"/>
                <w:sz w:val="13"/>
              </w:rPr>
              <w:t>Venue / Yr</w:t>
            </w:r>
          </w:p>
        </w:tc>
        <w:tc>
          <w:tcPr>
            <w:tcW w:w="850" w:type="dxa"/>
            <w:shd w:val="clear" w:color="auto" w:fill="D9D9D9"/>
            <w:tcMar>
              <w:top w:w="40" w:type="dxa"/>
              <w:left w:w="90" w:type="dxa"/>
              <w:bottom w:w="40" w:type="dxa"/>
              <w:right w:w="90" w:type="dxa"/>
            </w:tcMar>
            <w:vAlign w:val="center"/>
          </w:tcPr>
          <w:p w14:paraId="632ED380">
            <w:pPr>
              <w:spacing w:after="0"/>
              <w:jc w:val="left"/>
            </w:pPr>
            <w:r>
              <w:rPr>
                <w:rFonts w:ascii="Times New Roman" w:hAnsi="Times New Roman"/>
                <w:b/>
                <w:i w:val="0"/>
                <w:sz w:val="13"/>
              </w:rPr>
              <w:t>Spatial module</w:t>
            </w:r>
          </w:p>
        </w:tc>
        <w:tc>
          <w:tcPr>
            <w:tcW w:w="800" w:type="dxa"/>
            <w:shd w:val="clear" w:color="auto" w:fill="D9D9D9"/>
            <w:tcMar>
              <w:top w:w="40" w:type="dxa"/>
              <w:left w:w="90" w:type="dxa"/>
              <w:bottom w:w="40" w:type="dxa"/>
              <w:right w:w="90" w:type="dxa"/>
            </w:tcMar>
            <w:vAlign w:val="center"/>
          </w:tcPr>
          <w:p w14:paraId="4E275BFA">
            <w:pPr>
              <w:spacing w:after="0"/>
              <w:jc w:val="left"/>
            </w:pPr>
            <w:r>
              <w:rPr>
                <w:rFonts w:ascii="Times New Roman" w:hAnsi="Times New Roman"/>
                <w:b/>
                <w:i w:val="0"/>
                <w:sz w:val="13"/>
              </w:rPr>
              <w:t>Temporal module</w:t>
            </w:r>
          </w:p>
        </w:tc>
        <w:tc>
          <w:tcPr>
            <w:tcW w:w="820" w:type="dxa"/>
            <w:shd w:val="clear" w:color="auto" w:fill="D9D9D9"/>
            <w:tcMar>
              <w:top w:w="40" w:type="dxa"/>
              <w:left w:w="90" w:type="dxa"/>
              <w:bottom w:w="40" w:type="dxa"/>
              <w:right w:w="90" w:type="dxa"/>
            </w:tcMar>
            <w:vAlign w:val="center"/>
          </w:tcPr>
          <w:p w14:paraId="35F4BDC9">
            <w:pPr>
              <w:spacing w:after="0"/>
              <w:jc w:val="left"/>
            </w:pPr>
            <w:r>
              <w:rPr>
                <w:rFonts w:ascii="Times New Roman" w:hAnsi="Times New Roman"/>
                <w:b/>
                <w:i w:val="0"/>
                <w:sz w:val="13"/>
              </w:rPr>
              <w:t>Graph type</w:t>
            </w:r>
          </w:p>
        </w:tc>
        <w:tc>
          <w:tcPr>
            <w:tcW w:w="690" w:type="dxa"/>
            <w:shd w:val="clear" w:color="auto" w:fill="D9D9D9"/>
            <w:tcMar>
              <w:top w:w="40" w:type="dxa"/>
              <w:left w:w="90" w:type="dxa"/>
              <w:bottom w:w="40" w:type="dxa"/>
              <w:right w:w="90" w:type="dxa"/>
            </w:tcMar>
            <w:vAlign w:val="center"/>
          </w:tcPr>
          <w:p w14:paraId="75B50121">
            <w:pPr>
              <w:spacing w:after="0"/>
              <w:jc w:val="left"/>
            </w:pPr>
            <w:r>
              <w:rPr>
                <w:rFonts w:ascii="Times New Roman" w:hAnsi="Times New Roman"/>
                <w:b/>
                <w:i w:val="0"/>
                <w:sz w:val="13"/>
              </w:rPr>
              <w:t>Mech. prior</w:t>
            </w:r>
          </w:p>
        </w:tc>
        <w:tc>
          <w:tcPr>
            <w:tcW w:w="600" w:type="dxa"/>
            <w:shd w:val="clear" w:color="auto" w:fill="D9D9D9"/>
            <w:tcMar>
              <w:top w:w="40" w:type="dxa"/>
              <w:left w:w="90" w:type="dxa"/>
              <w:bottom w:w="40" w:type="dxa"/>
              <w:right w:w="90" w:type="dxa"/>
            </w:tcMar>
            <w:vAlign w:val="center"/>
          </w:tcPr>
          <w:p w14:paraId="7FF0142A">
            <w:pPr>
              <w:spacing w:after="0"/>
              <w:jc w:val="left"/>
            </w:pPr>
            <w:r>
              <w:rPr>
                <w:rFonts w:ascii="Times New Roman" w:hAnsi="Times New Roman"/>
                <w:b/>
                <w:i w:val="0"/>
                <w:sz w:val="13"/>
              </w:rPr>
              <w:t>Uncert.</w:t>
            </w:r>
          </w:p>
        </w:tc>
        <w:tc>
          <w:tcPr>
            <w:tcW w:w="740" w:type="dxa"/>
            <w:shd w:val="clear" w:color="auto" w:fill="D9D9D9"/>
            <w:tcMar>
              <w:top w:w="40" w:type="dxa"/>
              <w:left w:w="90" w:type="dxa"/>
              <w:bottom w:w="40" w:type="dxa"/>
              <w:right w:w="90" w:type="dxa"/>
            </w:tcMar>
            <w:vAlign w:val="center"/>
          </w:tcPr>
          <w:p w14:paraId="78858607">
            <w:pPr>
              <w:spacing w:after="0"/>
              <w:jc w:val="left"/>
            </w:pPr>
            <w:r>
              <w:rPr>
                <w:rFonts w:ascii="Times New Roman" w:hAnsi="Times New Roman"/>
                <w:b/>
                <w:i w:val="0"/>
                <w:sz w:val="13"/>
              </w:rPr>
              <w:t>Explain.</w:t>
            </w:r>
          </w:p>
        </w:tc>
        <w:tc>
          <w:tcPr>
            <w:tcW w:w="850" w:type="dxa"/>
            <w:shd w:val="clear" w:color="auto" w:fill="D9D9D9"/>
            <w:tcMar>
              <w:top w:w="40" w:type="dxa"/>
              <w:left w:w="90" w:type="dxa"/>
              <w:bottom w:w="40" w:type="dxa"/>
              <w:right w:w="90" w:type="dxa"/>
            </w:tcMar>
            <w:vAlign w:val="center"/>
          </w:tcPr>
          <w:p w14:paraId="19EFA8D4">
            <w:pPr>
              <w:spacing w:after="0"/>
              <w:jc w:val="left"/>
            </w:pPr>
            <w:r>
              <w:rPr>
                <w:rFonts w:ascii="Times New Roman" w:hAnsi="Times New Roman"/>
                <w:b/>
                <w:i w:val="0"/>
                <w:sz w:val="13"/>
              </w:rPr>
              <w:t>Diseases</w:t>
            </w:r>
          </w:p>
        </w:tc>
        <w:tc>
          <w:tcPr>
            <w:tcW w:w="820" w:type="dxa"/>
            <w:shd w:val="clear" w:color="auto" w:fill="D9D9D9"/>
            <w:tcMar>
              <w:top w:w="40" w:type="dxa"/>
              <w:left w:w="90" w:type="dxa"/>
              <w:bottom w:w="40" w:type="dxa"/>
              <w:right w:w="90" w:type="dxa"/>
            </w:tcMar>
            <w:vAlign w:val="center"/>
          </w:tcPr>
          <w:p w14:paraId="08A1B6B1">
            <w:pPr>
              <w:spacing w:after="0"/>
              <w:jc w:val="left"/>
            </w:pPr>
            <w:r>
              <w:rPr>
                <w:rFonts w:ascii="Times New Roman" w:hAnsi="Times New Roman"/>
                <w:b/>
                <w:i w:val="0"/>
                <w:sz w:val="13"/>
              </w:rPr>
              <w:t>Transf.</w:t>
            </w:r>
          </w:p>
        </w:tc>
        <w:tc>
          <w:tcPr>
            <w:tcW w:w="770" w:type="dxa"/>
            <w:shd w:val="clear" w:color="auto" w:fill="D9D9D9"/>
            <w:tcMar>
              <w:top w:w="40" w:type="dxa"/>
              <w:left w:w="90" w:type="dxa"/>
              <w:bottom w:w="40" w:type="dxa"/>
              <w:right w:w="90" w:type="dxa"/>
            </w:tcMar>
            <w:vAlign w:val="center"/>
          </w:tcPr>
          <w:p w14:paraId="2D235AFA">
            <w:pPr>
              <w:spacing w:after="0"/>
              <w:jc w:val="left"/>
            </w:pPr>
            <w:r>
              <w:rPr>
                <w:rFonts w:ascii="Times New Roman" w:hAnsi="Times New Roman"/>
                <w:b/>
                <w:i w:val="0"/>
                <w:sz w:val="13"/>
              </w:rPr>
              <w:t>Datasets</w:t>
            </w:r>
          </w:p>
        </w:tc>
        <w:tc>
          <w:tcPr>
            <w:tcW w:w="720" w:type="dxa"/>
            <w:shd w:val="clear" w:color="auto" w:fill="D9D9D9"/>
            <w:tcMar>
              <w:top w:w="40" w:type="dxa"/>
              <w:left w:w="90" w:type="dxa"/>
              <w:bottom w:w="40" w:type="dxa"/>
              <w:right w:w="90" w:type="dxa"/>
            </w:tcMar>
            <w:vAlign w:val="center"/>
          </w:tcPr>
          <w:p w14:paraId="6EF4316D">
            <w:pPr>
              <w:spacing w:after="0"/>
              <w:jc w:val="left"/>
            </w:pPr>
            <w:r>
              <w:rPr>
                <w:rFonts w:ascii="Times New Roman" w:hAnsi="Times New Roman"/>
                <w:b/>
                <w:i w:val="0"/>
                <w:sz w:val="13"/>
              </w:rPr>
              <w:t>Metrics</w:t>
            </w:r>
          </w:p>
        </w:tc>
        <w:tc>
          <w:tcPr>
            <w:tcW w:w="530" w:type="dxa"/>
            <w:shd w:val="clear" w:color="auto" w:fill="D9D9D9"/>
            <w:tcMar>
              <w:top w:w="40" w:type="dxa"/>
              <w:left w:w="90" w:type="dxa"/>
              <w:bottom w:w="40" w:type="dxa"/>
              <w:right w:w="90" w:type="dxa"/>
            </w:tcMar>
            <w:vAlign w:val="center"/>
          </w:tcPr>
          <w:p w14:paraId="79FCF159">
            <w:pPr>
              <w:spacing w:after="0"/>
              <w:jc w:val="left"/>
            </w:pPr>
            <w:r>
              <w:rPr>
                <w:rFonts w:ascii="Times New Roman" w:hAnsi="Times New Roman"/>
                <w:b/>
                <w:i w:val="0"/>
                <w:sz w:val="13"/>
              </w:rPr>
              <w:t>Code</w:t>
            </w:r>
          </w:p>
        </w:tc>
      </w:tr>
      <w:tr w14:paraId="79D20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701D17FF">
            <w:pPr>
              <w:spacing w:after="0"/>
              <w:jc w:val="left"/>
            </w:pPr>
            <w:r>
              <w:rPr>
                <w:rFonts w:ascii="Times New Roman" w:hAnsi="Times New Roman"/>
                <w:b w:val="0"/>
                <w:i w:val="0"/>
                <w:sz w:val="13"/>
              </w:rPr>
              <w:t>Graph WaveNet</w:t>
            </w:r>
          </w:p>
        </w:tc>
        <w:tc>
          <w:tcPr>
            <w:tcW w:w="620" w:type="dxa"/>
            <w:tcMar>
              <w:top w:w="40" w:type="dxa"/>
              <w:left w:w="90" w:type="dxa"/>
              <w:bottom w:w="40" w:type="dxa"/>
              <w:right w:w="90" w:type="dxa"/>
            </w:tcMar>
          </w:tcPr>
          <w:p w14:paraId="43A332F7">
            <w:pPr>
              <w:spacing w:after="0"/>
              <w:jc w:val="left"/>
            </w:pPr>
            <w:r>
              <w:rPr>
                <w:rFonts w:ascii="Times New Roman" w:hAnsi="Times New Roman"/>
                <w:b w:val="0"/>
                <w:i w:val="0"/>
                <w:sz w:val="13"/>
              </w:rPr>
              <w:t>IJCAI 2019</w:t>
            </w:r>
          </w:p>
        </w:tc>
        <w:tc>
          <w:tcPr>
            <w:tcW w:w="850" w:type="dxa"/>
            <w:tcMar>
              <w:top w:w="40" w:type="dxa"/>
              <w:left w:w="90" w:type="dxa"/>
              <w:bottom w:w="40" w:type="dxa"/>
              <w:right w:w="90" w:type="dxa"/>
            </w:tcMar>
          </w:tcPr>
          <w:p w14:paraId="2B9C6821">
            <w:pPr>
              <w:spacing w:after="0"/>
              <w:jc w:val="left"/>
            </w:pPr>
            <w:r>
              <w:rPr>
                <w:rFonts w:ascii="Times New Roman" w:hAnsi="Times New Roman"/>
                <w:b w:val="0"/>
                <w:i w:val="0"/>
                <w:sz w:val="13"/>
              </w:rPr>
              <w:t>adaptive graph conv.</w:t>
            </w:r>
          </w:p>
        </w:tc>
        <w:tc>
          <w:tcPr>
            <w:tcW w:w="800" w:type="dxa"/>
            <w:tcMar>
              <w:top w:w="40" w:type="dxa"/>
              <w:left w:w="90" w:type="dxa"/>
              <w:bottom w:w="40" w:type="dxa"/>
              <w:right w:w="90" w:type="dxa"/>
            </w:tcMar>
          </w:tcPr>
          <w:p w14:paraId="6279BA2C">
            <w:pPr>
              <w:spacing w:after="0"/>
              <w:jc w:val="left"/>
            </w:pPr>
            <w:r>
              <w:rPr>
                <w:rFonts w:ascii="Times New Roman" w:hAnsi="Times New Roman"/>
                <w:b w:val="0"/>
                <w:i w:val="0"/>
                <w:sz w:val="13"/>
              </w:rPr>
              <w:t>dilated causal TCN</w:t>
            </w:r>
          </w:p>
        </w:tc>
        <w:tc>
          <w:tcPr>
            <w:tcW w:w="820" w:type="dxa"/>
            <w:tcMar>
              <w:top w:w="40" w:type="dxa"/>
              <w:left w:w="90" w:type="dxa"/>
              <w:bottom w:w="40" w:type="dxa"/>
              <w:right w:w="90" w:type="dxa"/>
            </w:tcMar>
          </w:tcPr>
          <w:p w14:paraId="41090612">
            <w:pPr>
              <w:spacing w:after="0"/>
              <w:jc w:val="left"/>
            </w:pPr>
            <w:r>
              <w:rPr>
                <w:rFonts w:ascii="Times New Roman" w:hAnsi="Times New Roman"/>
                <w:b w:val="0"/>
                <w:i w:val="0"/>
                <w:sz w:val="13"/>
              </w:rPr>
              <w:t>learned (adaptive)</w:t>
            </w:r>
          </w:p>
        </w:tc>
        <w:tc>
          <w:tcPr>
            <w:tcW w:w="690" w:type="dxa"/>
            <w:tcMar>
              <w:top w:w="40" w:type="dxa"/>
              <w:left w:w="90" w:type="dxa"/>
              <w:bottom w:w="40" w:type="dxa"/>
              <w:right w:w="90" w:type="dxa"/>
            </w:tcMar>
          </w:tcPr>
          <w:p w14:paraId="237FF51C">
            <w:pPr>
              <w:spacing w:after="0"/>
              <w:jc w:val="left"/>
            </w:pPr>
            <w:r>
              <w:rPr>
                <w:rFonts w:ascii="Times New Roman" w:hAnsi="Times New Roman"/>
                <w:b w:val="0"/>
                <w:i w:val="0"/>
                <w:sz w:val="13"/>
              </w:rPr>
              <w:t>none</w:t>
            </w:r>
          </w:p>
        </w:tc>
        <w:tc>
          <w:tcPr>
            <w:tcW w:w="600" w:type="dxa"/>
            <w:tcMar>
              <w:top w:w="40" w:type="dxa"/>
              <w:left w:w="90" w:type="dxa"/>
              <w:bottom w:w="40" w:type="dxa"/>
              <w:right w:w="90" w:type="dxa"/>
            </w:tcMar>
          </w:tcPr>
          <w:p w14:paraId="52C38C10">
            <w:pPr>
              <w:spacing w:after="0"/>
              <w:jc w:val="left"/>
            </w:pPr>
            <w:r>
              <w:rPr>
                <w:rFonts w:ascii="Times New Roman" w:hAnsi="Times New Roman"/>
                <w:b w:val="0"/>
                <w:i w:val="0"/>
                <w:sz w:val="13"/>
              </w:rPr>
              <w:t>none</w:t>
            </w:r>
          </w:p>
        </w:tc>
        <w:tc>
          <w:tcPr>
            <w:tcW w:w="740" w:type="dxa"/>
            <w:tcMar>
              <w:top w:w="40" w:type="dxa"/>
              <w:left w:w="90" w:type="dxa"/>
              <w:bottom w:w="40" w:type="dxa"/>
              <w:right w:w="90" w:type="dxa"/>
            </w:tcMar>
          </w:tcPr>
          <w:p w14:paraId="68E09B57">
            <w:pPr>
              <w:spacing w:after="0"/>
              <w:jc w:val="left"/>
            </w:pPr>
            <w:r>
              <w:rPr>
                <w:rFonts w:ascii="Times New Roman" w:hAnsi="Times New Roman"/>
                <w:b w:val="0"/>
                <w:i w:val="0"/>
                <w:sz w:val="13"/>
              </w:rPr>
              <w:t>no</w:t>
            </w:r>
          </w:p>
        </w:tc>
        <w:tc>
          <w:tcPr>
            <w:tcW w:w="850" w:type="dxa"/>
            <w:tcMar>
              <w:top w:w="40" w:type="dxa"/>
              <w:left w:w="90" w:type="dxa"/>
              <w:bottom w:w="40" w:type="dxa"/>
              <w:right w:w="90" w:type="dxa"/>
            </w:tcMar>
          </w:tcPr>
          <w:p w14:paraId="4A5F782E">
            <w:pPr>
              <w:spacing w:after="0"/>
              <w:jc w:val="left"/>
            </w:pPr>
            <w:r>
              <w:rPr>
                <w:rFonts w:ascii="Times New Roman" w:hAnsi="Times New Roman"/>
                <w:b w:val="0"/>
                <w:i w:val="0"/>
                <w:sz w:val="13"/>
              </w:rPr>
              <w:t>traffic (non-epi.)</w:t>
            </w:r>
          </w:p>
        </w:tc>
        <w:tc>
          <w:tcPr>
            <w:tcW w:w="820" w:type="dxa"/>
            <w:tcMar>
              <w:top w:w="40" w:type="dxa"/>
              <w:left w:w="90" w:type="dxa"/>
              <w:bottom w:w="40" w:type="dxa"/>
              <w:right w:w="90" w:type="dxa"/>
            </w:tcMar>
          </w:tcPr>
          <w:p w14:paraId="1764A039">
            <w:pPr>
              <w:spacing w:after="0"/>
              <w:jc w:val="left"/>
            </w:pPr>
            <w:r>
              <w:rPr>
                <w:rFonts w:ascii="Times New Roman" w:hAnsi="Times New Roman"/>
                <w:b w:val="0"/>
                <w:i w:val="0"/>
                <w:sz w:val="13"/>
              </w:rPr>
              <w:t>no</w:t>
            </w:r>
          </w:p>
        </w:tc>
        <w:tc>
          <w:tcPr>
            <w:tcW w:w="770" w:type="dxa"/>
            <w:tcMar>
              <w:top w:w="40" w:type="dxa"/>
              <w:left w:w="90" w:type="dxa"/>
              <w:bottom w:w="40" w:type="dxa"/>
              <w:right w:w="90" w:type="dxa"/>
            </w:tcMar>
          </w:tcPr>
          <w:p w14:paraId="480F49F7">
            <w:pPr>
              <w:spacing w:after="0"/>
              <w:jc w:val="left"/>
            </w:pPr>
            <w:r>
              <w:rPr>
                <w:rFonts w:ascii="Times New Roman" w:hAnsi="Times New Roman"/>
                <w:b w:val="0"/>
                <w:i w:val="0"/>
                <w:sz w:val="13"/>
              </w:rPr>
              <w:t>METR-LA; PEMS-BAY</w:t>
            </w:r>
          </w:p>
        </w:tc>
        <w:tc>
          <w:tcPr>
            <w:tcW w:w="720" w:type="dxa"/>
            <w:tcMar>
              <w:top w:w="40" w:type="dxa"/>
              <w:left w:w="90" w:type="dxa"/>
              <w:bottom w:w="40" w:type="dxa"/>
              <w:right w:w="90" w:type="dxa"/>
            </w:tcMar>
          </w:tcPr>
          <w:p w14:paraId="57CD99F2">
            <w:pPr>
              <w:spacing w:after="0"/>
              <w:jc w:val="left"/>
            </w:pPr>
            <w:r>
              <w:rPr>
                <w:rFonts w:ascii="Times New Roman" w:hAnsi="Times New Roman"/>
                <w:b w:val="0"/>
                <w:i w:val="0"/>
                <w:sz w:val="13"/>
              </w:rPr>
              <w:t>MAE, RMSE, MAPE</w:t>
            </w:r>
          </w:p>
        </w:tc>
        <w:tc>
          <w:tcPr>
            <w:tcW w:w="530" w:type="dxa"/>
            <w:tcMar>
              <w:top w:w="40" w:type="dxa"/>
              <w:left w:w="90" w:type="dxa"/>
              <w:bottom w:w="40" w:type="dxa"/>
              <w:right w:w="90" w:type="dxa"/>
            </w:tcMar>
          </w:tcPr>
          <w:p w14:paraId="1085A1C7">
            <w:pPr>
              <w:spacing w:after="0"/>
              <w:jc w:val="left"/>
            </w:pPr>
            <w:r>
              <w:rPr>
                <w:rFonts w:ascii="Times New Roman" w:hAnsi="Times New Roman"/>
                <w:b w:val="0"/>
                <w:i w:val="0"/>
                <w:sz w:val="13"/>
              </w:rPr>
              <w:t>yes</w:t>
            </w:r>
          </w:p>
        </w:tc>
      </w:tr>
      <w:tr w14:paraId="17C06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67A48411">
            <w:pPr>
              <w:spacing w:after="0"/>
              <w:jc w:val="left"/>
            </w:pPr>
            <w:r>
              <w:rPr>
                <w:rFonts w:ascii="Times New Roman" w:hAnsi="Times New Roman"/>
                <w:b w:val="0"/>
                <w:i w:val="0"/>
                <w:sz w:val="13"/>
              </w:rPr>
              <w:t>Cola-GNN</w:t>
            </w:r>
          </w:p>
        </w:tc>
        <w:tc>
          <w:tcPr>
            <w:tcW w:w="620" w:type="dxa"/>
            <w:tcMar>
              <w:top w:w="40" w:type="dxa"/>
              <w:left w:w="90" w:type="dxa"/>
              <w:bottom w:w="40" w:type="dxa"/>
              <w:right w:w="90" w:type="dxa"/>
            </w:tcMar>
          </w:tcPr>
          <w:p w14:paraId="6A7F2366">
            <w:pPr>
              <w:spacing w:after="0"/>
              <w:jc w:val="left"/>
            </w:pPr>
            <w:r>
              <w:rPr>
                <w:rFonts w:ascii="Times New Roman" w:hAnsi="Times New Roman"/>
                <w:b w:val="0"/>
                <w:i w:val="0"/>
                <w:sz w:val="13"/>
              </w:rPr>
              <w:t>CIKM 2020</w:t>
            </w:r>
          </w:p>
        </w:tc>
        <w:tc>
          <w:tcPr>
            <w:tcW w:w="850" w:type="dxa"/>
            <w:tcMar>
              <w:top w:w="40" w:type="dxa"/>
              <w:left w:w="90" w:type="dxa"/>
              <w:bottom w:w="40" w:type="dxa"/>
              <w:right w:w="90" w:type="dxa"/>
            </w:tcMar>
          </w:tcPr>
          <w:p w14:paraId="4575B034">
            <w:pPr>
              <w:spacing w:after="0"/>
              <w:jc w:val="left"/>
            </w:pPr>
            <w:r>
              <w:rPr>
                <w:rFonts w:ascii="Times New Roman" w:hAnsi="Times New Roman"/>
                <w:b w:val="0"/>
                <w:i w:val="0"/>
                <w:sz w:val="13"/>
              </w:rPr>
              <w:t>cross-location attn.</w:t>
            </w:r>
          </w:p>
        </w:tc>
        <w:tc>
          <w:tcPr>
            <w:tcW w:w="800" w:type="dxa"/>
            <w:tcMar>
              <w:top w:w="40" w:type="dxa"/>
              <w:left w:w="90" w:type="dxa"/>
              <w:bottom w:w="40" w:type="dxa"/>
              <w:right w:w="90" w:type="dxa"/>
            </w:tcMar>
          </w:tcPr>
          <w:p w14:paraId="429A4F07">
            <w:pPr>
              <w:spacing w:after="0"/>
              <w:jc w:val="left"/>
            </w:pPr>
            <w:r>
              <w:rPr>
                <w:rFonts w:ascii="Times New Roman" w:hAnsi="Times New Roman"/>
                <w:b w:val="0"/>
                <w:i w:val="0"/>
                <w:sz w:val="13"/>
              </w:rPr>
              <w:t>RNN + dilated conv.</w:t>
            </w:r>
          </w:p>
        </w:tc>
        <w:tc>
          <w:tcPr>
            <w:tcW w:w="820" w:type="dxa"/>
            <w:tcMar>
              <w:top w:w="40" w:type="dxa"/>
              <w:left w:w="90" w:type="dxa"/>
              <w:bottom w:w="40" w:type="dxa"/>
              <w:right w:w="90" w:type="dxa"/>
            </w:tcMar>
          </w:tcPr>
          <w:p w14:paraId="000EA590">
            <w:pPr>
              <w:spacing w:after="0"/>
              <w:jc w:val="left"/>
            </w:pPr>
            <w:r>
              <w:rPr>
                <w:rFonts w:ascii="Times New Roman" w:hAnsi="Times New Roman"/>
                <w:b w:val="0"/>
                <w:i w:val="0"/>
                <w:sz w:val="13"/>
              </w:rPr>
              <w:t>learned + geo (gated)</w:t>
            </w:r>
          </w:p>
        </w:tc>
        <w:tc>
          <w:tcPr>
            <w:tcW w:w="690" w:type="dxa"/>
            <w:tcMar>
              <w:top w:w="40" w:type="dxa"/>
              <w:left w:w="90" w:type="dxa"/>
              <w:bottom w:w="40" w:type="dxa"/>
              <w:right w:w="90" w:type="dxa"/>
            </w:tcMar>
          </w:tcPr>
          <w:p w14:paraId="3CE4636C">
            <w:pPr>
              <w:spacing w:after="0"/>
              <w:jc w:val="left"/>
            </w:pPr>
            <w:r>
              <w:rPr>
                <w:rFonts w:ascii="Times New Roman" w:hAnsi="Times New Roman"/>
                <w:b w:val="0"/>
                <w:i w:val="0"/>
                <w:sz w:val="13"/>
              </w:rPr>
              <w:t>none</w:t>
            </w:r>
          </w:p>
        </w:tc>
        <w:tc>
          <w:tcPr>
            <w:tcW w:w="600" w:type="dxa"/>
            <w:tcMar>
              <w:top w:w="40" w:type="dxa"/>
              <w:left w:w="90" w:type="dxa"/>
              <w:bottom w:w="40" w:type="dxa"/>
              <w:right w:w="90" w:type="dxa"/>
            </w:tcMar>
          </w:tcPr>
          <w:p w14:paraId="2E74FB0E">
            <w:pPr>
              <w:spacing w:after="0"/>
              <w:jc w:val="left"/>
            </w:pPr>
            <w:r>
              <w:rPr>
                <w:rFonts w:ascii="Times New Roman" w:hAnsi="Times New Roman"/>
                <w:b w:val="0"/>
                <w:i w:val="0"/>
                <w:sz w:val="13"/>
              </w:rPr>
              <w:t>none</w:t>
            </w:r>
          </w:p>
        </w:tc>
        <w:tc>
          <w:tcPr>
            <w:tcW w:w="740" w:type="dxa"/>
            <w:tcMar>
              <w:top w:w="40" w:type="dxa"/>
              <w:left w:w="90" w:type="dxa"/>
              <w:bottom w:w="40" w:type="dxa"/>
              <w:right w:w="90" w:type="dxa"/>
            </w:tcMar>
          </w:tcPr>
          <w:p w14:paraId="5BB289F6">
            <w:pPr>
              <w:spacing w:after="0"/>
              <w:jc w:val="left"/>
            </w:pPr>
            <w:r>
              <w:rPr>
                <w:rFonts w:ascii="Times New Roman" w:hAnsi="Times New Roman"/>
                <w:b w:val="0"/>
                <w:i w:val="0"/>
                <w:sz w:val="13"/>
              </w:rPr>
              <w:t>yes — attention</w:t>
            </w:r>
          </w:p>
        </w:tc>
        <w:tc>
          <w:tcPr>
            <w:tcW w:w="850" w:type="dxa"/>
            <w:tcMar>
              <w:top w:w="40" w:type="dxa"/>
              <w:left w:w="90" w:type="dxa"/>
              <w:bottom w:w="40" w:type="dxa"/>
              <w:right w:w="90" w:type="dxa"/>
            </w:tcMar>
          </w:tcPr>
          <w:p w14:paraId="5D507EA3">
            <w:pPr>
              <w:spacing w:after="0"/>
              <w:jc w:val="left"/>
            </w:pPr>
            <w:r>
              <w:rPr>
                <w:rFonts w:ascii="Times New Roman" w:hAnsi="Times New Roman"/>
                <w:b w:val="0"/>
                <w:i w:val="0"/>
                <w:sz w:val="13"/>
              </w:rPr>
              <w:t>influenza (ILI)</w:t>
            </w:r>
          </w:p>
        </w:tc>
        <w:tc>
          <w:tcPr>
            <w:tcW w:w="820" w:type="dxa"/>
            <w:tcMar>
              <w:top w:w="40" w:type="dxa"/>
              <w:left w:w="90" w:type="dxa"/>
              <w:bottom w:w="40" w:type="dxa"/>
              <w:right w:w="90" w:type="dxa"/>
            </w:tcMar>
          </w:tcPr>
          <w:p w14:paraId="0DE0C064">
            <w:pPr>
              <w:spacing w:after="0"/>
              <w:jc w:val="left"/>
            </w:pPr>
            <w:r>
              <w:rPr>
                <w:rFonts w:ascii="Times New Roman" w:hAnsi="Times New Roman"/>
                <w:b w:val="0"/>
                <w:i w:val="0"/>
                <w:sz w:val="13"/>
              </w:rPr>
              <w:t>no</w:t>
            </w:r>
          </w:p>
        </w:tc>
        <w:tc>
          <w:tcPr>
            <w:tcW w:w="770" w:type="dxa"/>
            <w:tcMar>
              <w:top w:w="40" w:type="dxa"/>
              <w:left w:w="90" w:type="dxa"/>
              <w:bottom w:w="40" w:type="dxa"/>
              <w:right w:w="90" w:type="dxa"/>
            </w:tcMar>
          </w:tcPr>
          <w:p w14:paraId="74886219">
            <w:pPr>
              <w:spacing w:after="0"/>
              <w:jc w:val="left"/>
            </w:pPr>
            <w:r>
              <w:rPr>
                <w:rFonts w:ascii="Times New Roman" w:hAnsi="Times New Roman"/>
                <w:b w:val="0"/>
                <w:i w:val="0"/>
                <w:sz w:val="13"/>
              </w:rPr>
              <w:t>Japan 47; US-Reg. 10; US-St. 49</w:t>
            </w:r>
          </w:p>
        </w:tc>
        <w:tc>
          <w:tcPr>
            <w:tcW w:w="720" w:type="dxa"/>
            <w:tcMar>
              <w:top w:w="40" w:type="dxa"/>
              <w:left w:w="90" w:type="dxa"/>
              <w:bottom w:w="40" w:type="dxa"/>
              <w:right w:w="90" w:type="dxa"/>
            </w:tcMar>
          </w:tcPr>
          <w:p w14:paraId="536A1133">
            <w:pPr>
              <w:spacing w:after="0"/>
              <w:jc w:val="left"/>
            </w:pPr>
            <w:r>
              <w:rPr>
                <w:rFonts w:ascii="Times New Roman" w:hAnsi="Times New Roman"/>
                <w:b w:val="0"/>
                <w:i w:val="0"/>
                <w:sz w:val="13"/>
              </w:rPr>
              <w:t>RMSE, MAE, PCC</w:t>
            </w:r>
          </w:p>
        </w:tc>
        <w:tc>
          <w:tcPr>
            <w:tcW w:w="530" w:type="dxa"/>
            <w:tcMar>
              <w:top w:w="40" w:type="dxa"/>
              <w:left w:w="90" w:type="dxa"/>
              <w:bottom w:w="40" w:type="dxa"/>
              <w:right w:w="90" w:type="dxa"/>
            </w:tcMar>
          </w:tcPr>
          <w:p w14:paraId="288DFB25">
            <w:pPr>
              <w:spacing w:after="0"/>
              <w:jc w:val="left"/>
            </w:pPr>
            <w:r>
              <w:rPr>
                <w:rFonts w:ascii="Times New Roman" w:hAnsi="Times New Roman"/>
                <w:b w:val="0"/>
                <w:i w:val="0"/>
                <w:sz w:val="13"/>
              </w:rPr>
              <w:t>yes</w:t>
            </w:r>
          </w:p>
        </w:tc>
      </w:tr>
      <w:tr w14:paraId="2D84D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08DD73A4">
            <w:pPr>
              <w:spacing w:after="0"/>
              <w:jc w:val="left"/>
            </w:pPr>
            <w:r>
              <w:rPr>
                <w:rFonts w:ascii="Times New Roman" w:hAnsi="Times New Roman"/>
                <w:b w:val="0"/>
                <w:i w:val="0"/>
                <w:sz w:val="13"/>
              </w:rPr>
              <w:t>EpiGNN</w:t>
            </w:r>
          </w:p>
        </w:tc>
        <w:tc>
          <w:tcPr>
            <w:tcW w:w="620" w:type="dxa"/>
            <w:tcMar>
              <w:top w:w="40" w:type="dxa"/>
              <w:left w:w="90" w:type="dxa"/>
              <w:bottom w:w="40" w:type="dxa"/>
              <w:right w:w="90" w:type="dxa"/>
            </w:tcMar>
          </w:tcPr>
          <w:p w14:paraId="5E9FF151">
            <w:pPr>
              <w:spacing w:after="0"/>
              <w:jc w:val="left"/>
            </w:pPr>
            <w:r>
              <w:rPr>
                <w:rFonts w:ascii="Times New Roman" w:hAnsi="Times New Roman"/>
                <w:b w:val="0"/>
                <w:i w:val="0"/>
                <w:sz w:val="13"/>
              </w:rPr>
              <w:t>ECML-PKDD 2022</w:t>
            </w:r>
          </w:p>
        </w:tc>
        <w:tc>
          <w:tcPr>
            <w:tcW w:w="850" w:type="dxa"/>
            <w:tcMar>
              <w:top w:w="40" w:type="dxa"/>
              <w:left w:w="90" w:type="dxa"/>
              <w:bottom w:w="40" w:type="dxa"/>
              <w:right w:w="90" w:type="dxa"/>
            </w:tcMar>
          </w:tcPr>
          <w:p w14:paraId="2C725CDA">
            <w:pPr>
              <w:spacing w:after="0"/>
              <w:jc w:val="left"/>
            </w:pPr>
            <w:r>
              <w:rPr>
                <w:rFonts w:ascii="Times New Roman" w:hAnsi="Times New Roman"/>
                <w:b w:val="0"/>
                <w:i w:val="0"/>
                <w:sz w:val="13"/>
              </w:rPr>
              <w:t>region-aware graph-learn. + GCN</w:t>
            </w:r>
          </w:p>
        </w:tc>
        <w:tc>
          <w:tcPr>
            <w:tcW w:w="800" w:type="dxa"/>
            <w:tcMar>
              <w:top w:w="40" w:type="dxa"/>
              <w:left w:w="90" w:type="dxa"/>
              <w:bottom w:w="40" w:type="dxa"/>
              <w:right w:w="90" w:type="dxa"/>
            </w:tcMar>
          </w:tcPr>
          <w:p w14:paraId="19A45980">
            <w:pPr>
              <w:spacing w:after="0"/>
              <w:jc w:val="left"/>
            </w:pPr>
            <w:r>
              <w:rPr>
                <w:rFonts w:ascii="Times New Roman" w:hAnsi="Times New Roman"/>
                <w:b w:val="0"/>
                <w:i w:val="0"/>
                <w:sz w:val="13"/>
              </w:rPr>
              <w:t>multi-scale CNN</w:t>
            </w:r>
          </w:p>
        </w:tc>
        <w:tc>
          <w:tcPr>
            <w:tcW w:w="820" w:type="dxa"/>
            <w:tcMar>
              <w:top w:w="40" w:type="dxa"/>
              <w:left w:w="90" w:type="dxa"/>
              <w:bottom w:w="40" w:type="dxa"/>
              <w:right w:w="90" w:type="dxa"/>
            </w:tcMar>
          </w:tcPr>
          <w:p w14:paraId="68072BFF">
            <w:pPr>
              <w:spacing w:after="0"/>
              <w:jc w:val="left"/>
            </w:pPr>
            <w:r>
              <w:rPr>
                <w:rFonts w:ascii="Times New Roman" w:hAnsi="Times New Roman"/>
                <w:b w:val="0"/>
                <w:i w:val="0"/>
                <w:sz w:val="13"/>
              </w:rPr>
              <w:t>learned + geo + opt. mobility</w:t>
            </w:r>
          </w:p>
        </w:tc>
        <w:tc>
          <w:tcPr>
            <w:tcW w:w="690" w:type="dxa"/>
            <w:tcMar>
              <w:top w:w="40" w:type="dxa"/>
              <w:left w:w="90" w:type="dxa"/>
              <w:bottom w:w="40" w:type="dxa"/>
              <w:right w:w="90" w:type="dxa"/>
            </w:tcMar>
          </w:tcPr>
          <w:p w14:paraId="28394204">
            <w:pPr>
              <w:spacing w:after="0"/>
              <w:jc w:val="left"/>
            </w:pPr>
            <w:r>
              <w:rPr>
                <w:rFonts w:ascii="Times New Roman" w:hAnsi="Times New Roman"/>
                <w:b w:val="0"/>
                <w:i w:val="0"/>
                <w:sz w:val="13"/>
              </w:rPr>
              <w:t>none</w:t>
            </w:r>
          </w:p>
        </w:tc>
        <w:tc>
          <w:tcPr>
            <w:tcW w:w="600" w:type="dxa"/>
            <w:tcMar>
              <w:top w:w="40" w:type="dxa"/>
              <w:left w:w="90" w:type="dxa"/>
              <w:bottom w:w="40" w:type="dxa"/>
              <w:right w:w="90" w:type="dxa"/>
            </w:tcMar>
          </w:tcPr>
          <w:p w14:paraId="294AB041">
            <w:pPr>
              <w:spacing w:after="0"/>
              <w:jc w:val="left"/>
            </w:pPr>
            <w:r>
              <w:rPr>
                <w:rFonts w:ascii="Times New Roman" w:hAnsi="Times New Roman"/>
                <w:b w:val="0"/>
                <w:i w:val="0"/>
                <w:sz w:val="13"/>
              </w:rPr>
              <w:t>none</w:t>
            </w:r>
          </w:p>
        </w:tc>
        <w:tc>
          <w:tcPr>
            <w:tcW w:w="740" w:type="dxa"/>
            <w:tcMar>
              <w:top w:w="40" w:type="dxa"/>
              <w:left w:w="90" w:type="dxa"/>
              <w:bottom w:w="40" w:type="dxa"/>
              <w:right w:w="90" w:type="dxa"/>
            </w:tcMar>
          </w:tcPr>
          <w:p w14:paraId="016B59F7">
            <w:pPr>
              <w:spacing w:after="0"/>
              <w:jc w:val="left"/>
            </w:pPr>
            <w:r>
              <w:rPr>
                <w:rFonts w:ascii="Times New Roman" w:hAnsi="Times New Roman"/>
                <w:b w:val="0"/>
                <w:i w:val="0"/>
                <w:sz w:val="13"/>
              </w:rPr>
              <w:t>yes — transm. risk</w:t>
            </w:r>
          </w:p>
        </w:tc>
        <w:tc>
          <w:tcPr>
            <w:tcW w:w="850" w:type="dxa"/>
            <w:tcMar>
              <w:top w:w="40" w:type="dxa"/>
              <w:left w:w="90" w:type="dxa"/>
              <w:bottom w:w="40" w:type="dxa"/>
              <w:right w:w="90" w:type="dxa"/>
            </w:tcMar>
          </w:tcPr>
          <w:p w14:paraId="12C174CE">
            <w:pPr>
              <w:spacing w:after="0"/>
              <w:jc w:val="left"/>
            </w:pPr>
            <w:r>
              <w:rPr>
                <w:rFonts w:ascii="Times New Roman" w:hAnsi="Times New Roman"/>
                <w:b w:val="0"/>
                <w:i w:val="0"/>
                <w:sz w:val="13"/>
              </w:rPr>
              <w:t>influenza + COVID</w:t>
            </w:r>
          </w:p>
        </w:tc>
        <w:tc>
          <w:tcPr>
            <w:tcW w:w="820" w:type="dxa"/>
            <w:tcMar>
              <w:top w:w="40" w:type="dxa"/>
              <w:left w:w="90" w:type="dxa"/>
              <w:bottom w:w="40" w:type="dxa"/>
              <w:right w:w="90" w:type="dxa"/>
            </w:tcMar>
          </w:tcPr>
          <w:p w14:paraId="09EB4E8A">
            <w:pPr>
              <w:spacing w:after="0"/>
              <w:jc w:val="left"/>
            </w:pPr>
            <w:r>
              <w:rPr>
                <w:rFonts w:ascii="Times New Roman" w:hAnsi="Times New Roman"/>
                <w:b w:val="0"/>
                <w:i w:val="0"/>
                <w:sz w:val="13"/>
              </w:rPr>
              <w:t>no</w:t>
            </w:r>
          </w:p>
        </w:tc>
        <w:tc>
          <w:tcPr>
            <w:tcW w:w="770" w:type="dxa"/>
            <w:tcMar>
              <w:top w:w="40" w:type="dxa"/>
              <w:left w:w="90" w:type="dxa"/>
              <w:bottom w:w="40" w:type="dxa"/>
              <w:right w:w="90" w:type="dxa"/>
            </w:tcMar>
          </w:tcPr>
          <w:p w14:paraId="2D4F40E6">
            <w:pPr>
              <w:spacing w:after="0"/>
              <w:jc w:val="left"/>
            </w:pPr>
            <w:r>
              <w:rPr>
                <w:rFonts w:ascii="Times New Roman" w:hAnsi="Times New Roman"/>
                <w:b w:val="0"/>
                <w:i w:val="0"/>
                <w:sz w:val="13"/>
              </w:rPr>
              <w:t>Japan/US ILI; AU-, ES-COVID</w:t>
            </w:r>
          </w:p>
        </w:tc>
        <w:tc>
          <w:tcPr>
            <w:tcW w:w="720" w:type="dxa"/>
            <w:tcMar>
              <w:top w:w="40" w:type="dxa"/>
              <w:left w:w="90" w:type="dxa"/>
              <w:bottom w:w="40" w:type="dxa"/>
              <w:right w:w="90" w:type="dxa"/>
            </w:tcMar>
          </w:tcPr>
          <w:p w14:paraId="4A2587F2">
            <w:pPr>
              <w:spacing w:after="0"/>
              <w:jc w:val="left"/>
            </w:pPr>
            <w:r>
              <w:rPr>
                <w:rFonts w:ascii="Times New Roman" w:hAnsi="Times New Roman"/>
                <w:b w:val="0"/>
                <w:i w:val="0"/>
                <w:sz w:val="13"/>
              </w:rPr>
              <w:t>RMSE, PCC</w:t>
            </w:r>
          </w:p>
        </w:tc>
        <w:tc>
          <w:tcPr>
            <w:tcW w:w="530" w:type="dxa"/>
            <w:tcMar>
              <w:top w:w="40" w:type="dxa"/>
              <w:left w:w="90" w:type="dxa"/>
              <w:bottom w:w="40" w:type="dxa"/>
              <w:right w:w="90" w:type="dxa"/>
            </w:tcMar>
          </w:tcPr>
          <w:p w14:paraId="6D829E97">
            <w:pPr>
              <w:spacing w:after="0"/>
              <w:jc w:val="left"/>
            </w:pPr>
            <w:r>
              <w:rPr>
                <w:rFonts w:ascii="Times New Roman" w:hAnsi="Times New Roman"/>
                <w:b w:val="0"/>
                <w:i w:val="0"/>
                <w:sz w:val="13"/>
              </w:rPr>
              <w:t>yes</w:t>
            </w:r>
          </w:p>
        </w:tc>
      </w:tr>
      <w:tr w14:paraId="74652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009AE990">
            <w:pPr>
              <w:spacing w:after="0"/>
              <w:jc w:val="left"/>
            </w:pPr>
            <w:r>
              <w:rPr>
                <w:rFonts w:ascii="Times New Roman" w:hAnsi="Times New Roman"/>
                <w:b w:val="0"/>
                <w:i w:val="0"/>
                <w:sz w:val="13"/>
              </w:rPr>
              <w:t>CausalGNN</w:t>
            </w:r>
          </w:p>
        </w:tc>
        <w:tc>
          <w:tcPr>
            <w:tcW w:w="620" w:type="dxa"/>
            <w:tcMar>
              <w:top w:w="40" w:type="dxa"/>
              <w:left w:w="90" w:type="dxa"/>
              <w:bottom w:w="40" w:type="dxa"/>
              <w:right w:w="90" w:type="dxa"/>
            </w:tcMar>
          </w:tcPr>
          <w:p w14:paraId="0E092030">
            <w:pPr>
              <w:spacing w:after="0"/>
              <w:jc w:val="left"/>
            </w:pPr>
            <w:r>
              <w:rPr>
                <w:rFonts w:ascii="Times New Roman" w:hAnsi="Times New Roman"/>
                <w:b w:val="0"/>
                <w:i w:val="0"/>
                <w:sz w:val="13"/>
              </w:rPr>
              <w:t>AAAI 2022</w:t>
            </w:r>
          </w:p>
        </w:tc>
        <w:tc>
          <w:tcPr>
            <w:tcW w:w="850" w:type="dxa"/>
            <w:tcMar>
              <w:top w:w="40" w:type="dxa"/>
              <w:left w:w="90" w:type="dxa"/>
              <w:bottom w:w="40" w:type="dxa"/>
              <w:right w:w="90" w:type="dxa"/>
            </w:tcMar>
          </w:tcPr>
          <w:p w14:paraId="7E0741D5">
            <w:pPr>
              <w:spacing w:after="0"/>
              <w:jc w:val="left"/>
            </w:pPr>
            <w:r>
              <w:rPr>
                <w:rFonts w:ascii="Times New Roman" w:hAnsi="Times New Roman"/>
                <w:b w:val="0"/>
                <w:i w:val="0"/>
                <w:sz w:val="13"/>
              </w:rPr>
              <w:t>attn.-based dynamic GCN</w:t>
            </w:r>
          </w:p>
        </w:tc>
        <w:tc>
          <w:tcPr>
            <w:tcW w:w="800" w:type="dxa"/>
            <w:tcMar>
              <w:top w:w="40" w:type="dxa"/>
              <w:left w:w="90" w:type="dxa"/>
              <w:bottom w:w="40" w:type="dxa"/>
              <w:right w:w="90" w:type="dxa"/>
            </w:tcMar>
          </w:tcPr>
          <w:p w14:paraId="6F95DD14">
            <w:pPr>
              <w:spacing w:after="0"/>
              <w:jc w:val="left"/>
            </w:pPr>
            <w:r>
              <w:rPr>
                <w:rFonts w:ascii="Times New Roman" w:hAnsi="Times New Roman"/>
                <w:b w:val="0"/>
                <w:i w:val="0"/>
                <w:sz w:val="13"/>
              </w:rPr>
              <w:t>recurrent temporal enc.</w:t>
            </w:r>
          </w:p>
        </w:tc>
        <w:tc>
          <w:tcPr>
            <w:tcW w:w="820" w:type="dxa"/>
            <w:tcMar>
              <w:top w:w="40" w:type="dxa"/>
              <w:left w:w="90" w:type="dxa"/>
              <w:bottom w:w="40" w:type="dxa"/>
              <w:right w:w="90" w:type="dxa"/>
            </w:tcMar>
          </w:tcPr>
          <w:p w14:paraId="494AD039">
            <w:pPr>
              <w:spacing w:after="0"/>
              <w:jc w:val="left"/>
            </w:pPr>
            <w:r>
              <w:rPr>
                <w:rFonts w:ascii="Times New Roman" w:hAnsi="Times New Roman"/>
                <w:b w:val="0"/>
                <w:i w:val="0"/>
                <w:sz w:val="13"/>
              </w:rPr>
              <w:t>learned dynamic (attn.)</w:t>
            </w:r>
          </w:p>
        </w:tc>
        <w:tc>
          <w:tcPr>
            <w:tcW w:w="690" w:type="dxa"/>
            <w:tcMar>
              <w:top w:w="40" w:type="dxa"/>
              <w:left w:w="90" w:type="dxa"/>
              <w:bottom w:w="40" w:type="dxa"/>
              <w:right w:w="90" w:type="dxa"/>
            </w:tcMar>
          </w:tcPr>
          <w:p w14:paraId="66D2AEE6">
            <w:pPr>
              <w:spacing w:after="0"/>
              <w:jc w:val="left"/>
            </w:pPr>
            <w:r>
              <w:rPr>
                <w:rFonts w:ascii="Times New Roman" w:hAnsi="Times New Roman"/>
                <w:b w:val="0"/>
                <w:i w:val="0"/>
                <w:sz w:val="13"/>
              </w:rPr>
              <w:t>SIRD (ODE)</w:t>
            </w:r>
          </w:p>
        </w:tc>
        <w:tc>
          <w:tcPr>
            <w:tcW w:w="600" w:type="dxa"/>
            <w:tcMar>
              <w:top w:w="40" w:type="dxa"/>
              <w:left w:w="90" w:type="dxa"/>
              <w:bottom w:w="40" w:type="dxa"/>
              <w:right w:w="90" w:type="dxa"/>
            </w:tcMar>
          </w:tcPr>
          <w:p w14:paraId="73F6A141">
            <w:pPr>
              <w:spacing w:after="0"/>
              <w:jc w:val="left"/>
            </w:pPr>
            <w:r>
              <w:rPr>
                <w:rFonts w:ascii="Times New Roman" w:hAnsi="Times New Roman"/>
                <w:b w:val="0"/>
                <w:i w:val="0"/>
                <w:sz w:val="13"/>
              </w:rPr>
              <w:t>none (seed CI)</w:t>
            </w:r>
          </w:p>
        </w:tc>
        <w:tc>
          <w:tcPr>
            <w:tcW w:w="740" w:type="dxa"/>
            <w:tcMar>
              <w:top w:w="40" w:type="dxa"/>
              <w:left w:w="90" w:type="dxa"/>
              <w:bottom w:w="40" w:type="dxa"/>
              <w:right w:w="90" w:type="dxa"/>
            </w:tcMar>
          </w:tcPr>
          <w:p w14:paraId="43D62173">
            <w:pPr>
              <w:spacing w:after="0"/>
              <w:jc w:val="left"/>
            </w:pPr>
            <w:r>
              <w:rPr>
                <w:rFonts w:ascii="Times New Roman" w:hAnsi="Times New Roman"/>
                <w:b w:val="0"/>
                <w:i w:val="0"/>
                <w:sz w:val="13"/>
              </w:rPr>
              <w:t>partial — causal params</w:t>
            </w:r>
          </w:p>
        </w:tc>
        <w:tc>
          <w:tcPr>
            <w:tcW w:w="850" w:type="dxa"/>
            <w:tcMar>
              <w:top w:w="40" w:type="dxa"/>
              <w:left w:w="90" w:type="dxa"/>
              <w:bottom w:w="40" w:type="dxa"/>
              <w:right w:w="90" w:type="dxa"/>
            </w:tcMar>
          </w:tcPr>
          <w:p w14:paraId="3F39CF2C">
            <w:pPr>
              <w:spacing w:after="0"/>
              <w:jc w:val="left"/>
            </w:pPr>
            <w:r>
              <w:rPr>
                <w:rFonts w:ascii="Times New Roman" w:hAnsi="Times New Roman"/>
                <w:b w:val="0"/>
                <w:i w:val="0"/>
                <w:sz w:val="13"/>
              </w:rPr>
              <w:t>COVID-19</w:t>
            </w:r>
          </w:p>
        </w:tc>
        <w:tc>
          <w:tcPr>
            <w:tcW w:w="820" w:type="dxa"/>
            <w:tcMar>
              <w:top w:w="40" w:type="dxa"/>
              <w:left w:w="90" w:type="dxa"/>
              <w:bottom w:w="40" w:type="dxa"/>
              <w:right w:w="90" w:type="dxa"/>
            </w:tcMar>
          </w:tcPr>
          <w:p w14:paraId="6C97D1D8">
            <w:pPr>
              <w:spacing w:after="0"/>
              <w:jc w:val="left"/>
            </w:pPr>
            <w:r>
              <w:rPr>
                <w:rFonts w:ascii="Times New Roman" w:hAnsi="Times New Roman"/>
                <w:b w:val="0"/>
                <w:i w:val="0"/>
                <w:sz w:val="13"/>
              </w:rPr>
              <w:t>no</w:t>
            </w:r>
          </w:p>
        </w:tc>
        <w:tc>
          <w:tcPr>
            <w:tcW w:w="770" w:type="dxa"/>
            <w:tcMar>
              <w:top w:w="40" w:type="dxa"/>
              <w:left w:w="90" w:type="dxa"/>
              <w:bottom w:w="40" w:type="dxa"/>
              <w:right w:w="90" w:type="dxa"/>
            </w:tcMar>
          </w:tcPr>
          <w:p w14:paraId="2578ED82">
            <w:pPr>
              <w:spacing w:after="0"/>
              <w:jc w:val="left"/>
            </w:pPr>
            <w:r>
              <w:rPr>
                <w:rFonts w:ascii="Times New Roman" w:hAnsi="Times New Roman"/>
                <w:b w:val="0"/>
                <w:i w:val="0"/>
                <w:sz w:val="13"/>
              </w:rPr>
              <w:t>Global; US state / county</w:t>
            </w:r>
          </w:p>
        </w:tc>
        <w:tc>
          <w:tcPr>
            <w:tcW w:w="720" w:type="dxa"/>
            <w:tcMar>
              <w:top w:w="40" w:type="dxa"/>
              <w:left w:w="90" w:type="dxa"/>
              <w:bottom w:w="40" w:type="dxa"/>
              <w:right w:w="90" w:type="dxa"/>
            </w:tcMar>
          </w:tcPr>
          <w:p w14:paraId="7D0E92AB">
            <w:pPr>
              <w:spacing w:after="0"/>
              <w:jc w:val="left"/>
            </w:pPr>
            <w:r>
              <w:rPr>
                <w:rFonts w:ascii="Times New Roman" w:hAnsi="Times New Roman"/>
                <w:b w:val="0"/>
                <w:i w:val="0"/>
                <w:sz w:val="13"/>
              </w:rPr>
              <w:t>MAE, MAPE</w:t>
            </w:r>
          </w:p>
        </w:tc>
        <w:tc>
          <w:tcPr>
            <w:tcW w:w="530" w:type="dxa"/>
            <w:tcMar>
              <w:top w:w="40" w:type="dxa"/>
              <w:left w:w="90" w:type="dxa"/>
              <w:bottom w:w="40" w:type="dxa"/>
              <w:right w:w="90" w:type="dxa"/>
            </w:tcMar>
          </w:tcPr>
          <w:p w14:paraId="2FDE6EBE">
            <w:pPr>
              <w:spacing w:after="0"/>
              <w:jc w:val="left"/>
            </w:pPr>
            <w:r>
              <w:rPr>
                <w:rFonts w:ascii="Times New Roman" w:hAnsi="Times New Roman"/>
                <w:b w:val="0"/>
                <w:i w:val="0"/>
                <w:sz w:val="13"/>
              </w:rPr>
              <w:t>n/s</w:t>
            </w:r>
          </w:p>
        </w:tc>
      </w:tr>
      <w:tr w14:paraId="64954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4552F5A9">
            <w:pPr>
              <w:spacing w:after="0"/>
              <w:jc w:val="left"/>
            </w:pPr>
            <w:r>
              <w:rPr>
                <w:rFonts w:ascii="Times New Roman" w:hAnsi="Times New Roman"/>
                <w:b w:val="0"/>
                <w:i w:val="0"/>
                <w:sz w:val="13"/>
              </w:rPr>
              <w:t>MepoGNN</w:t>
            </w:r>
          </w:p>
        </w:tc>
        <w:tc>
          <w:tcPr>
            <w:tcW w:w="620" w:type="dxa"/>
            <w:tcMar>
              <w:top w:w="40" w:type="dxa"/>
              <w:left w:w="90" w:type="dxa"/>
              <w:bottom w:w="40" w:type="dxa"/>
              <w:right w:w="90" w:type="dxa"/>
            </w:tcMar>
          </w:tcPr>
          <w:p w14:paraId="5B23D4F0">
            <w:pPr>
              <w:spacing w:after="0"/>
              <w:jc w:val="left"/>
            </w:pPr>
            <w:r>
              <w:rPr>
                <w:rFonts w:ascii="Times New Roman" w:hAnsi="Times New Roman"/>
                <w:b w:val="0"/>
                <w:i w:val="0"/>
                <w:sz w:val="13"/>
              </w:rPr>
              <w:t>ECML-PKDD 2022</w:t>
            </w:r>
          </w:p>
        </w:tc>
        <w:tc>
          <w:tcPr>
            <w:tcW w:w="850" w:type="dxa"/>
            <w:tcMar>
              <w:top w:w="40" w:type="dxa"/>
              <w:left w:w="90" w:type="dxa"/>
              <w:bottom w:w="40" w:type="dxa"/>
              <w:right w:w="90" w:type="dxa"/>
            </w:tcMar>
          </w:tcPr>
          <w:p w14:paraId="34E162B1">
            <w:pPr>
              <w:spacing w:after="0"/>
              <w:jc w:val="left"/>
            </w:pPr>
            <w:r>
              <w:rPr>
                <w:rFonts w:ascii="Times New Roman" w:hAnsi="Times New Roman"/>
                <w:b w:val="0"/>
                <w:i w:val="0"/>
                <w:sz w:val="13"/>
              </w:rPr>
              <w:t>metapop. graph-learn. + GCN</w:t>
            </w:r>
          </w:p>
        </w:tc>
        <w:tc>
          <w:tcPr>
            <w:tcW w:w="800" w:type="dxa"/>
            <w:tcMar>
              <w:top w:w="40" w:type="dxa"/>
              <w:left w:w="90" w:type="dxa"/>
              <w:bottom w:w="40" w:type="dxa"/>
              <w:right w:w="90" w:type="dxa"/>
            </w:tcMar>
          </w:tcPr>
          <w:p w14:paraId="3F0A4121">
            <w:pPr>
              <w:spacing w:after="0"/>
              <w:jc w:val="left"/>
            </w:pPr>
            <w:r>
              <w:rPr>
                <w:rFonts w:ascii="Times New Roman" w:hAnsi="Times New Roman"/>
                <w:b w:val="0"/>
                <w:i w:val="0"/>
                <w:sz w:val="13"/>
              </w:rPr>
              <w:t>spatio-temporal conv.</w:t>
            </w:r>
          </w:p>
        </w:tc>
        <w:tc>
          <w:tcPr>
            <w:tcW w:w="820" w:type="dxa"/>
            <w:tcMar>
              <w:top w:w="40" w:type="dxa"/>
              <w:left w:w="90" w:type="dxa"/>
              <w:bottom w:w="40" w:type="dxa"/>
              <w:right w:w="90" w:type="dxa"/>
            </w:tcMar>
          </w:tcPr>
          <w:p w14:paraId="6D46AAB5">
            <w:pPr>
              <w:spacing w:after="0"/>
              <w:jc w:val="left"/>
            </w:pPr>
            <w:r>
              <w:rPr>
                <w:rFonts w:ascii="Times New Roman" w:hAnsi="Times New Roman"/>
                <w:b w:val="0"/>
                <w:i w:val="0"/>
                <w:sz w:val="13"/>
              </w:rPr>
              <w:t>learned: commuter + OD flow</w:t>
            </w:r>
          </w:p>
        </w:tc>
        <w:tc>
          <w:tcPr>
            <w:tcW w:w="690" w:type="dxa"/>
            <w:tcMar>
              <w:top w:w="40" w:type="dxa"/>
              <w:left w:w="90" w:type="dxa"/>
              <w:bottom w:w="40" w:type="dxa"/>
              <w:right w:w="90" w:type="dxa"/>
            </w:tcMar>
          </w:tcPr>
          <w:p w14:paraId="1E62AC6B">
            <w:pPr>
              <w:spacing w:after="0"/>
              <w:jc w:val="left"/>
            </w:pPr>
            <w:r>
              <w:rPr>
                <w:rFonts w:ascii="Times New Roman" w:hAnsi="Times New Roman"/>
                <w:b w:val="0"/>
                <w:i w:val="0"/>
                <w:sz w:val="13"/>
              </w:rPr>
              <w:t>metapop. SIR</w:t>
            </w:r>
          </w:p>
        </w:tc>
        <w:tc>
          <w:tcPr>
            <w:tcW w:w="600" w:type="dxa"/>
            <w:tcMar>
              <w:top w:w="40" w:type="dxa"/>
              <w:left w:w="90" w:type="dxa"/>
              <w:bottom w:w="40" w:type="dxa"/>
              <w:right w:w="90" w:type="dxa"/>
            </w:tcMar>
          </w:tcPr>
          <w:p w14:paraId="574B2453">
            <w:pPr>
              <w:spacing w:after="0"/>
              <w:jc w:val="left"/>
            </w:pPr>
            <w:r>
              <w:rPr>
                <w:rFonts w:ascii="Times New Roman" w:hAnsi="Times New Roman"/>
                <w:b w:val="0"/>
                <w:i w:val="0"/>
                <w:sz w:val="13"/>
              </w:rPr>
              <w:t>none</w:t>
            </w:r>
          </w:p>
        </w:tc>
        <w:tc>
          <w:tcPr>
            <w:tcW w:w="740" w:type="dxa"/>
            <w:tcMar>
              <w:top w:w="40" w:type="dxa"/>
              <w:left w:w="90" w:type="dxa"/>
              <w:bottom w:w="40" w:type="dxa"/>
              <w:right w:w="90" w:type="dxa"/>
            </w:tcMar>
          </w:tcPr>
          <w:p w14:paraId="3518AFFD">
            <w:pPr>
              <w:spacing w:after="0"/>
              <w:jc w:val="left"/>
            </w:pPr>
            <w:r>
              <w:rPr>
                <w:rFonts w:ascii="Times New Roman" w:hAnsi="Times New Roman"/>
                <w:b w:val="0"/>
                <w:i w:val="0"/>
                <w:sz w:val="13"/>
              </w:rPr>
              <w:t>partial — graph / SIR</w:t>
            </w:r>
          </w:p>
        </w:tc>
        <w:tc>
          <w:tcPr>
            <w:tcW w:w="850" w:type="dxa"/>
            <w:tcMar>
              <w:top w:w="40" w:type="dxa"/>
              <w:left w:w="90" w:type="dxa"/>
              <w:bottom w:w="40" w:type="dxa"/>
              <w:right w:w="90" w:type="dxa"/>
            </w:tcMar>
          </w:tcPr>
          <w:p w14:paraId="305CAE86">
            <w:pPr>
              <w:spacing w:after="0"/>
              <w:jc w:val="left"/>
            </w:pPr>
            <w:r>
              <w:rPr>
                <w:rFonts w:ascii="Times New Roman" w:hAnsi="Times New Roman"/>
                <w:b w:val="0"/>
                <w:i w:val="0"/>
                <w:sz w:val="13"/>
              </w:rPr>
              <w:t>COVID-19</w:t>
            </w:r>
          </w:p>
        </w:tc>
        <w:tc>
          <w:tcPr>
            <w:tcW w:w="820" w:type="dxa"/>
            <w:tcMar>
              <w:top w:w="40" w:type="dxa"/>
              <w:left w:w="90" w:type="dxa"/>
              <w:bottom w:w="40" w:type="dxa"/>
              <w:right w:w="90" w:type="dxa"/>
            </w:tcMar>
          </w:tcPr>
          <w:p w14:paraId="47999A8A">
            <w:pPr>
              <w:spacing w:after="0"/>
              <w:jc w:val="left"/>
            </w:pPr>
            <w:r>
              <w:rPr>
                <w:rFonts w:ascii="Times New Roman" w:hAnsi="Times New Roman"/>
                <w:b w:val="0"/>
                <w:i w:val="0"/>
                <w:sz w:val="13"/>
              </w:rPr>
              <w:t>no</w:t>
            </w:r>
          </w:p>
        </w:tc>
        <w:tc>
          <w:tcPr>
            <w:tcW w:w="770" w:type="dxa"/>
            <w:tcMar>
              <w:top w:w="40" w:type="dxa"/>
              <w:left w:w="90" w:type="dxa"/>
              <w:bottom w:w="40" w:type="dxa"/>
              <w:right w:w="90" w:type="dxa"/>
            </w:tcMar>
          </w:tcPr>
          <w:p w14:paraId="29CC86C4">
            <w:pPr>
              <w:spacing w:after="0"/>
              <w:jc w:val="left"/>
            </w:pPr>
            <w:r>
              <w:rPr>
                <w:rFonts w:ascii="Times New Roman" w:hAnsi="Times New Roman"/>
                <w:b w:val="0"/>
                <w:i w:val="0"/>
                <w:sz w:val="13"/>
              </w:rPr>
              <w:t>Japan-COVID (47 pref.)</w:t>
            </w:r>
          </w:p>
        </w:tc>
        <w:tc>
          <w:tcPr>
            <w:tcW w:w="720" w:type="dxa"/>
            <w:tcMar>
              <w:top w:w="40" w:type="dxa"/>
              <w:left w:w="90" w:type="dxa"/>
              <w:bottom w:w="40" w:type="dxa"/>
              <w:right w:w="90" w:type="dxa"/>
            </w:tcMar>
          </w:tcPr>
          <w:p w14:paraId="30D9F895">
            <w:pPr>
              <w:spacing w:after="0"/>
              <w:jc w:val="left"/>
            </w:pPr>
            <w:r>
              <w:rPr>
                <w:rFonts w:ascii="Times New Roman" w:hAnsi="Times New Roman"/>
                <w:b w:val="0"/>
                <w:i w:val="0"/>
                <w:sz w:val="13"/>
              </w:rPr>
              <w:t>RMSE, MAE, MAPE, RAE</w:t>
            </w:r>
          </w:p>
        </w:tc>
        <w:tc>
          <w:tcPr>
            <w:tcW w:w="530" w:type="dxa"/>
            <w:tcMar>
              <w:top w:w="40" w:type="dxa"/>
              <w:left w:w="90" w:type="dxa"/>
              <w:bottom w:w="40" w:type="dxa"/>
              <w:right w:w="90" w:type="dxa"/>
            </w:tcMar>
          </w:tcPr>
          <w:p w14:paraId="7D9FAF1E">
            <w:pPr>
              <w:spacing w:after="0"/>
              <w:jc w:val="left"/>
            </w:pPr>
            <w:r>
              <w:rPr>
                <w:rFonts w:ascii="Times New Roman" w:hAnsi="Times New Roman"/>
                <w:b w:val="0"/>
                <w:i w:val="0"/>
                <w:sz w:val="13"/>
              </w:rPr>
              <w:t>yes</w:t>
            </w:r>
          </w:p>
        </w:tc>
      </w:tr>
      <w:tr w14:paraId="05EAC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0B6A4C46">
            <w:pPr>
              <w:spacing w:after="0"/>
              <w:jc w:val="left"/>
            </w:pPr>
            <w:r>
              <w:rPr>
                <w:rFonts w:ascii="Times New Roman" w:hAnsi="Times New Roman"/>
                <w:b w:val="0"/>
                <w:i w:val="0"/>
                <w:sz w:val="13"/>
              </w:rPr>
              <w:t>BDGSTN</w:t>
            </w:r>
          </w:p>
        </w:tc>
        <w:tc>
          <w:tcPr>
            <w:tcW w:w="620" w:type="dxa"/>
            <w:tcMar>
              <w:top w:w="40" w:type="dxa"/>
              <w:left w:w="90" w:type="dxa"/>
              <w:bottom w:w="40" w:type="dxa"/>
              <w:right w:w="90" w:type="dxa"/>
            </w:tcMar>
          </w:tcPr>
          <w:p w14:paraId="64BA4C9F">
            <w:pPr>
              <w:spacing w:after="0"/>
              <w:jc w:val="left"/>
            </w:pPr>
            <w:r>
              <w:rPr>
                <w:rFonts w:ascii="Times New Roman" w:hAnsi="Times New Roman"/>
                <w:b w:val="0"/>
                <w:i w:val="0"/>
                <w:sz w:val="13"/>
              </w:rPr>
              <w:t>preprint 2023</w:t>
            </w:r>
          </w:p>
        </w:tc>
        <w:tc>
          <w:tcPr>
            <w:tcW w:w="850" w:type="dxa"/>
            <w:tcMar>
              <w:top w:w="40" w:type="dxa"/>
              <w:left w:w="90" w:type="dxa"/>
              <w:bottom w:w="40" w:type="dxa"/>
              <w:right w:w="90" w:type="dxa"/>
            </w:tcMar>
          </w:tcPr>
          <w:p w14:paraId="6AE6E4F1">
            <w:pPr>
              <w:spacing w:after="0"/>
              <w:jc w:val="left"/>
            </w:pPr>
            <w:r>
              <w:rPr>
                <w:rFonts w:ascii="Times New Roman" w:hAnsi="Times New Roman"/>
                <w:b w:val="0"/>
                <w:i w:val="0"/>
                <w:sz w:val="13"/>
              </w:rPr>
              <w:t>GCN on dynamic graph</w:t>
            </w:r>
          </w:p>
        </w:tc>
        <w:tc>
          <w:tcPr>
            <w:tcW w:w="800" w:type="dxa"/>
            <w:tcMar>
              <w:top w:w="40" w:type="dxa"/>
              <w:left w:w="90" w:type="dxa"/>
              <w:bottom w:w="40" w:type="dxa"/>
              <w:right w:w="90" w:type="dxa"/>
            </w:tcMar>
          </w:tcPr>
          <w:p w14:paraId="1EDCBCC0">
            <w:pPr>
              <w:spacing w:after="0"/>
              <w:jc w:val="left"/>
            </w:pPr>
            <w:r>
              <w:rPr>
                <w:rFonts w:ascii="Times New Roman" w:hAnsi="Times New Roman"/>
                <w:b w:val="0"/>
                <w:i w:val="0"/>
                <w:sz w:val="13"/>
              </w:rPr>
              <w:t>DLinear (+ TCN)</w:t>
            </w:r>
          </w:p>
        </w:tc>
        <w:tc>
          <w:tcPr>
            <w:tcW w:w="820" w:type="dxa"/>
            <w:tcMar>
              <w:top w:w="40" w:type="dxa"/>
              <w:left w:w="90" w:type="dxa"/>
              <w:bottom w:w="40" w:type="dxa"/>
              <w:right w:w="90" w:type="dxa"/>
            </w:tcMar>
          </w:tcPr>
          <w:p w14:paraId="7A752EBD">
            <w:pPr>
              <w:spacing w:after="0"/>
              <w:jc w:val="left"/>
            </w:pPr>
            <w:r>
              <w:rPr>
                <w:rFonts w:ascii="Times New Roman" w:hAnsi="Times New Roman"/>
                <w:b w:val="0"/>
                <w:i w:val="0"/>
                <w:sz w:val="13"/>
              </w:rPr>
              <w:t>learned: backbone + temporal</w:t>
            </w:r>
          </w:p>
        </w:tc>
        <w:tc>
          <w:tcPr>
            <w:tcW w:w="690" w:type="dxa"/>
            <w:tcMar>
              <w:top w:w="40" w:type="dxa"/>
              <w:left w:w="90" w:type="dxa"/>
              <w:bottom w:w="40" w:type="dxa"/>
              <w:right w:w="90" w:type="dxa"/>
            </w:tcMar>
          </w:tcPr>
          <w:p w14:paraId="2FBFB45E">
            <w:pPr>
              <w:spacing w:after="0"/>
              <w:jc w:val="left"/>
            </w:pPr>
            <w:r>
              <w:rPr>
                <w:rFonts w:ascii="Times New Roman" w:hAnsi="Times New Roman"/>
                <w:b w:val="0"/>
                <w:i w:val="0"/>
                <w:sz w:val="13"/>
              </w:rPr>
              <w:t>SIR module</w:t>
            </w:r>
          </w:p>
        </w:tc>
        <w:tc>
          <w:tcPr>
            <w:tcW w:w="600" w:type="dxa"/>
            <w:tcMar>
              <w:top w:w="40" w:type="dxa"/>
              <w:left w:w="90" w:type="dxa"/>
              <w:bottom w:w="40" w:type="dxa"/>
              <w:right w:w="90" w:type="dxa"/>
            </w:tcMar>
          </w:tcPr>
          <w:p w14:paraId="02E87621">
            <w:pPr>
              <w:spacing w:after="0"/>
              <w:jc w:val="left"/>
            </w:pPr>
            <w:r>
              <w:rPr>
                <w:rFonts w:ascii="Times New Roman" w:hAnsi="Times New Roman"/>
                <w:b w:val="0"/>
                <w:i w:val="0"/>
                <w:sz w:val="13"/>
              </w:rPr>
              <w:t>none</w:t>
            </w:r>
          </w:p>
        </w:tc>
        <w:tc>
          <w:tcPr>
            <w:tcW w:w="740" w:type="dxa"/>
            <w:tcMar>
              <w:top w:w="40" w:type="dxa"/>
              <w:left w:w="90" w:type="dxa"/>
              <w:bottom w:w="40" w:type="dxa"/>
              <w:right w:w="90" w:type="dxa"/>
            </w:tcMar>
          </w:tcPr>
          <w:p w14:paraId="6E0ABBA1">
            <w:pPr>
              <w:spacing w:after="0"/>
              <w:jc w:val="left"/>
            </w:pPr>
            <w:r>
              <w:rPr>
                <w:rFonts w:ascii="Times New Roman" w:hAnsi="Times New Roman"/>
                <w:b w:val="0"/>
                <w:i w:val="0"/>
                <w:sz w:val="13"/>
              </w:rPr>
              <w:t>no (post-hoc graph)</w:t>
            </w:r>
          </w:p>
        </w:tc>
        <w:tc>
          <w:tcPr>
            <w:tcW w:w="850" w:type="dxa"/>
            <w:tcMar>
              <w:top w:w="40" w:type="dxa"/>
              <w:left w:w="90" w:type="dxa"/>
              <w:bottom w:w="40" w:type="dxa"/>
              <w:right w:w="90" w:type="dxa"/>
            </w:tcMar>
          </w:tcPr>
          <w:p w14:paraId="1C74A39E">
            <w:pPr>
              <w:spacing w:after="0"/>
              <w:jc w:val="left"/>
            </w:pPr>
            <w:r>
              <w:rPr>
                <w:rFonts w:ascii="Times New Roman" w:hAnsi="Times New Roman"/>
                <w:b w:val="0"/>
                <w:i w:val="0"/>
                <w:sz w:val="13"/>
              </w:rPr>
              <w:t>COVID-19</w:t>
            </w:r>
          </w:p>
        </w:tc>
        <w:tc>
          <w:tcPr>
            <w:tcW w:w="820" w:type="dxa"/>
            <w:tcMar>
              <w:top w:w="40" w:type="dxa"/>
              <w:left w:w="90" w:type="dxa"/>
              <w:bottom w:w="40" w:type="dxa"/>
              <w:right w:w="90" w:type="dxa"/>
            </w:tcMar>
          </w:tcPr>
          <w:p w14:paraId="78F14069">
            <w:pPr>
              <w:spacing w:after="0"/>
              <w:jc w:val="left"/>
            </w:pPr>
            <w:r>
              <w:rPr>
                <w:rFonts w:ascii="Times New Roman" w:hAnsi="Times New Roman"/>
                <w:b w:val="0"/>
                <w:i w:val="0"/>
                <w:sz w:val="13"/>
              </w:rPr>
              <w:t>no</w:t>
            </w:r>
          </w:p>
        </w:tc>
        <w:tc>
          <w:tcPr>
            <w:tcW w:w="770" w:type="dxa"/>
            <w:tcMar>
              <w:top w:w="40" w:type="dxa"/>
              <w:left w:w="90" w:type="dxa"/>
              <w:bottom w:w="40" w:type="dxa"/>
              <w:right w:w="90" w:type="dxa"/>
            </w:tcMar>
          </w:tcPr>
          <w:p w14:paraId="198E7D1B">
            <w:pPr>
              <w:spacing w:after="0"/>
              <w:jc w:val="left"/>
            </w:pPr>
            <w:r>
              <w:rPr>
                <w:rFonts w:ascii="Times New Roman" w:hAnsi="Times New Roman"/>
                <w:b w:val="0"/>
                <w:i w:val="0"/>
                <w:sz w:val="13"/>
              </w:rPr>
              <w:t>US (52); Japan (47)</w:t>
            </w:r>
          </w:p>
        </w:tc>
        <w:tc>
          <w:tcPr>
            <w:tcW w:w="720" w:type="dxa"/>
            <w:tcMar>
              <w:top w:w="40" w:type="dxa"/>
              <w:left w:w="90" w:type="dxa"/>
              <w:bottom w:w="40" w:type="dxa"/>
              <w:right w:w="90" w:type="dxa"/>
            </w:tcMar>
          </w:tcPr>
          <w:p w14:paraId="5DE7B272">
            <w:pPr>
              <w:spacing w:after="0"/>
              <w:jc w:val="left"/>
            </w:pPr>
            <w:r>
              <w:rPr>
                <w:rFonts w:ascii="Times New Roman" w:hAnsi="Times New Roman"/>
                <w:b w:val="0"/>
                <w:i w:val="0"/>
                <w:sz w:val="13"/>
              </w:rPr>
              <w:t>MAE, RMSE, MAPE, PCC, CCC</w:t>
            </w:r>
          </w:p>
        </w:tc>
        <w:tc>
          <w:tcPr>
            <w:tcW w:w="530" w:type="dxa"/>
            <w:tcMar>
              <w:top w:w="40" w:type="dxa"/>
              <w:left w:w="90" w:type="dxa"/>
              <w:bottom w:w="40" w:type="dxa"/>
              <w:right w:w="90" w:type="dxa"/>
            </w:tcMar>
          </w:tcPr>
          <w:p w14:paraId="69A60F79">
            <w:pPr>
              <w:spacing w:after="0"/>
              <w:jc w:val="left"/>
            </w:pPr>
            <w:r>
              <w:rPr>
                <w:rFonts w:ascii="Times New Roman" w:hAnsi="Times New Roman"/>
                <w:b w:val="0"/>
                <w:i w:val="0"/>
                <w:sz w:val="13"/>
              </w:rPr>
              <w:t>n/s</w:t>
            </w:r>
          </w:p>
        </w:tc>
      </w:tr>
      <w:tr w14:paraId="74926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3AB819CF">
            <w:pPr>
              <w:spacing w:after="0"/>
              <w:jc w:val="left"/>
            </w:pPr>
            <w:r>
              <w:rPr>
                <w:rFonts w:ascii="Times New Roman" w:hAnsi="Times New Roman"/>
                <w:b w:val="0"/>
                <w:i w:val="0"/>
                <w:sz w:val="13"/>
              </w:rPr>
              <w:t>HeatGNN</w:t>
            </w:r>
          </w:p>
        </w:tc>
        <w:tc>
          <w:tcPr>
            <w:tcW w:w="620" w:type="dxa"/>
            <w:tcMar>
              <w:top w:w="40" w:type="dxa"/>
              <w:left w:w="90" w:type="dxa"/>
              <w:bottom w:w="40" w:type="dxa"/>
              <w:right w:w="90" w:type="dxa"/>
            </w:tcMar>
          </w:tcPr>
          <w:p w14:paraId="4C4948DD">
            <w:pPr>
              <w:spacing w:after="0"/>
              <w:jc w:val="left"/>
            </w:pPr>
            <w:r>
              <w:rPr>
                <w:rFonts w:ascii="Times New Roman" w:hAnsi="Times New Roman"/>
                <w:b w:val="0"/>
                <w:i w:val="0"/>
                <w:sz w:val="13"/>
              </w:rPr>
              <w:t>preprint 2024</w:t>
            </w:r>
          </w:p>
        </w:tc>
        <w:tc>
          <w:tcPr>
            <w:tcW w:w="850" w:type="dxa"/>
            <w:tcMar>
              <w:top w:w="40" w:type="dxa"/>
              <w:left w:w="90" w:type="dxa"/>
              <w:bottom w:w="40" w:type="dxa"/>
              <w:right w:w="90" w:type="dxa"/>
            </w:tcMar>
          </w:tcPr>
          <w:p w14:paraId="0563B282">
            <w:pPr>
              <w:spacing w:after="0"/>
              <w:jc w:val="left"/>
            </w:pPr>
            <w:r>
              <w:rPr>
                <w:rFonts w:ascii="Times New Roman" w:hAnsi="Times New Roman"/>
                <w:b w:val="0"/>
                <w:i w:val="0"/>
                <w:sz w:val="13"/>
              </w:rPr>
              <w:t>region-aware + spectral GCN</w:t>
            </w:r>
          </w:p>
        </w:tc>
        <w:tc>
          <w:tcPr>
            <w:tcW w:w="800" w:type="dxa"/>
            <w:tcMar>
              <w:top w:w="40" w:type="dxa"/>
              <w:left w:w="90" w:type="dxa"/>
              <w:bottom w:w="40" w:type="dxa"/>
              <w:right w:w="90" w:type="dxa"/>
            </w:tcMar>
          </w:tcPr>
          <w:p w14:paraId="57BA0E46">
            <w:pPr>
              <w:spacing w:after="0"/>
              <w:jc w:val="left"/>
            </w:pPr>
            <w:r>
              <w:rPr>
                <w:rFonts w:ascii="Times New Roman" w:hAnsi="Times New Roman"/>
                <w:b w:val="0"/>
                <w:i w:val="0"/>
                <w:sz w:val="13"/>
              </w:rPr>
              <w:t>gated TCN / CNN</w:t>
            </w:r>
          </w:p>
        </w:tc>
        <w:tc>
          <w:tcPr>
            <w:tcW w:w="820" w:type="dxa"/>
            <w:tcMar>
              <w:top w:w="40" w:type="dxa"/>
              <w:left w:w="90" w:type="dxa"/>
              <w:bottom w:w="40" w:type="dxa"/>
              <w:right w:w="90" w:type="dxa"/>
            </w:tcMar>
          </w:tcPr>
          <w:p w14:paraId="424F0DE0">
            <w:pPr>
              <w:spacing w:after="0"/>
              <w:jc w:val="left"/>
            </w:pPr>
            <w:r>
              <w:rPr>
                <w:rFonts w:ascii="Times New Roman" w:hAnsi="Times New Roman"/>
                <w:b w:val="0"/>
                <w:i w:val="0"/>
                <w:sz w:val="13"/>
              </w:rPr>
              <w:t>geo + learned + dynamic</w:t>
            </w:r>
          </w:p>
        </w:tc>
        <w:tc>
          <w:tcPr>
            <w:tcW w:w="690" w:type="dxa"/>
            <w:tcMar>
              <w:top w:w="40" w:type="dxa"/>
              <w:left w:w="90" w:type="dxa"/>
              <w:bottom w:w="40" w:type="dxa"/>
              <w:right w:w="90" w:type="dxa"/>
            </w:tcMar>
          </w:tcPr>
          <w:p w14:paraId="64FF0D2A">
            <w:pPr>
              <w:spacing w:after="0"/>
              <w:jc w:val="left"/>
            </w:pPr>
            <w:r>
              <w:rPr>
                <w:rFonts w:ascii="Times New Roman" w:hAnsi="Times New Roman"/>
                <w:b w:val="0"/>
                <w:i w:val="0"/>
                <w:sz w:val="13"/>
              </w:rPr>
              <w:t>SIR (time-varying, PINN)</w:t>
            </w:r>
          </w:p>
        </w:tc>
        <w:tc>
          <w:tcPr>
            <w:tcW w:w="600" w:type="dxa"/>
            <w:tcMar>
              <w:top w:w="40" w:type="dxa"/>
              <w:left w:w="90" w:type="dxa"/>
              <w:bottom w:w="40" w:type="dxa"/>
              <w:right w:w="90" w:type="dxa"/>
            </w:tcMar>
          </w:tcPr>
          <w:p w14:paraId="47CA50C7">
            <w:pPr>
              <w:spacing w:after="0"/>
              <w:jc w:val="left"/>
            </w:pPr>
            <w:r>
              <w:rPr>
                <w:rFonts w:ascii="Times New Roman" w:hAnsi="Times New Roman"/>
                <w:b w:val="0"/>
                <w:i w:val="0"/>
                <w:sz w:val="13"/>
              </w:rPr>
              <w:t>none</w:t>
            </w:r>
          </w:p>
        </w:tc>
        <w:tc>
          <w:tcPr>
            <w:tcW w:w="740" w:type="dxa"/>
            <w:tcMar>
              <w:top w:w="40" w:type="dxa"/>
              <w:left w:w="90" w:type="dxa"/>
              <w:bottom w:w="40" w:type="dxa"/>
              <w:right w:w="90" w:type="dxa"/>
            </w:tcMar>
          </w:tcPr>
          <w:p w14:paraId="0FF29E32">
            <w:pPr>
              <w:spacing w:after="0"/>
              <w:jc w:val="left"/>
            </w:pPr>
            <w:r>
              <w:rPr>
                <w:rFonts w:ascii="Times New Roman" w:hAnsi="Times New Roman"/>
                <w:b w:val="0"/>
                <w:i w:val="0"/>
                <w:sz w:val="13"/>
              </w:rPr>
              <w:t>yes — mechan. graph</w:t>
            </w:r>
          </w:p>
        </w:tc>
        <w:tc>
          <w:tcPr>
            <w:tcW w:w="850" w:type="dxa"/>
            <w:tcMar>
              <w:top w:w="40" w:type="dxa"/>
              <w:left w:w="90" w:type="dxa"/>
              <w:bottom w:w="40" w:type="dxa"/>
              <w:right w:w="90" w:type="dxa"/>
            </w:tcMar>
          </w:tcPr>
          <w:p w14:paraId="73DCDAA0">
            <w:pPr>
              <w:spacing w:after="0"/>
              <w:jc w:val="left"/>
            </w:pPr>
            <w:r>
              <w:rPr>
                <w:rFonts w:ascii="Times New Roman" w:hAnsi="Times New Roman"/>
                <w:b w:val="0"/>
                <w:i w:val="0"/>
                <w:sz w:val="13"/>
              </w:rPr>
              <w:t>influenza + COVID</w:t>
            </w:r>
          </w:p>
        </w:tc>
        <w:tc>
          <w:tcPr>
            <w:tcW w:w="820" w:type="dxa"/>
            <w:tcMar>
              <w:top w:w="40" w:type="dxa"/>
              <w:left w:w="90" w:type="dxa"/>
              <w:bottom w:w="40" w:type="dxa"/>
              <w:right w:w="90" w:type="dxa"/>
            </w:tcMar>
          </w:tcPr>
          <w:p w14:paraId="6BF33E7E">
            <w:pPr>
              <w:spacing w:after="0"/>
              <w:jc w:val="left"/>
            </w:pPr>
            <w:r>
              <w:rPr>
                <w:rFonts w:ascii="Times New Roman" w:hAnsi="Times New Roman"/>
                <w:b w:val="0"/>
                <w:i w:val="0"/>
                <w:sz w:val="13"/>
              </w:rPr>
              <w:t>no</w:t>
            </w:r>
          </w:p>
        </w:tc>
        <w:tc>
          <w:tcPr>
            <w:tcW w:w="770" w:type="dxa"/>
            <w:tcMar>
              <w:top w:w="40" w:type="dxa"/>
              <w:left w:w="90" w:type="dxa"/>
              <w:bottom w:w="40" w:type="dxa"/>
              <w:right w:w="90" w:type="dxa"/>
            </w:tcMar>
          </w:tcPr>
          <w:p w14:paraId="23E2A062">
            <w:pPr>
              <w:spacing w:after="0"/>
              <w:jc w:val="left"/>
            </w:pPr>
            <w:r>
              <w:rPr>
                <w:rFonts w:ascii="Times New Roman" w:hAnsi="Times New Roman"/>
                <w:b w:val="0"/>
                <w:i w:val="0"/>
                <w:sz w:val="13"/>
              </w:rPr>
              <w:t>Japan/US ILI; AU-COVID</w:t>
            </w:r>
          </w:p>
        </w:tc>
        <w:tc>
          <w:tcPr>
            <w:tcW w:w="720" w:type="dxa"/>
            <w:tcMar>
              <w:top w:w="40" w:type="dxa"/>
              <w:left w:w="90" w:type="dxa"/>
              <w:bottom w:w="40" w:type="dxa"/>
              <w:right w:w="90" w:type="dxa"/>
            </w:tcMar>
          </w:tcPr>
          <w:p w14:paraId="483832AD">
            <w:pPr>
              <w:spacing w:after="0"/>
              <w:jc w:val="left"/>
            </w:pPr>
            <w:r>
              <w:rPr>
                <w:rFonts w:ascii="Times New Roman" w:hAnsi="Times New Roman"/>
                <w:b w:val="0"/>
                <w:i w:val="0"/>
                <w:sz w:val="13"/>
              </w:rPr>
              <w:t>RMSE, PCC</w:t>
            </w:r>
          </w:p>
        </w:tc>
        <w:tc>
          <w:tcPr>
            <w:tcW w:w="530" w:type="dxa"/>
            <w:tcMar>
              <w:top w:w="40" w:type="dxa"/>
              <w:left w:w="90" w:type="dxa"/>
              <w:bottom w:w="40" w:type="dxa"/>
              <w:right w:w="90" w:type="dxa"/>
            </w:tcMar>
          </w:tcPr>
          <w:p w14:paraId="75DCDAA8">
            <w:pPr>
              <w:spacing w:after="0"/>
              <w:jc w:val="left"/>
            </w:pPr>
            <w:r>
              <w:rPr>
                <w:rFonts w:ascii="Times New Roman" w:hAnsi="Times New Roman"/>
                <w:b w:val="0"/>
                <w:i w:val="0"/>
                <w:sz w:val="13"/>
              </w:rPr>
              <w:t>yes</w:t>
            </w:r>
          </w:p>
        </w:tc>
      </w:tr>
      <w:tr w14:paraId="2DF70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5B3C91F8">
            <w:pPr>
              <w:spacing w:after="0"/>
              <w:jc w:val="left"/>
            </w:pPr>
            <w:r>
              <w:rPr>
                <w:rFonts w:ascii="Times New Roman" w:hAnsi="Times New Roman"/>
                <w:b w:val="0"/>
                <w:i w:val="0"/>
                <w:sz w:val="13"/>
              </w:rPr>
              <w:t>LTGCN / GTGCN</w:t>
            </w:r>
          </w:p>
        </w:tc>
        <w:tc>
          <w:tcPr>
            <w:tcW w:w="620" w:type="dxa"/>
            <w:tcMar>
              <w:top w:w="40" w:type="dxa"/>
              <w:left w:w="90" w:type="dxa"/>
              <w:bottom w:w="40" w:type="dxa"/>
              <w:right w:w="90" w:type="dxa"/>
            </w:tcMar>
          </w:tcPr>
          <w:p w14:paraId="66A2CE13">
            <w:pPr>
              <w:spacing w:after="0"/>
              <w:jc w:val="left"/>
            </w:pPr>
            <w:r>
              <w:rPr>
                <w:rFonts w:ascii="Times New Roman" w:hAnsi="Times New Roman"/>
                <w:b w:val="0"/>
                <w:i w:val="0"/>
                <w:sz w:val="13"/>
              </w:rPr>
              <w:t>IJHG 2026</w:t>
            </w:r>
          </w:p>
        </w:tc>
        <w:tc>
          <w:tcPr>
            <w:tcW w:w="850" w:type="dxa"/>
            <w:tcMar>
              <w:top w:w="40" w:type="dxa"/>
              <w:left w:w="90" w:type="dxa"/>
              <w:bottom w:w="40" w:type="dxa"/>
              <w:right w:w="90" w:type="dxa"/>
            </w:tcMar>
          </w:tcPr>
          <w:p w14:paraId="78654B61">
            <w:pPr>
              <w:spacing w:after="0"/>
              <w:jc w:val="left"/>
            </w:pPr>
            <w:r>
              <w:rPr>
                <w:rFonts w:ascii="Times New Roman" w:hAnsi="Times New Roman"/>
                <w:b w:val="0"/>
                <w:i w:val="0"/>
                <w:sz w:val="13"/>
              </w:rPr>
              <w:t>GCN + attention fusion</w:t>
            </w:r>
          </w:p>
        </w:tc>
        <w:tc>
          <w:tcPr>
            <w:tcW w:w="800" w:type="dxa"/>
            <w:tcMar>
              <w:top w:w="40" w:type="dxa"/>
              <w:left w:w="90" w:type="dxa"/>
              <w:bottom w:w="40" w:type="dxa"/>
              <w:right w:w="90" w:type="dxa"/>
            </w:tcMar>
          </w:tcPr>
          <w:p w14:paraId="508B117A">
            <w:pPr>
              <w:spacing w:after="0"/>
              <w:jc w:val="left"/>
            </w:pPr>
            <w:r>
              <w:rPr>
                <w:rFonts w:ascii="Times New Roman" w:hAnsi="Times New Roman"/>
                <w:b w:val="0"/>
                <w:i w:val="0"/>
                <w:sz w:val="13"/>
              </w:rPr>
              <w:t>Transformer self-attn.</w:t>
            </w:r>
          </w:p>
        </w:tc>
        <w:tc>
          <w:tcPr>
            <w:tcW w:w="820" w:type="dxa"/>
            <w:tcMar>
              <w:top w:w="40" w:type="dxa"/>
              <w:left w:w="90" w:type="dxa"/>
              <w:bottom w:w="40" w:type="dxa"/>
              <w:right w:w="90" w:type="dxa"/>
            </w:tcMar>
          </w:tcPr>
          <w:p w14:paraId="1BFEFFA0">
            <w:pPr>
              <w:spacing w:after="0"/>
              <w:jc w:val="left"/>
            </w:pPr>
            <w:r>
              <w:rPr>
                <w:rFonts w:ascii="Times New Roman" w:hAnsi="Times New Roman"/>
                <w:b w:val="0"/>
                <w:i w:val="0"/>
                <w:sz w:val="13"/>
              </w:rPr>
              <w:t>static mobility (backbone)</w:t>
            </w:r>
          </w:p>
        </w:tc>
        <w:tc>
          <w:tcPr>
            <w:tcW w:w="690" w:type="dxa"/>
            <w:tcMar>
              <w:top w:w="40" w:type="dxa"/>
              <w:left w:w="90" w:type="dxa"/>
              <w:bottom w:w="40" w:type="dxa"/>
              <w:right w:w="90" w:type="dxa"/>
            </w:tcMar>
          </w:tcPr>
          <w:p w14:paraId="091F74D0">
            <w:pPr>
              <w:spacing w:after="0"/>
              <w:jc w:val="left"/>
            </w:pPr>
            <w:r>
              <w:rPr>
                <w:rFonts w:ascii="Times New Roman" w:hAnsi="Times New Roman"/>
                <w:b w:val="0"/>
                <w:i w:val="0"/>
                <w:sz w:val="13"/>
              </w:rPr>
              <w:t>none</w:t>
            </w:r>
          </w:p>
        </w:tc>
        <w:tc>
          <w:tcPr>
            <w:tcW w:w="600" w:type="dxa"/>
            <w:tcMar>
              <w:top w:w="40" w:type="dxa"/>
              <w:left w:w="90" w:type="dxa"/>
              <w:bottom w:w="40" w:type="dxa"/>
              <w:right w:w="90" w:type="dxa"/>
            </w:tcMar>
          </w:tcPr>
          <w:p w14:paraId="06AB1615">
            <w:pPr>
              <w:spacing w:after="0"/>
              <w:jc w:val="left"/>
            </w:pPr>
            <w:r>
              <w:rPr>
                <w:rFonts w:ascii="Times New Roman" w:hAnsi="Times New Roman"/>
                <w:b w:val="0"/>
                <w:i w:val="0"/>
                <w:sz w:val="13"/>
              </w:rPr>
              <w:t>none (explicit)</w:t>
            </w:r>
          </w:p>
        </w:tc>
        <w:tc>
          <w:tcPr>
            <w:tcW w:w="740" w:type="dxa"/>
            <w:tcMar>
              <w:top w:w="40" w:type="dxa"/>
              <w:left w:w="90" w:type="dxa"/>
              <w:bottom w:w="40" w:type="dxa"/>
              <w:right w:w="90" w:type="dxa"/>
            </w:tcMar>
          </w:tcPr>
          <w:p w14:paraId="2B80E3D4">
            <w:pPr>
              <w:spacing w:after="0"/>
              <w:jc w:val="left"/>
            </w:pPr>
            <w:r>
              <w:rPr>
                <w:rFonts w:ascii="Times New Roman" w:hAnsi="Times New Roman"/>
                <w:b w:val="0"/>
                <w:i w:val="0"/>
                <w:sz w:val="13"/>
              </w:rPr>
              <w:t>asserted only</w:t>
            </w:r>
          </w:p>
        </w:tc>
        <w:tc>
          <w:tcPr>
            <w:tcW w:w="850" w:type="dxa"/>
            <w:tcMar>
              <w:top w:w="40" w:type="dxa"/>
              <w:left w:w="90" w:type="dxa"/>
              <w:bottom w:w="40" w:type="dxa"/>
              <w:right w:w="90" w:type="dxa"/>
            </w:tcMar>
          </w:tcPr>
          <w:p w14:paraId="63CBDEB6">
            <w:pPr>
              <w:spacing w:after="0"/>
              <w:jc w:val="left"/>
            </w:pPr>
            <w:r>
              <w:rPr>
                <w:rFonts w:ascii="Times New Roman" w:hAnsi="Times New Roman"/>
                <w:b w:val="0"/>
                <w:i w:val="0"/>
                <w:sz w:val="13"/>
              </w:rPr>
              <w:t>COVID-19</w:t>
            </w:r>
          </w:p>
        </w:tc>
        <w:tc>
          <w:tcPr>
            <w:tcW w:w="820" w:type="dxa"/>
            <w:tcMar>
              <w:top w:w="40" w:type="dxa"/>
              <w:left w:w="90" w:type="dxa"/>
              <w:bottom w:w="40" w:type="dxa"/>
              <w:right w:w="90" w:type="dxa"/>
            </w:tcMar>
          </w:tcPr>
          <w:p w14:paraId="443B38C3">
            <w:pPr>
              <w:spacing w:after="0"/>
              <w:jc w:val="left"/>
            </w:pPr>
            <w:r>
              <w:rPr>
                <w:rFonts w:ascii="Times New Roman" w:hAnsi="Times New Roman"/>
                <w:b w:val="0"/>
                <w:i w:val="0"/>
                <w:sz w:val="13"/>
              </w:rPr>
              <w:t>no (cross-country)</w:t>
            </w:r>
          </w:p>
        </w:tc>
        <w:tc>
          <w:tcPr>
            <w:tcW w:w="770" w:type="dxa"/>
            <w:tcMar>
              <w:top w:w="40" w:type="dxa"/>
              <w:left w:w="90" w:type="dxa"/>
              <w:bottom w:w="40" w:type="dxa"/>
              <w:right w:w="90" w:type="dxa"/>
            </w:tcMar>
          </w:tcPr>
          <w:p w14:paraId="437BBEA1">
            <w:pPr>
              <w:spacing w:after="0"/>
              <w:jc w:val="left"/>
            </w:pPr>
            <w:r>
              <w:rPr>
                <w:rFonts w:ascii="Times New Roman" w:hAnsi="Times New Roman"/>
                <w:b w:val="0"/>
                <w:i w:val="0"/>
                <w:sz w:val="13"/>
              </w:rPr>
              <w:t>Brazil; Spain (52 prov.)</w:t>
            </w:r>
          </w:p>
        </w:tc>
        <w:tc>
          <w:tcPr>
            <w:tcW w:w="720" w:type="dxa"/>
            <w:tcMar>
              <w:top w:w="40" w:type="dxa"/>
              <w:left w:w="90" w:type="dxa"/>
              <w:bottom w:w="40" w:type="dxa"/>
              <w:right w:w="90" w:type="dxa"/>
            </w:tcMar>
          </w:tcPr>
          <w:p w14:paraId="3BF298A6">
            <w:pPr>
              <w:spacing w:after="0"/>
              <w:jc w:val="left"/>
            </w:pPr>
            <w:r>
              <w:rPr>
                <w:rFonts w:ascii="Times New Roman" w:hAnsi="Times New Roman"/>
                <w:b w:val="0"/>
                <w:i w:val="0"/>
                <w:sz w:val="13"/>
              </w:rPr>
              <w:t>RMSE, sMAPE, MDA</w:t>
            </w:r>
          </w:p>
        </w:tc>
        <w:tc>
          <w:tcPr>
            <w:tcW w:w="530" w:type="dxa"/>
            <w:tcMar>
              <w:top w:w="40" w:type="dxa"/>
              <w:left w:w="90" w:type="dxa"/>
              <w:bottom w:w="40" w:type="dxa"/>
              <w:right w:w="90" w:type="dxa"/>
            </w:tcMar>
          </w:tcPr>
          <w:p w14:paraId="3DF441D2">
            <w:pPr>
              <w:spacing w:after="0"/>
              <w:jc w:val="left"/>
            </w:pPr>
            <w:r>
              <w:rPr>
                <w:rFonts w:ascii="Times New Roman" w:hAnsi="Times New Roman"/>
                <w:b w:val="0"/>
                <w:i w:val="0"/>
                <w:sz w:val="13"/>
              </w:rPr>
              <w:t>yes</w:t>
            </w:r>
          </w:p>
        </w:tc>
      </w:tr>
      <w:tr w14:paraId="58007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4D2FCB92">
            <w:pPr>
              <w:spacing w:after="0"/>
              <w:jc w:val="left"/>
            </w:pPr>
            <w:r>
              <w:rPr>
                <w:rFonts w:ascii="Times New Roman" w:hAnsi="Times New Roman"/>
                <w:b w:val="0"/>
                <w:i w:val="0"/>
                <w:sz w:val="13"/>
              </w:rPr>
              <w:t>STOEP</w:t>
            </w:r>
          </w:p>
        </w:tc>
        <w:tc>
          <w:tcPr>
            <w:tcW w:w="620" w:type="dxa"/>
            <w:tcMar>
              <w:top w:w="40" w:type="dxa"/>
              <w:left w:w="90" w:type="dxa"/>
              <w:bottom w:w="40" w:type="dxa"/>
              <w:right w:w="90" w:type="dxa"/>
            </w:tcMar>
          </w:tcPr>
          <w:p w14:paraId="52283E08">
            <w:pPr>
              <w:spacing w:after="0"/>
              <w:jc w:val="left"/>
            </w:pPr>
            <w:r>
              <w:rPr>
                <w:rFonts w:ascii="Times New Roman" w:hAnsi="Times New Roman"/>
                <w:b w:val="0"/>
                <w:i w:val="0"/>
                <w:sz w:val="13"/>
              </w:rPr>
              <w:t>preprint 2026</w:t>
            </w:r>
          </w:p>
        </w:tc>
        <w:tc>
          <w:tcPr>
            <w:tcW w:w="850" w:type="dxa"/>
            <w:tcMar>
              <w:top w:w="40" w:type="dxa"/>
              <w:left w:w="90" w:type="dxa"/>
              <w:bottom w:w="40" w:type="dxa"/>
              <w:right w:w="90" w:type="dxa"/>
            </w:tcMar>
          </w:tcPr>
          <w:p w14:paraId="71A67B4F">
            <w:pPr>
              <w:spacing w:after="0"/>
              <w:jc w:val="left"/>
            </w:pPr>
            <w:r>
              <w:rPr>
                <w:rFonts w:ascii="Times New Roman" w:hAnsi="Times New Roman"/>
                <w:b w:val="0"/>
                <w:i w:val="0"/>
                <w:sz w:val="13"/>
              </w:rPr>
              <w:t>case-aware graph-learn. + attn.</w:t>
            </w:r>
          </w:p>
        </w:tc>
        <w:tc>
          <w:tcPr>
            <w:tcW w:w="800" w:type="dxa"/>
            <w:tcMar>
              <w:top w:w="40" w:type="dxa"/>
              <w:left w:w="90" w:type="dxa"/>
              <w:bottom w:w="40" w:type="dxa"/>
              <w:right w:w="90" w:type="dxa"/>
            </w:tcMar>
          </w:tcPr>
          <w:p w14:paraId="5B97C896">
            <w:pPr>
              <w:spacing w:after="0"/>
              <w:jc w:val="left"/>
            </w:pPr>
            <w:r>
              <w:rPr>
                <w:rFonts w:ascii="Times New Roman" w:hAnsi="Times New Roman"/>
                <w:b w:val="0"/>
                <w:i w:val="0"/>
                <w:sz w:val="13"/>
              </w:rPr>
              <w:t>GraphWaveNet (dilated)</w:t>
            </w:r>
          </w:p>
        </w:tc>
        <w:tc>
          <w:tcPr>
            <w:tcW w:w="820" w:type="dxa"/>
            <w:tcMar>
              <w:top w:w="40" w:type="dxa"/>
              <w:left w:w="90" w:type="dxa"/>
              <w:bottom w:w="40" w:type="dxa"/>
              <w:right w:w="90" w:type="dxa"/>
            </w:tcMar>
          </w:tcPr>
          <w:p w14:paraId="19E536BC">
            <w:pPr>
              <w:spacing w:after="0"/>
              <w:jc w:val="left"/>
            </w:pPr>
            <w:r>
              <w:rPr>
                <w:rFonts w:ascii="Times New Roman" w:hAnsi="Times New Roman"/>
                <w:b w:val="0"/>
                <w:i w:val="0"/>
                <w:sz w:val="13"/>
              </w:rPr>
              <w:t>mobility + learned / dynamic</w:t>
            </w:r>
          </w:p>
        </w:tc>
        <w:tc>
          <w:tcPr>
            <w:tcW w:w="690" w:type="dxa"/>
            <w:tcMar>
              <w:top w:w="40" w:type="dxa"/>
              <w:left w:w="90" w:type="dxa"/>
              <w:bottom w:w="40" w:type="dxa"/>
              <w:right w:w="90" w:type="dxa"/>
            </w:tcMar>
          </w:tcPr>
          <w:p w14:paraId="73E9EDAA">
            <w:pPr>
              <w:spacing w:after="0"/>
              <w:jc w:val="left"/>
            </w:pPr>
            <w:r>
              <w:rPr>
                <w:rFonts w:ascii="Times New Roman" w:hAnsi="Times New Roman"/>
                <w:b w:val="0"/>
                <w:i w:val="0"/>
                <w:sz w:val="13"/>
              </w:rPr>
              <w:t>metapop. SIR + expert</w:t>
            </w:r>
          </w:p>
        </w:tc>
        <w:tc>
          <w:tcPr>
            <w:tcW w:w="600" w:type="dxa"/>
            <w:tcMar>
              <w:top w:w="40" w:type="dxa"/>
              <w:left w:w="90" w:type="dxa"/>
              <w:bottom w:w="40" w:type="dxa"/>
              <w:right w:w="90" w:type="dxa"/>
            </w:tcMar>
          </w:tcPr>
          <w:p w14:paraId="6C491B14">
            <w:pPr>
              <w:spacing w:after="0"/>
              <w:jc w:val="left"/>
            </w:pPr>
            <w:r>
              <w:rPr>
                <w:rFonts w:ascii="Times New Roman" w:hAnsi="Times New Roman"/>
                <w:b w:val="0"/>
                <w:i w:val="0"/>
                <w:sz w:val="13"/>
              </w:rPr>
              <w:t>none</w:t>
            </w:r>
          </w:p>
        </w:tc>
        <w:tc>
          <w:tcPr>
            <w:tcW w:w="740" w:type="dxa"/>
            <w:tcMar>
              <w:top w:w="40" w:type="dxa"/>
              <w:left w:w="90" w:type="dxa"/>
              <w:bottom w:w="40" w:type="dxa"/>
              <w:right w:w="90" w:type="dxa"/>
            </w:tcMar>
          </w:tcPr>
          <w:p w14:paraId="165B502F">
            <w:pPr>
              <w:spacing w:after="0"/>
              <w:jc w:val="left"/>
            </w:pPr>
            <w:r>
              <w:rPr>
                <w:rFonts w:ascii="Times New Roman" w:hAnsi="Times New Roman"/>
                <w:b w:val="0"/>
                <w:i w:val="0"/>
                <w:sz w:val="13"/>
              </w:rPr>
              <w:t>yes — SIR params</w:t>
            </w:r>
          </w:p>
        </w:tc>
        <w:tc>
          <w:tcPr>
            <w:tcW w:w="850" w:type="dxa"/>
            <w:tcMar>
              <w:top w:w="40" w:type="dxa"/>
              <w:left w:w="90" w:type="dxa"/>
              <w:bottom w:w="40" w:type="dxa"/>
              <w:right w:w="90" w:type="dxa"/>
            </w:tcMar>
          </w:tcPr>
          <w:p w14:paraId="709FE311">
            <w:pPr>
              <w:spacing w:after="0"/>
              <w:jc w:val="left"/>
            </w:pPr>
            <w:r>
              <w:rPr>
                <w:rFonts w:ascii="Times New Roman" w:hAnsi="Times New Roman"/>
                <w:b w:val="0"/>
                <w:i w:val="0"/>
                <w:sz w:val="13"/>
              </w:rPr>
              <w:t>COVID-19 + influenza</w:t>
            </w:r>
          </w:p>
        </w:tc>
        <w:tc>
          <w:tcPr>
            <w:tcW w:w="820" w:type="dxa"/>
            <w:tcMar>
              <w:top w:w="40" w:type="dxa"/>
              <w:left w:w="90" w:type="dxa"/>
              <w:bottom w:w="40" w:type="dxa"/>
              <w:right w:w="90" w:type="dxa"/>
            </w:tcMar>
          </w:tcPr>
          <w:p w14:paraId="32B457D2">
            <w:pPr>
              <w:spacing w:after="0"/>
              <w:jc w:val="left"/>
            </w:pPr>
            <w:r>
              <w:rPr>
                <w:rFonts w:ascii="Times New Roman" w:hAnsi="Times New Roman"/>
                <w:b w:val="0"/>
                <w:i w:val="0"/>
                <w:sz w:val="13"/>
              </w:rPr>
              <w:t>no (future work)</w:t>
            </w:r>
          </w:p>
        </w:tc>
        <w:tc>
          <w:tcPr>
            <w:tcW w:w="770" w:type="dxa"/>
            <w:tcMar>
              <w:top w:w="40" w:type="dxa"/>
              <w:left w:w="90" w:type="dxa"/>
              <w:bottom w:w="40" w:type="dxa"/>
              <w:right w:w="90" w:type="dxa"/>
            </w:tcMar>
          </w:tcPr>
          <w:p w14:paraId="66F23AEF">
            <w:pPr>
              <w:spacing w:after="0"/>
              <w:jc w:val="left"/>
            </w:pPr>
            <w:r>
              <w:rPr>
                <w:rFonts w:ascii="Times New Roman" w:hAnsi="Times New Roman"/>
                <w:b w:val="0"/>
                <w:i w:val="0"/>
                <w:sz w:val="13"/>
              </w:rPr>
              <w:t>Japan-COVID (47); Zhejiang (11)</w:t>
            </w:r>
          </w:p>
        </w:tc>
        <w:tc>
          <w:tcPr>
            <w:tcW w:w="720" w:type="dxa"/>
            <w:tcMar>
              <w:top w:w="40" w:type="dxa"/>
              <w:left w:w="90" w:type="dxa"/>
              <w:bottom w:w="40" w:type="dxa"/>
              <w:right w:w="90" w:type="dxa"/>
            </w:tcMar>
          </w:tcPr>
          <w:p w14:paraId="6565A60D">
            <w:pPr>
              <w:spacing w:after="0"/>
              <w:jc w:val="left"/>
            </w:pPr>
            <w:r>
              <w:rPr>
                <w:rFonts w:ascii="Times New Roman" w:hAnsi="Times New Roman"/>
                <w:b w:val="0"/>
                <w:i w:val="0"/>
                <w:sz w:val="13"/>
              </w:rPr>
              <w:t>RMSE, MAE, sMAPE, RAE</w:t>
            </w:r>
          </w:p>
        </w:tc>
        <w:tc>
          <w:tcPr>
            <w:tcW w:w="530" w:type="dxa"/>
            <w:tcMar>
              <w:top w:w="40" w:type="dxa"/>
              <w:left w:w="90" w:type="dxa"/>
              <w:bottom w:w="40" w:type="dxa"/>
              <w:right w:w="90" w:type="dxa"/>
            </w:tcMar>
          </w:tcPr>
          <w:p w14:paraId="2703D8F8">
            <w:pPr>
              <w:spacing w:after="0"/>
              <w:jc w:val="left"/>
            </w:pPr>
            <w:r>
              <w:rPr>
                <w:rFonts w:ascii="Times New Roman" w:hAnsi="Times New Roman"/>
                <w:b w:val="0"/>
                <w:i w:val="0"/>
                <w:sz w:val="13"/>
              </w:rPr>
              <w:t>yes</w:t>
            </w:r>
          </w:p>
        </w:tc>
      </w:tr>
      <w:tr w14:paraId="19665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0A0EA5AB">
            <w:pPr>
              <w:spacing w:after="0"/>
              <w:jc w:val="left"/>
            </w:pPr>
            <w:r>
              <w:rPr>
                <w:rFonts w:ascii="Times New Roman" w:hAnsi="Times New Roman"/>
                <w:b w:val="0"/>
                <w:i w:val="0"/>
                <w:sz w:val="13"/>
              </w:rPr>
              <w:t>ST-GAT (multi-dis.)</w:t>
            </w:r>
          </w:p>
        </w:tc>
        <w:tc>
          <w:tcPr>
            <w:tcW w:w="620" w:type="dxa"/>
            <w:tcMar>
              <w:top w:w="40" w:type="dxa"/>
              <w:left w:w="90" w:type="dxa"/>
              <w:bottom w:w="40" w:type="dxa"/>
              <w:right w:w="90" w:type="dxa"/>
            </w:tcMar>
          </w:tcPr>
          <w:p w14:paraId="74F3EC91">
            <w:pPr>
              <w:spacing w:after="0"/>
              <w:jc w:val="left"/>
            </w:pPr>
            <w:r>
              <w:rPr>
                <w:rFonts w:ascii="Times New Roman" w:hAnsi="Times New Roman"/>
                <w:b w:val="0"/>
                <w:i w:val="0"/>
                <w:sz w:val="13"/>
              </w:rPr>
              <w:t>Front. Pub. Health 2026</w:t>
            </w:r>
          </w:p>
        </w:tc>
        <w:tc>
          <w:tcPr>
            <w:tcW w:w="850" w:type="dxa"/>
            <w:tcMar>
              <w:top w:w="40" w:type="dxa"/>
              <w:left w:w="90" w:type="dxa"/>
              <w:bottom w:w="40" w:type="dxa"/>
              <w:right w:w="90" w:type="dxa"/>
            </w:tcMar>
          </w:tcPr>
          <w:p w14:paraId="5884FB04">
            <w:pPr>
              <w:spacing w:after="0"/>
              <w:jc w:val="left"/>
            </w:pPr>
            <w:r>
              <w:rPr>
                <w:rFonts w:ascii="Times New Roman" w:hAnsi="Times New Roman"/>
                <w:b w:val="0"/>
                <w:i w:val="0"/>
                <w:sz w:val="13"/>
              </w:rPr>
              <w:t>multi-relational GAT</w:t>
            </w:r>
          </w:p>
        </w:tc>
        <w:tc>
          <w:tcPr>
            <w:tcW w:w="800" w:type="dxa"/>
            <w:tcMar>
              <w:top w:w="40" w:type="dxa"/>
              <w:left w:w="90" w:type="dxa"/>
              <w:bottom w:w="40" w:type="dxa"/>
              <w:right w:w="90" w:type="dxa"/>
            </w:tcMar>
          </w:tcPr>
          <w:p w14:paraId="5F235E83">
            <w:pPr>
              <w:spacing w:after="0"/>
              <w:jc w:val="left"/>
            </w:pPr>
            <w:r>
              <w:rPr>
                <w:rFonts w:ascii="Times New Roman" w:hAnsi="Times New Roman"/>
                <w:b w:val="0"/>
                <w:i w:val="0"/>
                <w:sz w:val="13"/>
              </w:rPr>
              <w:t>causal Transformer</w:t>
            </w:r>
          </w:p>
        </w:tc>
        <w:tc>
          <w:tcPr>
            <w:tcW w:w="820" w:type="dxa"/>
            <w:tcMar>
              <w:top w:w="40" w:type="dxa"/>
              <w:left w:w="90" w:type="dxa"/>
              <w:bottom w:w="40" w:type="dxa"/>
              <w:right w:w="90" w:type="dxa"/>
            </w:tcMar>
          </w:tcPr>
          <w:p w14:paraId="6E2DCFFB">
            <w:pPr>
              <w:spacing w:after="0"/>
              <w:jc w:val="left"/>
            </w:pPr>
            <w:r>
              <w:rPr>
                <w:rFonts w:ascii="Times New Roman" w:hAnsi="Times New Roman"/>
                <w:b w:val="0"/>
                <w:i w:val="0"/>
                <w:sz w:val="13"/>
              </w:rPr>
              <w:t>dynamic geo + OD mobility</w:t>
            </w:r>
          </w:p>
        </w:tc>
        <w:tc>
          <w:tcPr>
            <w:tcW w:w="690" w:type="dxa"/>
            <w:tcMar>
              <w:top w:w="40" w:type="dxa"/>
              <w:left w:w="90" w:type="dxa"/>
              <w:bottom w:w="40" w:type="dxa"/>
              <w:right w:w="90" w:type="dxa"/>
            </w:tcMar>
          </w:tcPr>
          <w:p w14:paraId="1756C5B2">
            <w:pPr>
              <w:spacing w:after="0"/>
              <w:jc w:val="left"/>
            </w:pPr>
            <w:r>
              <w:rPr>
                <w:rFonts w:ascii="Times New Roman" w:hAnsi="Times New Roman"/>
                <w:b w:val="0"/>
                <w:i w:val="0"/>
                <w:sz w:val="13"/>
              </w:rPr>
              <w:t>none (NB/ZINB)</w:t>
            </w:r>
          </w:p>
        </w:tc>
        <w:tc>
          <w:tcPr>
            <w:tcW w:w="600" w:type="dxa"/>
            <w:tcMar>
              <w:top w:w="40" w:type="dxa"/>
              <w:left w:w="90" w:type="dxa"/>
              <w:bottom w:w="40" w:type="dxa"/>
              <w:right w:w="90" w:type="dxa"/>
            </w:tcMar>
          </w:tcPr>
          <w:p w14:paraId="1EE603FF">
            <w:pPr>
              <w:spacing w:after="0"/>
              <w:jc w:val="left"/>
            </w:pPr>
            <w:r>
              <w:rPr>
                <w:rFonts w:ascii="Times New Roman" w:hAnsi="Times New Roman"/>
                <w:b w:val="0"/>
                <w:i w:val="0"/>
                <w:sz w:val="13"/>
              </w:rPr>
              <w:t>quantile + distrib.</w:t>
            </w:r>
          </w:p>
        </w:tc>
        <w:tc>
          <w:tcPr>
            <w:tcW w:w="740" w:type="dxa"/>
            <w:tcMar>
              <w:top w:w="40" w:type="dxa"/>
              <w:left w:w="90" w:type="dxa"/>
              <w:bottom w:w="40" w:type="dxa"/>
              <w:right w:w="90" w:type="dxa"/>
            </w:tcMar>
          </w:tcPr>
          <w:p w14:paraId="2C0B3DD2">
            <w:pPr>
              <w:spacing w:after="0"/>
              <w:jc w:val="left"/>
            </w:pPr>
            <w:r>
              <w:rPr>
                <w:rFonts w:ascii="Times New Roman" w:hAnsi="Times New Roman"/>
                <w:b w:val="0"/>
                <w:i w:val="0"/>
                <w:sz w:val="13"/>
              </w:rPr>
              <w:t>yes — attn. + SHAP</w:t>
            </w:r>
          </w:p>
        </w:tc>
        <w:tc>
          <w:tcPr>
            <w:tcW w:w="850" w:type="dxa"/>
            <w:tcMar>
              <w:top w:w="40" w:type="dxa"/>
              <w:left w:w="90" w:type="dxa"/>
              <w:bottom w:w="40" w:type="dxa"/>
              <w:right w:w="90" w:type="dxa"/>
            </w:tcMar>
          </w:tcPr>
          <w:p w14:paraId="73FC130E">
            <w:pPr>
              <w:spacing w:after="0"/>
              <w:jc w:val="left"/>
            </w:pPr>
            <w:r>
              <w:rPr>
                <w:rFonts w:ascii="Times New Roman" w:hAnsi="Times New Roman"/>
                <w:b w:val="0"/>
                <w:i w:val="0"/>
                <w:sz w:val="13"/>
              </w:rPr>
              <w:t>ILI, HFMD, dengue, RSV (joint)</w:t>
            </w:r>
          </w:p>
        </w:tc>
        <w:tc>
          <w:tcPr>
            <w:tcW w:w="820" w:type="dxa"/>
            <w:tcMar>
              <w:top w:w="40" w:type="dxa"/>
              <w:left w:w="90" w:type="dxa"/>
              <w:bottom w:w="40" w:type="dxa"/>
              <w:right w:w="90" w:type="dxa"/>
            </w:tcMar>
          </w:tcPr>
          <w:p w14:paraId="6C2B8999">
            <w:pPr>
              <w:spacing w:after="0"/>
              <w:jc w:val="left"/>
            </w:pPr>
            <w:r>
              <w:rPr>
                <w:rFonts w:ascii="Times New Roman" w:hAnsi="Times New Roman"/>
                <w:b w:val="0"/>
                <w:i w:val="0"/>
                <w:sz w:val="13"/>
              </w:rPr>
              <w:t>LODO curve only</w:t>
            </w:r>
          </w:p>
        </w:tc>
        <w:tc>
          <w:tcPr>
            <w:tcW w:w="770" w:type="dxa"/>
            <w:tcMar>
              <w:top w:w="40" w:type="dxa"/>
              <w:left w:w="90" w:type="dxa"/>
              <w:bottom w:w="40" w:type="dxa"/>
              <w:right w:w="90" w:type="dxa"/>
            </w:tcMar>
          </w:tcPr>
          <w:p w14:paraId="68BFC4DA">
            <w:pPr>
              <w:spacing w:after="0"/>
              <w:jc w:val="left"/>
            </w:pPr>
            <w:r>
              <w:rPr>
                <w:rFonts w:ascii="Times New Roman" w:hAnsi="Times New Roman"/>
                <w:b w:val="0"/>
                <w:i w:val="0"/>
                <w:sz w:val="13"/>
              </w:rPr>
              <w:t>10-region multi-source</w:t>
            </w:r>
          </w:p>
        </w:tc>
        <w:tc>
          <w:tcPr>
            <w:tcW w:w="720" w:type="dxa"/>
            <w:tcMar>
              <w:top w:w="40" w:type="dxa"/>
              <w:left w:w="90" w:type="dxa"/>
              <w:bottom w:w="40" w:type="dxa"/>
              <w:right w:w="90" w:type="dxa"/>
            </w:tcMar>
          </w:tcPr>
          <w:p w14:paraId="75D11092">
            <w:pPr>
              <w:spacing w:after="0"/>
              <w:jc w:val="left"/>
            </w:pPr>
            <w:r>
              <w:rPr>
                <w:rFonts w:ascii="Times New Roman" w:hAnsi="Times New Roman"/>
                <w:b w:val="0"/>
                <w:i w:val="0"/>
                <w:sz w:val="13"/>
              </w:rPr>
              <w:t>MAE, RMSE, sMAPE, WIS, CRPS</w:t>
            </w:r>
          </w:p>
        </w:tc>
        <w:tc>
          <w:tcPr>
            <w:tcW w:w="530" w:type="dxa"/>
            <w:tcMar>
              <w:top w:w="40" w:type="dxa"/>
              <w:left w:w="90" w:type="dxa"/>
              <w:bottom w:w="40" w:type="dxa"/>
              <w:right w:w="90" w:type="dxa"/>
            </w:tcMar>
          </w:tcPr>
          <w:p w14:paraId="1416027B">
            <w:pPr>
              <w:spacing w:after="0"/>
              <w:jc w:val="left"/>
            </w:pPr>
            <w:r>
              <w:rPr>
                <w:rFonts w:ascii="Times New Roman" w:hAnsi="Times New Roman"/>
                <w:b w:val="0"/>
                <w:i w:val="0"/>
                <w:sz w:val="13"/>
              </w:rPr>
              <w:t>no</w:t>
            </w:r>
          </w:p>
        </w:tc>
      </w:tr>
      <w:tr w14:paraId="32FB7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 w:type="dxa"/>
            <w:tcMar>
              <w:top w:w="40" w:type="dxa"/>
              <w:left w:w="90" w:type="dxa"/>
              <w:bottom w:w="40" w:type="dxa"/>
              <w:right w:w="90" w:type="dxa"/>
            </w:tcMar>
          </w:tcPr>
          <w:p w14:paraId="45087A8A">
            <w:pPr>
              <w:spacing w:after="0"/>
              <w:jc w:val="left"/>
            </w:pPr>
            <w:r>
              <w:rPr>
                <w:rFonts w:ascii="Times New Roman" w:hAnsi="Times New Roman"/>
                <w:b/>
                <w:i w:val="0"/>
                <w:sz w:val="13"/>
              </w:rPr>
              <w:t>Ours</w:t>
            </w:r>
          </w:p>
        </w:tc>
        <w:tc>
          <w:tcPr>
            <w:tcW w:w="620" w:type="dxa"/>
            <w:tcMar>
              <w:top w:w="40" w:type="dxa"/>
              <w:left w:w="90" w:type="dxa"/>
              <w:bottom w:w="40" w:type="dxa"/>
              <w:right w:w="90" w:type="dxa"/>
            </w:tcMar>
          </w:tcPr>
          <w:p w14:paraId="44BECD43">
            <w:pPr>
              <w:spacing w:after="0"/>
              <w:jc w:val="left"/>
            </w:pPr>
            <w:r>
              <w:rPr>
                <w:rFonts w:ascii="Times New Roman" w:hAnsi="Times New Roman"/>
                <w:b/>
                <w:i w:val="0"/>
                <w:sz w:val="13"/>
              </w:rPr>
              <w:t>this work</w:t>
            </w:r>
          </w:p>
        </w:tc>
        <w:tc>
          <w:tcPr>
            <w:tcW w:w="850" w:type="dxa"/>
            <w:tcMar>
              <w:top w:w="40" w:type="dxa"/>
              <w:left w:w="90" w:type="dxa"/>
              <w:bottom w:w="40" w:type="dxa"/>
              <w:right w:w="90" w:type="dxa"/>
            </w:tcMar>
          </w:tcPr>
          <w:p w14:paraId="04467DD5">
            <w:pPr>
              <w:spacing w:after="0"/>
              <w:jc w:val="left"/>
            </w:pPr>
            <w:r>
              <w:rPr>
                <w:rFonts w:ascii="Times New Roman" w:hAnsi="Times New Roman"/>
                <w:b/>
                <w:i w:val="0"/>
                <w:sz w:val="13"/>
              </w:rPr>
              <w:t>disease-agnostic shared encoder</w:t>
            </w:r>
          </w:p>
        </w:tc>
        <w:tc>
          <w:tcPr>
            <w:tcW w:w="800" w:type="dxa"/>
            <w:tcMar>
              <w:top w:w="40" w:type="dxa"/>
              <w:left w:w="90" w:type="dxa"/>
              <w:bottom w:w="40" w:type="dxa"/>
              <w:right w:w="90" w:type="dxa"/>
            </w:tcMar>
          </w:tcPr>
          <w:p w14:paraId="19636644">
            <w:pPr>
              <w:spacing w:after="0"/>
              <w:jc w:val="left"/>
            </w:pPr>
            <w:r>
              <w:rPr>
                <w:rFonts w:ascii="Times New Roman" w:hAnsi="Times New Roman"/>
                <w:b/>
                <w:i w:val="0"/>
                <w:sz w:val="13"/>
              </w:rPr>
              <w:t>shared enc. (see Methods)</w:t>
            </w:r>
          </w:p>
        </w:tc>
        <w:tc>
          <w:tcPr>
            <w:tcW w:w="820" w:type="dxa"/>
            <w:tcMar>
              <w:top w:w="40" w:type="dxa"/>
              <w:left w:w="90" w:type="dxa"/>
              <w:bottom w:w="40" w:type="dxa"/>
              <w:right w:w="90" w:type="dxa"/>
            </w:tcMar>
          </w:tcPr>
          <w:p w14:paraId="0007634C">
            <w:pPr>
              <w:spacing w:after="0"/>
              <w:jc w:val="left"/>
            </w:pPr>
            <w:r>
              <w:rPr>
                <w:rFonts w:ascii="Times New Roman" w:hAnsi="Times New Roman"/>
                <w:b/>
                <w:i w:val="0"/>
                <w:sz w:val="13"/>
              </w:rPr>
              <w:t>learned + transferable</w:t>
            </w:r>
          </w:p>
        </w:tc>
        <w:tc>
          <w:tcPr>
            <w:tcW w:w="690" w:type="dxa"/>
            <w:tcMar>
              <w:top w:w="40" w:type="dxa"/>
              <w:left w:w="90" w:type="dxa"/>
              <w:bottom w:w="40" w:type="dxa"/>
              <w:right w:w="90" w:type="dxa"/>
            </w:tcMar>
          </w:tcPr>
          <w:p w14:paraId="0629413D">
            <w:pPr>
              <w:spacing w:after="0"/>
              <w:jc w:val="left"/>
            </w:pPr>
            <w:r>
              <w:rPr>
                <w:rFonts w:ascii="Times New Roman" w:hAnsi="Times New Roman"/>
                <w:b/>
                <w:i w:val="0"/>
                <w:sz w:val="13"/>
              </w:rPr>
              <w:t>pluggable / hybrid</w:t>
            </w:r>
          </w:p>
        </w:tc>
        <w:tc>
          <w:tcPr>
            <w:tcW w:w="600" w:type="dxa"/>
            <w:tcMar>
              <w:top w:w="40" w:type="dxa"/>
              <w:left w:w="90" w:type="dxa"/>
              <w:bottom w:w="40" w:type="dxa"/>
              <w:right w:w="90" w:type="dxa"/>
            </w:tcMar>
          </w:tcPr>
          <w:p w14:paraId="09B166D9">
            <w:pPr>
              <w:spacing w:after="0"/>
              <w:jc w:val="left"/>
            </w:pPr>
            <w:r>
              <w:rPr>
                <w:rFonts w:ascii="Times New Roman" w:hAnsi="Times New Roman"/>
                <w:b/>
                <w:i w:val="0"/>
                <w:sz w:val="13"/>
              </w:rPr>
              <w:t>conformal (calibr.)</w:t>
            </w:r>
          </w:p>
        </w:tc>
        <w:tc>
          <w:tcPr>
            <w:tcW w:w="740" w:type="dxa"/>
            <w:tcMar>
              <w:top w:w="40" w:type="dxa"/>
              <w:left w:w="90" w:type="dxa"/>
              <w:bottom w:w="40" w:type="dxa"/>
              <w:right w:w="90" w:type="dxa"/>
            </w:tcMar>
          </w:tcPr>
          <w:p w14:paraId="31F176BE">
            <w:pPr>
              <w:spacing w:after="0"/>
              <w:jc w:val="left"/>
            </w:pPr>
            <w:r>
              <w:rPr>
                <w:rFonts w:ascii="Times New Roman" w:hAnsi="Times New Roman"/>
                <w:b/>
                <w:i w:val="0"/>
                <w:sz w:val="13"/>
              </w:rPr>
              <w:t>yes — SHAP (glob.+loc.)</w:t>
            </w:r>
          </w:p>
        </w:tc>
        <w:tc>
          <w:tcPr>
            <w:tcW w:w="850" w:type="dxa"/>
            <w:tcMar>
              <w:top w:w="40" w:type="dxa"/>
              <w:left w:w="90" w:type="dxa"/>
              <w:bottom w:w="40" w:type="dxa"/>
              <w:right w:w="90" w:type="dxa"/>
            </w:tcMar>
          </w:tcPr>
          <w:p w14:paraId="0E6BFE67">
            <w:pPr>
              <w:spacing w:after="0"/>
              <w:jc w:val="left"/>
            </w:pPr>
            <w:r>
              <w:rPr>
                <w:rFonts w:ascii="Times New Roman" w:hAnsi="Times New Roman"/>
                <w:b/>
                <w:i w:val="0"/>
                <w:sz w:val="13"/>
              </w:rPr>
              <w:t>dengue, influenza → Ebola</w:t>
            </w:r>
          </w:p>
        </w:tc>
        <w:tc>
          <w:tcPr>
            <w:tcW w:w="820" w:type="dxa"/>
            <w:tcMar>
              <w:top w:w="40" w:type="dxa"/>
              <w:left w:w="90" w:type="dxa"/>
              <w:bottom w:w="40" w:type="dxa"/>
              <w:right w:w="90" w:type="dxa"/>
            </w:tcMar>
          </w:tcPr>
          <w:p w14:paraId="1A97120F">
            <w:pPr>
              <w:spacing w:after="0"/>
              <w:jc w:val="left"/>
            </w:pPr>
            <w:r>
              <w:rPr>
                <w:rFonts w:ascii="Times New Roman" w:hAnsi="Times New Roman"/>
                <w:b/>
                <w:i w:val="0"/>
                <w:sz w:val="13"/>
              </w:rPr>
              <w:t>yes — few-shot (held-out)</w:t>
            </w:r>
          </w:p>
        </w:tc>
        <w:tc>
          <w:tcPr>
            <w:tcW w:w="770" w:type="dxa"/>
            <w:tcMar>
              <w:top w:w="40" w:type="dxa"/>
              <w:left w:w="90" w:type="dxa"/>
              <w:bottom w:w="40" w:type="dxa"/>
              <w:right w:w="90" w:type="dxa"/>
            </w:tcMar>
          </w:tcPr>
          <w:p w14:paraId="41EB3CC3">
            <w:pPr>
              <w:spacing w:after="0"/>
              <w:jc w:val="left"/>
            </w:pPr>
            <w:r>
              <w:rPr>
                <w:rFonts w:ascii="Times New Roman" w:hAnsi="Times New Roman"/>
                <w:b/>
                <w:i w:val="0"/>
                <w:sz w:val="13"/>
              </w:rPr>
              <w:t>OpenDengue; ILI; Ebola (HDX/WHO)</w:t>
            </w:r>
          </w:p>
        </w:tc>
        <w:tc>
          <w:tcPr>
            <w:tcW w:w="720" w:type="dxa"/>
            <w:tcMar>
              <w:top w:w="40" w:type="dxa"/>
              <w:left w:w="90" w:type="dxa"/>
              <w:bottom w:w="40" w:type="dxa"/>
              <w:right w:w="90" w:type="dxa"/>
            </w:tcMar>
          </w:tcPr>
          <w:p w14:paraId="4EDEB5F6">
            <w:pPr>
              <w:spacing w:after="0"/>
              <w:jc w:val="left"/>
            </w:pPr>
            <w:r>
              <w:rPr>
                <w:rFonts w:ascii="Times New Roman" w:hAnsi="Times New Roman"/>
                <w:b/>
                <w:i w:val="0"/>
                <w:sz w:val="13"/>
              </w:rPr>
              <w:t>RMSE, MAE, PCC, sMAPE, CRPS, cov.</w:t>
            </w:r>
          </w:p>
        </w:tc>
        <w:tc>
          <w:tcPr>
            <w:tcW w:w="530" w:type="dxa"/>
            <w:tcMar>
              <w:top w:w="40" w:type="dxa"/>
              <w:left w:w="90" w:type="dxa"/>
              <w:bottom w:w="40" w:type="dxa"/>
              <w:right w:w="90" w:type="dxa"/>
            </w:tcMar>
          </w:tcPr>
          <w:p w14:paraId="21930C7F">
            <w:pPr>
              <w:spacing w:after="0"/>
              <w:jc w:val="left"/>
            </w:pPr>
            <w:r>
              <w:rPr>
                <w:rFonts w:ascii="Times New Roman" w:hAnsi="Times New Roman"/>
                <w:b/>
                <w:i w:val="0"/>
                <w:sz w:val="13"/>
              </w:rPr>
              <w:t>yes</w:t>
            </w:r>
          </w:p>
        </w:tc>
      </w:tr>
    </w:tbl>
    <w:p w14:paraId="55DD8B40">
      <w:pPr>
        <w:spacing w:before="60" w:after="160"/>
        <w:jc w:val="left"/>
      </w:pPr>
      <w:r>
        <w:rPr>
          <w:rFonts w:ascii="Times New Roman" w:hAnsi="Times New Roman"/>
          <w:b/>
          <w:i w:val="0"/>
          <w:sz w:val="19"/>
        </w:rPr>
        <w:t xml:space="preserve">Table 1. </w:t>
      </w:r>
      <w:r>
        <w:rPr>
          <w:rFonts w:ascii="Times New Roman" w:hAnsi="Times New Roman"/>
          <w:b w:val="0"/>
          <w:i/>
          <w:sz w:val="19"/>
        </w:rPr>
        <w:t>Structured competitive analysis of representative spatio-temporal forecasting models (chronological). Abbreviations: conv. = convolution; TCN = temporal convolutional network; GCN / GAT = graph convolutional / attention network; SIR / SIRD = compartmental priors; OD = origin–destination; n/s = not stated in source. The pattern down the uncertainty, explainability, and transfer columns is the evidentiary basis for the research gap in Section 4.</w:t>
      </w:r>
    </w:p>
    <w:p w14:paraId="3993577B">
      <w:pPr>
        <w:jc w:val="both"/>
      </w:pPr>
      <w:r>
        <w:rPr>
          <w:rFonts w:ascii="Times New Roman" w:hAnsi="Times New Roman"/>
          <w:b w:val="0"/>
          <w:i w:val="0"/>
          <w:sz w:val="22"/>
        </w:rPr>
        <w:t>Reading the table by column rather than by row exposes a consistent pattern that no amount of per-model excellence dissolves. The spatial and temporal modules have converged on a small, mature menu — learned or attention-based graphs paired with convolutional, recurrent, or transformer sequence encoders — and mechanistic priors have moved from rare to common, with SIR, SIRD, and metapopulation variants appearing across the 2022–2026 cohort. Against that maturity, three columns stay conspicuously sparse. The uncertainty column is empty for every epidemic GNN except the single multi-task model of Liu and Cao (2026); the mechanistic hybrids, despite their epidemiological sophistication, report point forecasts. The explainability column is populated but shallow, dominated by attention visualisation and parameter read-out rather than input attribution. Most decisively, the transfer column reads “no” almost everywhere: models that evaluate two diseases still fit each separately, transfer that does exist is across locations for one disease (Panagopoulos et al., 2021), and the closest multi-disease system offers only a leave-one-disease-out learning curve rather than a few-shot protocol. The competitive picture is therefore not that any one property is unmet, but that the properties are met in isolation — no incumbent occupies the intersection.</w:t>
      </w:r>
    </w:p>
    <w:p w14:paraId="71D9D6AF">
      <w:pPr>
        <w:keepNext/>
        <w:spacing w:before="120" w:after="130"/>
      </w:pPr>
      <w:r>
        <w:rPr>
          <w:rFonts w:ascii="Times New Roman" w:hAnsi="Times New Roman"/>
          <w:b/>
          <w:i w:val="0"/>
          <w:sz w:val="26"/>
        </w:rPr>
        <w:t>4 Research Gap</w:t>
      </w:r>
    </w:p>
    <w:p w14:paraId="136B8CD0">
      <w:pPr>
        <w:jc w:val="both"/>
      </w:pPr>
      <w:r>
        <w:rPr>
          <w:rFonts w:ascii="Times New Roman" w:hAnsi="Times New Roman"/>
          <w:b w:val="0"/>
          <w:i w:val="0"/>
          <w:sz w:val="22"/>
        </w:rPr>
        <w:t>The competitive analysis and the benchmark together license a precise statement of what is missing. No incumbent simultaneously satisfies the four properties an operational emerging-disease forecaster requires: it should be disease-agnostic by construction, so that a new pathogen is ingested without re-engineering the architecture; it should learn transferable representations, so that abundant history from data-rich diseases is not wasted; it should adapt few-shot to a data-scarce disease, so that a forecast exists before a long series accrues; and it should deliver calibrated uncertainty with faithful explanation, so that its outputs are actionable and auditable. The evidence for the gap is not that any one of these is universally unaddressed — several are addressed well in isolation — but that the intersection is empty. Mechanistic-hybrid models such as CausalGNN, MepoGNN, HeatGNN, STOEP, and BDGSTN encode epidemiological structure yet remain single-disease and uncalibrated. Attention and transmission-risk models such as Cola-GNN and EpiGNN offer interpretable spatial structure yet fit each disease separately and report point forecasts. Transfer has been shown across locations for a single disease (Panagopoulos et al., 2021) but not across diseases. The one model that reaches calibrated, explained, multi-disease forecasting (Liu and Cao, 2026) does so by joint multi-task training over a fixed four-disease panel and demonstrates only a leave-one-disease-out learning curve, not few-shot adaptation to a genuinely unseen pathogen such as Ebola. The gap this framework targets is therefore the unification: a single model that is disease-agnostic, transferable, few-shot adaptable, and calibrated with explanation, evaluated on exactly the emerging-disease regime the incumbents leave as future work.</w:t>
      </w:r>
    </w:p>
    <w:p w14:paraId="58FFBBEE">
      <w:pPr>
        <w:keepNext/>
        <w:spacing w:before="120" w:after="130"/>
      </w:pPr>
      <w:r>
        <w:rPr>
          <w:rFonts w:ascii="Times New Roman" w:hAnsi="Times New Roman"/>
          <w:b/>
          <w:i w:val="0"/>
          <w:sz w:val="26"/>
        </w:rPr>
        <w:t>5 Problem Formulation</w:t>
      </w:r>
    </w:p>
    <w:p w14:paraId="326E5C82">
      <w:pPr>
        <w:jc w:val="both"/>
      </w:pPr>
      <w:r>
        <w:rPr>
          <w:rFonts w:ascii="Times New Roman" w:hAnsi="Times New Roman"/>
          <w:b w:val="0"/>
          <w:i w:val="0"/>
          <w:sz w:val="22"/>
        </w:rPr>
        <w:t>We frame emerging-disease forecasting as multi-horizon, joint multi-node incidence prediction over the standardised representation specified in Section 6. Because every disease is coerced into the same representation, the task statement is disease-agnostic by construction, and the same formulation applies unchanged to the data-rich development diseases and to the held-out Ebola case study. We fix the notation here and use it consistently throughout.</w:t>
      </w:r>
    </w:p>
    <w:p w14:paraId="39747DB4">
      <w:pPr>
        <w:jc w:val="both"/>
      </w:pPr>
      <w:r>
        <w:rPr>
          <w:rFonts w:ascii="Times New Roman" w:hAnsi="Times New Roman"/>
          <w:b w:val="0"/>
          <w:i w:val="0"/>
          <w:sz w:val="22"/>
        </w:rPr>
        <w:t xml:space="preserve">Consider a disease observed over a graph of </w:t>
      </w:r>
      <w:r>
        <w:rPr>
          <w:rFonts w:ascii="Times New Roman" w:hAnsi="Times New Roman"/>
          <w:b w:val="0"/>
          <w:i/>
          <w:sz w:val="22"/>
        </w:rPr>
        <w:t>N</w:t>
      </w:r>
      <w:r>
        <w:rPr>
          <w:rFonts w:ascii="Times New Roman" w:hAnsi="Times New Roman"/>
          <w:b w:val="0"/>
          <w:i w:val="0"/>
          <w:sz w:val="22"/>
        </w:rPr>
        <w:t xml:space="preserve"> spatial units at </w:t>
      </w:r>
      <w:r>
        <w:rPr>
          <w:rFonts w:ascii="Times New Roman" w:hAnsi="Times New Roman"/>
          <w:b w:val="0"/>
          <w:i/>
          <w:sz w:val="22"/>
        </w:rPr>
        <w:t>T</w:t>
      </w:r>
      <w:r>
        <w:rPr>
          <w:rFonts w:ascii="Times New Roman" w:hAnsi="Times New Roman"/>
          <w:b w:val="0"/>
          <w:i w:val="0"/>
          <w:sz w:val="22"/>
        </w:rPr>
        <w:t xml:space="preserve"> discrete weekly steps. The disease is represented as a bundle of aligned arrays. Let </w:t>
      </w:r>
      <w:r>
        <w:rPr>
          <w:rFonts w:ascii="Times New Roman" w:hAnsi="Times New Roman"/>
          <w:b/>
          <w:i/>
          <w:sz w:val="22"/>
        </w:rPr>
        <w:t>X</w:t>
      </w:r>
      <w:r>
        <w:rPr>
          <w:rFonts w:ascii="Times New Roman" w:hAnsi="Times New Roman"/>
          <w:b w:val="0"/>
          <w:i w:val="0"/>
          <w:sz w:val="22"/>
        </w:rPr>
        <w:t xml:space="preserve"> ∈ ℝ</w:t>
      </w:r>
      <w:r>
        <w:rPr>
          <w:rFonts w:ascii="Times New Roman" w:hAnsi="Times New Roman"/>
          <w:b w:val="0"/>
          <w:i w:val="0"/>
          <w:sz w:val="22"/>
          <w:vertAlign w:val="superscript"/>
        </w:rPr>
        <w:t>N×T×F</w:t>
      </w:r>
      <w:r>
        <w:rPr>
          <w:rFonts w:ascii="Times New Roman" w:hAnsi="Times New Roman"/>
          <w:b w:val="0"/>
          <w:i w:val="0"/>
          <w:sz w:val="22"/>
        </w:rPr>
        <w:t xml:space="preserve"> be the feature tensor of </w:t>
      </w:r>
      <w:r>
        <w:rPr>
          <w:rFonts w:ascii="Times New Roman" w:hAnsi="Times New Roman"/>
          <w:b w:val="0"/>
          <w:i/>
          <w:sz w:val="22"/>
        </w:rPr>
        <w:t>F</w:t>
      </w:r>
      <w:r>
        <w:rPr>
          <w:rFonts w:ascii="Times New Roman" w:hAnsi="Times New Roman"/>
          <w:b w:val="0"/>
          <w:i w:val="0"/>
          <w:sz w:val="22"/>
        </w:rPr>
        <w:t xml:space="preserve"> channels per unit and step, whose channel 0 is normalised incidence; let </w:t>
      </w:r>
      <w:r>
        <w:rPr>
          <w:rFonts w:ascii="Times New Roman" w:hAnsi="Times New Roman"/>
          <w:b/>
          <w:i/>
          <w:sz w:val="22"/>
        </w:rPr>
        <w:t>A</w:t>
      </w:r>
      <w:r>
        <w:rPr>
          <w:rFonts w:ascii="Times New Roman" w:hAnsi="Times New Roman"/>
          <w:b w:val="0"/>
          <w:i w:val="0"/>
          <w:sz w:val="22"/>
        </w:rPr>
        <w:t xml:space="preserve"> denote the adjacency — a static geographic matrix </w:t>
      </w:r>
      <w:r>
        <w:rPr>
          <w:rFonts w:ascii="Times New Roman" w:hAnsi="Times New Roman"/>
          <w:b/>
          <w:i/>
          <w:sz w:val="22"/>
        </w:rPr>
        <w:t>A</w:t>
      </w:r>
      <w:r>
        <w:rPr>
          <w:rFonts w:ascii="Times New Roman" w:hAnsi="Times New Roman"/>
          <w:b/>
          <w:i w:val="0"/>
          <w:sz w:val="22"/>
          <w:vertAlign w:val="subscript"/>
        </w:rPr>
        <w:t>geo</w:t>
      </w:r>
      <w:r>
        <w:rPr>
          <w:rFonts w:ascii="Times New Roman" w:hAnsi="Times New Roman"/>
          <w:b w:val="0"/>
          <w:i w:val="0"/>
          <w:sz w:val="22"/>
        </w:rPr>
        <w:t xml:space="preserve"> and an optional mobility matrix </w:t>
      </w:r>
      <w:r>
        <w:rPr>
          <w:rFonts w:ascii="Times New Roman" w:hAnsi="Times New Roman"/>
          <w:b/>
          <w:i/>
          <w:sz w:val="22"/>
        </w:rPr>
        <w:t>A</w:t>
      </w:r>
      <w:r>
        <w:rPr>
          <w:rFonts w:ascii="Times New Roman" w:hAnsi="Times New Roman"/>
          <w:b/>
          <w:i w:val="0"/>
          <w:sz w:val="22"/>
          <w:vertAlign w:val="subscript"/>
        </w:rPr>
        <w:t>mob</w:t>
      </w:r>
      <w:r>
        <w:rPr>
          <w:rFonts w:ascii="Times New Roman" w:hAnsi="Times New Roman"/>
          <w:b w:val="0"/>
          <w:i w:val="0"/>
          <w:sz w:val="22"/>
        </w:rPr>
        <w:t xml:space="preserve"> — and let </w:t>
      </w:r>
      <w:r>
        <w:rPr>
          <w:rFonts w:ascii="Times New Roman" w:hAnsi="Times New Roman"/>
          <w:b/>
          <w:i/>
          <w:sz w:val="22"/>
        </w:rPr>
        <w:t>C</w:t>
      </w:r>
      <w:r>
        <w:rPr>
          <w:rFonts w:ascii="Times New Roman" w:hAnsi="Times New Roman"/>
          <w:b w:val="0"/>
          <w:i w:val="0"/>
          <w:sz w:val="22"/>
        </w:rPr>
        <w:t xml:space="preserve"> ∈ ℝ</w:t>
      </w:r>
      <w:r>
        <w:rPr>
          <w:rFonts w:ascii="Times New Roman" w:hAnsi="Times New Roman"/>
          <w:b w:val="0"/>
          <w:i w:val="0"/>
          <w:sz w:val="22"/>
          <w:vertAlign w:val="superscript"/>
        </w:rPr>
        <w:t>N×S</w:t>
      </w:r>
      <w:r>
        <w:rPr>
          <w:rFonts w:ascii="Times New Roman" w:hAnsi="Times New Roman"/>
          <w:b w:val="0"/>
          <w:i w:val="0"/>
          <w:sz w:val="22"/>
        </w:rPr>
        <w:t xml:space="preserve"> hold static node covariates. An observation mask </w:t>
      </w:r>
      <w:r>
        <w:rPr>
          <w:rFonts w:ascii="Times New Roman" w:hAnsi="Times New Roman"/>
          <w:b/>
          <w:i/>
          <w:sz w:val="22"/>
        </w:rPr>
        <w:t>M</w:t>
      </w:r>
      <w:r>
        <w:rPr>
          <w:rFonts w:ascii="Times New Roman" w:hAnsi="Times New Roman"/>
          <w:b w:val="0"/>
          <w:i w:val="0"/>
          <w:sz w:val="22"/>
        </w:rPr>
        <w:t xml:space="preserve"> ∈ {0,1}</w:t>
      </w:r>
      <w:r>
        <w:rPr>
          <w:rFonts w:ascii="Times New Roman" w:hAnsi="Times New Roman"/>
          <w:b w:val="0"/>
          <w:i w:val="0"/>
          <w:sz w:val="22"/>
          <w:vertAlign w:val="superscript"/>
        </w:rPr>
        <w:t>N×T</w:t>
      </w:r>
      <w:r>
        <w:rPr>
          <w:rFonts w:ascii="Times New Roman" w:hAnsi="Times New Roman"/>
          <w:b w:val="0"/>
          <w:i w:val="0"/>
          <w:sz w:val="22"/>
        </w:rPr>
        <w:t xml:space="preserve"> records where a value was genuinely reported, and </w:t>
      </w:r>
      <w:r>
        <w:rPr>
          <w:rFonts w:ascii="Times New Roman" w:hAnsi="Times New Roman"/>
          <w:b/>
          <w:i/>
          <w:sz w:val="22"/>
        </w:rPr>
        <w:t>y</w:t>
      </w:r>
      <w:r>
        <w:rPr>
          <w:rFonts w:ascii="Times New Roman" w:hAnsi="Times New Roman"/>
          <w:b w:val="0"/>
          <w:i w:val="0"/>
          <w:sz w:val="22"/>
        </w:rPr>
        <w:t xml:space="preserve"> ∈ ℝ</w:t>
      </w:r>
      <w:r>
        <w:rPr>
          <w:rFonts w:ascii="Times New Roman" w:hAnsi="Times New Roman"/>
          <w:b w:val="0"/>
          <w:i w:val="0"/>
          <w:sz w:val="22"/>
          <w:vertAlign w:val="superscript"/>
        </w:rPr>
        <w:t>N×T</w:t>
      </w:r>
      <w:r>
        <w:rPr>
          <w:rFonts w:ascii="Times New Roman" w:hAnsi="Times New Roman"/>
          <w:b w:val="0"/>
          <w:i w:val="0"/>
          <w:sz w:val="22"/>
        </w:rPr>
        <w:t xml:space="preserve"> is the target incidence series. A single invariant governs the bundle: row </w:t>
      </w:r>
      <w:r>
        <w:rPr>
          <w:rFonts w:ascii="Times New Roman" w:hAnsi="Times New Roman"/>
          <w:b w:val="0"/>
          <w:i/>
          <w:sz w:val="22"/>
        </w:rPr>
        <w:t>i</w:t>
      </w:r>
      <w:r>
        <w:rPr>
          <w:rFonts w:ascii="Times New Roman" w:hAnsi="Times New Roman"/>
          <w:b w:val="0"/>
          <w:i w:val="0"/>
          <w:sz w:val="22"/>
        </w:rPr>
        <w:t xml:space="preserve"> denotes the same spatial unit and column </w:t>
      </w:r>
      <w:r>
        <w:rPr>
          <w:rFonts w:ascii="Times New Roman" w:hAnsi="Times New Roman"/>
          <w:b w:val="0"/>
          <w:i/>
          <w:sz w:val="22"/>
        </w:rPr>
        <w:t>t</w:t>
      </w:r>
      <w:r>
        <w:rPr>
          <w:rFonts w:ascii="Times New Roman" w:hAnsi="Times New Roman"/>
          <w:b w:val="0"/>
          <w:i w:val="0"/>
          <w:sz w:val="22"/>
        </w:rPr>
        <w:t xml:space="preserve"> the same instant in every array, so that features, graph, mask, and target remain aligned throughout. The number of nodes and the time axis are defined per disease; diseases neither share a node set nor a common calendar, because transfer operates through shared model parameters rather than through shared indices. Table 2 summarises the bundle.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0"/>
        <w:gridCol w:w="1650"/>
        <w:gridCol w:w="6210"/>
      </w:tblGrid>
      <w:tr w14:paraId="6FE03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00" w:type="dxa"/>
            <w:shd w:val="clear" w:color="auto" w:fill="D9D9D9"/>
            <w:tcMar>
              <w:top w:w="40" w:type="dxa"/>
              <w:left w:w="90" w:type="dxa"/>
              <w:bottom w:w="40" w:type="dxa"/>
              <w:right w:w="90" w:type="dxa"/>
            </w:tcMar>
            <w:vAlign w:val="center"/>
          </w:tcPr>
          <w:p w14:paraId="494F1261">
            <w:pPr>
              <w:spacing w:after="0"/>
              <w:jc w:val="left"/>
            </w:pPr>
            <w:r>
              <w:rPr>
                <w:rFonts w:ascii="Times New Roman" w:hAnsi="Times New Roman"/>
                <w:b/>
                <w:i w:val="0"/>
                <w:sz w:val="20"/>
              </w:rPr>
              <w:t>Symbol</w:t>
            </w:r>
          </w:p>
        </w:tc>
        <w:tc>
          <w:tcPr>
            <w:tcW w:w="1650" w:type="dxa"/>
            <w:shd w:val="clear" w:color="auto" w:fill="D9D9D9"/>
            <w:tcMar>
              <w:top w:w="40" w:type="dxa"/>
              <w:left w:w="90" w:type="dxa"/>
              <w:bottom w:w="40" w:type="dxa"/>
              <w:right w:w="90" w:type="dxa"/>
            </w:tcMar>
            <w:vAlign w:val="center"/>
          </w:tcPr>
          <w:p w14:paraId="20BDCF42">
            <w:pPr>
              <w:spacing w:after="0"/>
              <w:jc w:val="left"/>
            </w:pPr>
            <w:r>
              <w:rPr>
                <w:rFonts w:ascii="Times New Roman" w:hAnsi="Times New Roman"/>
                <w:b/>
                <w:i w:val="0"/>
                <w:sz w:val="20"/>
              </w:rPr>
              <w:t>Domain</w:t>
            </w:r>
          </w:p>
        </w:tc>
        <w:tc>
          <w:tcPr>
            <w:tcW w:w="6210" w:type="dxa"/>
            <w:shd w:val="clear" w:color="auto" w:fill="D9D9D9"/>
            <w:tcMar>
              <w:top w:w="40" w:type="dxa"/>
              <w:left w:w="90" w:type="dxa"/>
              <w:bottom w:w="40" w:type="dxa"/>
              <w:right w:w="90" w:type="dxa"/>
            </w:tcMar>
            <w:vAlign w:val="center"/>
          </w:tcPr>
          <w:p w14:paraId="3C692092">
            <w:pPr>
              <w:spacing w:after="0"/>
              <w:jc w:val="left"/>
            </w:pPr>
            <w:r>
              <w:rPr>
                <w:rFonts w:ascii="Times New Roman" w:hAnsi="Times New Roman"/>
                <w:b/>
                <w:i w:val="0"/>
                <w:sz w:val="20"/>
              </w:rPr>
              <w:t>Meaning</w:t>
            </w:r>
          </w:p>
        </w:tc>
      </w:tr>
      <w:tr w14:paraId="7016E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00" w:type="dxa"/>
            <w:tcMar>
              <w:top w:w="40" w:type="dxa"/>
              <w:left w:w="90" w:type="dxa"/>
              <w:bottom w:w="40" w:type="dxa"/>
              <w:right w:w="90" w:type="dxa"/>
            </w:tcMar>
          </w:tcPr>
          <w:p w14:paraId="4F3BBF78">
            <w:pPr>
              <w:spacing w:after="0"/>
              <w:jc w:val="left"/>
            </w:pPr>
            <w:r>
              <w:rPr>
                <w:rFonts w:ascii="Times New Roman" w:hAnsi="Times New Roman"/>
                <w:b/>
                <w:i/>
                <w:sz w:val="19"/>
              </w:rPr>
              <w:t>X</w:t>
            </w:r>
          </w:p>
        </w:tc>
        <w:tc>
          <w:tcPr>
            <w:tcW w:w="1650" w:type="dxa"/>
            <w:tcMar>
              <w:top w:w="40" w:type="dxa"/>
              <w:left w:w="90" w:type="dxa"/>
              <w:bottom w:w="40" w:type="dxa"/>
              <w:right w:w="90" w:type="dxa"/>
            </w:tcMar>
          </w:tcPr>
          <w:p w14:paraId="5412CD13">
            <w:pPr>
              <w:spacing w:after="0"/>
              <w:jc w:val="left"/>
            </w:pPr>
            <w:r>
              <w:rPr>
                <w:rFonts w:ascii="Times New Roman" w:hAnsi="Times New Roman"/>
                <w:b w:val="0"/>
                <w:i w:val="0"/>
                <w:sz w:val="19"/>
              </w:rPr>
              <w:t>ℝ</w:t>
            </w:r>
            <w:r>
              <w:rPr>
                <w:rFonts w:ascii="Times New Roman" w:hAnsi="Times New Roman"/>
                <w:b w:val="0"/>
                <w:i w:val="0"/>
                <w:sz w:val="19"/>
                <w:vertAlign w:val="superscript"/>
              </w:rPr>
              <w:t>N×T×F</w:t>
            </w:r>
          </w:p>
        </w:tc>
        <w:tc>
          <w:tcPr>
            <w:tcW w:w="6210" w:type="dxa"/>
            <w:tcMar>
              <w:top w:w="40" w:type="dxa"/>
              <w:left w:w="90" w:type="dxa"/>
              <w:bottom w:w="40" w:type="dxa"/>
              <w:right w:w="90" w:type="dxa"/>
            </w:tcMar>
          </w:tcPr>
          <w:p w14:paraId="59A3E7B9">
            <w:pPr>
              <w:spacing w:after="0"/>
              <w:jc w:val="left"/>
            </w:pPr>
            <w:r>
              <w:rPr>
                <w:rFonts w:ascii="Times New Roman" w:hAnsi="Times New Roman"/>
                <w:b w:val="0"/>
                <w:i w:val="0"/>
                <w:sz w:val="19"/>
              </w:rPr>
              <w:t>Feature tensor: N spatial units × T time steps × F channels; channel 0 is normalised incidence.</w:t>
            </w:r>
          </w:p>
        </w:tc>
      </w:tr>
      <w:tr w14:paraId="7DBBE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00" w:type="dxa"/>
            <w:tcMar>
              <w:top w:w="40" w:type="dxa"/>
              <w:left w:w="90" w:type="dxa"/>
              <w:bottom w:w="40" w:type="dxa"/>
              <w:right w:w="90" w:type="dxa"/>
            </w:tcMar>
          </w:tcPr>
          <w:p w14:paraId="3C65E727">
            <w:pPr>
              <w:spacing w:after="0"/>
              <w:jc w:val="left"/>
            </w:pPr>
            <w:r>
              <w:rPr>
                <w:rFonts w:ascii="Times New Roman" w:hAnsi="Times New Roman"/>
                <w:b/>
                <w:i/>
                <w:sz w:val="19"/>
              </w:rPr>
              <w:t>A</w:t>
            </w:r>
            <w:r>
              <w:rPr>
                <w:rFonts w:ascii="Times New Roman" w:hAnsi="Times New Roman"/>
                <w:b/>
                <w:i w:val="0"/>
                <w:sz w:val="19"/>
                <w:vertAlign w:val="subscript"/>
              </w:rPr>
              <w:t>geo</w:t>
            </w:r>
          </w:p>
        </w:tc>
        <w:tc>
          <w:tcPr>
            <w:tcW w:w="1650" w:type="dxa"/>
            <w:tcMar>
              <w:top w:w="40" w:type="dxa"/>
              <w:left w:w="90" w:type="dxa"/>
              <w:bottom w:w="40" w:type="dxa"/>
              <w:right w:w="90" w:type="dxa"/>
            </w:tcMar>
          </w:tcPr>
          <w:p w14:paraId="21B8F065">
            <w:pPr>
              <w:spacing w:after="0"/>
              <w:jc w:val="left"/>
            </w:pPr>
            <w:r>
              <w:rPr>
                <w:rFonts w:ascii="Times New Roman" w:hAnsi="Times New Roman"/>
                <w:b w:val="0"/>
                <w:i w:val="0"/>
                <w:sz w:val="19"/>
              </w:rPr>
              <w:t>ℝ</w:t>
            </w:r>
            <w:r>
              <w:rPr>
                <w:rFonts w:ascii="Times New Roman" w:hAnsi="Times New Roman"/>
                <w:b w:val="0"/>
                <w:i w:val="0"/>
                <w:sz w:val="19"/>
                <w:vertAlign w:val="superscript"/>
              </w:rPr>
              <w:t>N×N</w:t>
            </w:r>
          </w:p>
        </w:tc>
        <w:tc>
          <w:tcPr>
            <w:tcW w:w="6210" w:type="dxa"/>
            <w:tcMar>
              <w:top w:w="40" w:type="dxa"/>
              <w:left w:w="90" w:type="dxa"/>
              <w:bottom w:w="40" w:type="dxa"/>
              <w:right w:w="90" w:type="dxa"/>
            </w:tcMar>
          </w:tcPr>
          <w:p w14:paraId="1E137B98">
            <w:pPr>
              <w:spacing w:after="0"/>
              <w:jc w:val="left"/>
            </w:pPr>
            <w:r>
              <w:rPr>
                <w:rFonts w:ascii="Times New Roman" w:hAnsi="Times New Roman"/>
                <w:b w:val="0"/>
                <w:i w:val="0"/>
                <w:sz w:val="19"/>
              </w:rPr>
              <w:t>Geographic adjacency (queen contiguity; block-diagonal across countries for dengue).</w:t>
            </w:r>
          </w:p>
        </w:tc>
      </w:tr>
      <w:tr w14:paraId="35E17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00" w:type="dxa"/>
            <w:tcMar>
              <w:top w:w="40" w:type="dxa"/>
              <w:left w:w="90" w:type="dxa"/>
              <w:bottom w:w="40" w:type="dxa"/>
              <w:right w:w="90" w:type="dxa"/>
            </w:tcMar>
          </w:tcPr>
          <w:p w14:paraId="42945C06">
            <w:pPr>
              <w:spacing w:after="0"/>
              <w:jc w:val="left"/>
            </w:pPr>
            <w:r>
              <w:rPr>
                <w:rFonts w:ascii="Times New Roman" w:hAnsi="Times New Roman"/>
                <w:b/>
                <w:i/>
                <w:sz w:val="19"/>
              </w:rPr>
              <w:t>A</w:t>
            </w:r>
            <w:r>
              <w:rPr>
                <w:rFonts w:ascii="Times New Roman" w:hAnsi="Times New Roman"/>
                <w:b/>
                <w:i w:val="0"/>
                <w:sz w:val="19"/>
                <w:vertAlign w:val="subscript"/>
              </w:rPr>
              <w:t>mob</w:t>
            </w:r>
          </w:p>
        </w:tc>
        <w:tc>
          <w:tcPr>
            <w:tcW w:w="1650" w:type="dxa"/>
            <w:tcMar>
              <w:top w:w="40" w:type="dxa"/>
              <w:left w:w="90" w:type="dxa"/>
              <w:bottom w:w="40" w:type="dxa"/>
              <w:right w:w="90" w:type="dxa"/>
            </w:tcMar>
          </w:tcPr>
          <w:p w14:paraId="179481DD">
            <w:pPr>
              <w:spacing w:after="0"/>
              <w:jc w:val="left"/>
            </w:pPr>
            <w:r>
              <w:rPr>
                <w:rFonts w:ascii="Times New Roman" w:hAnsi="Times New Roman"/>
                <w:b w:val="0"/>
                <w:i w:val="0"/>
                <w:sz w:val="19"/>
              </w:rPr>
              <w:t>ℝ</w:t>
            </w:r>
            <w:r>
              <w:rPr>
                <w:rFonts w:ascii="Times New Roman" w:hAnsi="Times New Roman"/>
                <w:b w:val="0"/>
                <w:i w:val="0"/>
                <w:sz w:val="19"/>
                <w:vertAlign w:val="superscript"/>
              </w:rPr>
              <w:t>N×N</w:t>
            </w:r>
          </w:p>
        </w:tc>
        <w:tc>
          <w:tcPr>
            <w:tcW w:w="6210" w:type="dxa"/>
            <w:tcMar>
              <w:top w:w="40" w:type="dxa"/>
              <w:left w:w="90" w:type="dxa"/>
              <w:bottom w:w="40" w:type="dxa"/>
              <w:right w:w="90" w:type="dxa"/>
            </w:tcMar>
          </w:tcPr>
          <w:p w14:paraId="453A7272">
            <w:pPr>
              <w:spacing w:after="0"/>
              <w:jc w:val="left"/>
            </w:pPr>
            <w:r>
              <w:rPr>
                <w:rFonts w:ascii="Times New Roman" w:hAnsi="Times New Roman"/>
                <w:b w:val="0"/>
                <w:i w:val="0"/>
                <w:sz w:val="19"/>
              </w:rPr>
              <w:t>Optional mobility / origin–destination adjacency, where available.</w:t>
            </w:r>
          </w:p>
        </w:tc>
      </w:tr>
      <w:tr w14:paraId="00234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00" w:type="dxa"/>
            <w:tcMar>
              <w:top w:w="40" w:type="dxa"/>
              <w:left w:w="90" w:type="dxa"/>
              <w:bottom w:w="40" w:type="dxa"/>
              <w:right w:w="90" w:type="dxa"/>
            </w:tcMar>
          </w:tcPr>
          <w:p w14:paraId="55FABAC1">
            <w:pPr>
              <w:spacing w:after="0"/>
              <w:jc w:val="left"/>
            </w:pPr>
            <w:r>
              <w:rPr>
                <w:rFonts w:ascii="Times New Roman" w:hAnsi="Times New Roman"/>
                <w:b/>
                <w:i/>
                <w:sz w:val="19"/>
              </w:rPr>
              <w:t>C</w:t>
            </w:r>
          </w:p>
        </w:tc>
        <w:tc>
          <w:tcPr>
            <w:tcW w:w="1650" w:type="dxa"/>
            <w:tcMar>
              <w:top w:w="40" w:type="dxa"/>
              <w:left w:w="90" w:type="dxa"/>
              <w:bottom w:w="40" w:type="dxa"/>
              <w:right w:w="90" w:type="dxa"/>
            </w:tcMar>
          </w:tcPr>
          <w:p w14:paraId="71380378">
            <w:pPr>
              <w:spacing w:after="0"/>
              <w:jc w:val="left"/>
            </w:pPr>
            <w:r>
              <w:rPr>
                <w:rFonts w:ascii="Times New Roman" w:hAnsi="Times New Roman"/>
                <w:b w:val="0"/>
                <w:i w:val="0"/>
                <w:sz w:val="19"/>
              </w:rPr>
              <w:t>ℝ</w:t>
            </w:r>
            <w:r>
              <w:rPr>
                <w:rFonts w:ascii="Times New Roman" w:hAnsi="Times New Roman"/>
                <w:b w:val="0"/>
                <w:i w:val="0"/>
                <w:sz w:val="19"/>
                <w:vertAlign w:val="superscript"/>
              </w:rPr>
              <w:t>N×S</w:t>
            </w:r>
          </w:p>
        </w:tc>
        <w:tc>
          <w:tcPr>
            <w:tcW w:w="6210" w:type="dxa"/>
            <w:tcMar>
              <w:top w:w="40" w:type="dxa"/>
              <w:left w:w="90" w:type="dxa"/>
              <w:bottom w:w="40" w:type="dxa"/>
              <w:right w:w="90" w:type="dxa"/>
            </w:tcMar>
          </w:tcPr>
          <w:p w14:paraId="4246FCC7">
            <w:pPr>
              <w:spacing w:after="0"/>
              <w:jc w:val="left"/>
            </w:pPr>
            <w:r>
              <w:rPr>
                <w:rFonts w:ascii="Times New Roman" w:hAnsi="Times New Roman"/>
                <w:b w:val="0"/>
                <w:i w:val="0"/>
                <w:sz w:val="19"/>
              </w:rPr>
              <w:t>Static node covariates (e.g. centroid, area); reserved for later population / climate joins.</w:t>
            </w:r>
          </w:p>
        </w:tc>
      </w:tr>
      <w:tr w14:paraId="40663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00" w:type="dxa"/>
            <w:tcMar>
              <w:top w:w="40" w:type="dxa"/>
              <w:left w:w="90" w:type="dxa"/>
              <w:bottom w:w="40" w:type="dxa"/>
              <w:right w:w="90" w:type="dxa"/>
            </w:tcMar>
          </w:tcPr>
          <w:p w14:paraId="189E48BD">
            <w:pPr>
              <w:spacing w:after="0"/>
              <w:jc w:val="left"/>
            </w:pPr>
            <w:r>
              <w:rPr>
                <w:rFonts w:ascii="Times New Roman" w:hAnsi="Times New Roman"/>
                <w:b/>
                <w:i/>
                <w:sz w:val="19"/>
              </w:rPr>
              <w:t>M</w:t>
            </w:r>
          </w:p>
        </w:tc>
        <w:tc>
          <w:tcPr>
            <w:tcW w:w="1650" w:type="dxa"/>
            <w:tcMar>
              <w:top w:w="40" w:type="dxa"/>
              <w:left w:w="90" w:type="dxa"/>
              <w:bottom w:w="40" w:type="dxa"/>
              <w:right w:w="90" w:type="dxa"/>
            </w:tcMar>
          </w:tcPr>
          <w:p w14:paraId="21D725D9">
            <w:pPr>
              <w:spacing w:after="0"/>
              <w:jc w:val="left"/>
            </w:pPr>
            <w:r>
              <w:rPr>
                <w:rFonts w:ascii="Times New Roman" w:hAnsi="Times New Roman"/>
                <w:b w:val="0"/>
                <w:i w:val="0"/>
                <w:sz w:val="19"/>
              </w:rPr>
              <w:t>{0,1}</w:t>
            </w:r>
            <w:r>
              <w:rPr>
                <w:rFonts w:ascii="Times New Roman" w:hAnsi="Times New Roman"/>
                <w:b w:val="0"/>
                <w:i w:val="0"/>
                <w:sz w:val="19"/>
                <w:vertAlign w:val="superscript"/>
              </w:rPr>
              <w:t>N×T</w:t>
            </w:r>
          </w:p>
        </w:tc>
        <w:tc>
          <w:tcPr>
            <w:tcW w:w="6210" w:type="dxa"/>
            <w:tcMar>
              <w:top w:w="40" w:type="dxa"/>
              <w:left w:w="90" w:type="dxa"/>
              <w:bottom w:w="40" w:type="dxa"/>
              <w:right w:w="90" w:type="dxa"/>
            </w:tcMar>
          </w:tcPr>
          <w:p w14:paraId="076F3924">
            <w:pPr>
              <w:spacing w:after="0"/>
              <w:jc w:val="left"/>
            </w:pPr>
            <w:r>
              <w:rPr>
                <w:rFonts w:ascii="Times New Roman" w:hAnsi="Times New Roman"/>
                <w:b w:val="0"/>
                <w:i w:val="0"/>
                <w:sz w:val="19"/>
              </w:rPr>
              <w:t>Observation mask: 1 where a value was reported, 0 where imputed.</w:t>
            </w:r>
          </w:p>
        </w:tc>
      </w:tr>
      <w:tr w14:paraId="09E6C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00" w:type="dxa"/>
            <w:tcMar>
              <w:top w:w="40" w:type="dxa"/>
              <w:left w:w="90" w:type="dxa"/>
              <w:bottom w:w="40" w:type="dxa"/>
              <w:right w:w="90" w:type="dxa"/>
            </w:tcMar>
          </w:tcPr>
          <w:p w14:paraId="556DBBC0">
            <w:pPr>
              <w:spacing w:after="0"/>
              <w:jc w:val="left"/>
            </w:pPr>
            <w:r>
              <w:rPr>
                <w:rFonts w:ascii="Times New Roman" w:hAnsi="Times New Roman"/>
                <w:b/>
                <w:i/>
                <w:sz w:val="19"/>
              </w:rPr>
              <w:t>y</w:t>
            </w:r>
          </w:p>
        </w:tc>
        <w:tc>
          <w:tcPr>
            <w:tcW w:w="1650" w:type="dxa"/>
            <w:tcMar>
              <w:top w:w="40" w:type="dxa"/>
              <w:left w:w="90" w:type="dxa"/>
              <w:bottom w:w="40" w:type="dxa"/>
              <w:right w:w="90" w:type="dxa"/>
            </w:tcMar>
          </w:tcPr>
          <w:p w14:paraId="1B71A3F0">
            <w:pPr>
              <w:spacing w:after="0"/>
              <w:jc w:val="left"/>
            </w:pPr>
            <w:r>
              <w:rPr>
                <w:rFonts w:ascii="Times New Roman" w:hAnsi="Times New Roman"/>
                <w:b w:val="0"/>
                <w:i w:val="0"/>
                <w:sz w:val="19"/>
              </w:rPr>
              <w:t>ℝ</w:t>
            </w:r>
            <w:r>
              <w:rPr>
                <w:rFonts w:ascii="Times New Roman" w:hAnsi="Times New Roman"/>
                <w:b w:val="0"/>
                <w:i w:val="0"/>
                <w:sz w:val="19"/>
                <w:vertAlign w:val="superscript"/>
              </w:rPr>
              <w:t>N×T</w:t>
            </w:r>
          </w:p>
        </w:tc>
        <w:tc>
          <w:tcPr>
            <w:tcW w:w="6210" w:type="dxa"/>
            <w:tcMar>
              <w:top w:w="40" w:type="dxa"/>
              <w:left w:w="90" w:type="dxa"/>
              <w:bottom w:w="40" w:type="dxa"/>
              <w:right w:w="90" w:type="dxa"/>
            </w:tcMar>
          </w:tcPr>
          <w:p w14:paraId="07518C9A">
            <w:pPr>
              <w:spacing w:after="0"/>
              <w:jc w:val="left"/>
            </w:pPr>
            <w:r>
              <w:rPr>
                <w:rFonts w:ascii="Times New Roman" w:hAnsi="Times New Roman"/>
                <w:b w:val="0"/>
                <w:i w:val="0"/>
                <w:sz w:val="19"/>
              </w:rPr>
              <w:t>Target incidence series (in normalised space; invertible to counts).</w:t>
            </w:r>
          </w:p>
        </w:tc>
      </w:tr>
    </w:tbl>
    <w:p w14:paraId="73F16932">
      <w:pPr>
        <w:spacing w:before="60" w:after="160"/>
        <w:jc w:val="left"/>
      </w:pPr>
      <w:r>
        <w:rPr>
          <w:rFonts w:ascii="Times New Roman" w:hAnsi="Times New Roman"/>
          <w:b/>
          <w:i w:val="0"/>
          <w:sz w:val="19"/>
        </w:rPr>
        <w:t xml:space="preserve">Table 2. </w:t>
      </w:r>
      <w:r>
        <w:rPr>
          <w:rFonts w:ascii="Times New Roman" w:hAnsi="Times New Roman"/>
          <w:b w:val="0"/>
          <w:i/>
          <w:sz w:val="19"/>
        </w:rPr>
        <w:t>Components of the per-disease input bundle. Shapes are given per disease; N, T, and F vary between diseases.</w:t>
      </w:r>
    </w:p>
    <w:p w14:paraId="4F58FD32">
      <w:pPr>
        <w:keepNext/>
        <w:spacing w:before="80" w:after="80"/>
      </w:pPr>
      <w:r>
        <w:rPr>
          <w:rFonts w:ascii="Times New Roman" w:hAnsi="Times New Roman"/>
          <w:b/>
          <w:i w:val="0"/>
          <w:sz w:val="23"/>
        </w:rPr>
        <w:t>5.1 Prediction task</w:t>
      </w:r>
    </w:p>
    <w:p w14:paraId="438CD8B2">
      <w:pPr>
        <w:jc w:val="both"/>
      </w:pPr>
      <w:r>
        <w:rPr>
          <w:rFonts w:ascii="Times New Roman" w:hAnsi="Times New Roman"/>
          <w:b w:val="0"/>
          <w:i w:val="0"/>
          <w:sz w:val="22"/>
        </w:rPr>
        <w:t xml:space="preserve">Given a lookback window of </w:t>
      </w:r>
      <w:r>
        <w:rPr>
          <w:rFonts w:ascii="Times New Roman" w:hAnsi="Times New Roman"/>
          <w:b w:val="0"/>
          <w:i/>
          <w:sz w:val="22"/>
        </w:rPr>
        <w:t>w</w:t>
      </w:r>
      <w:r>
        <w:rPr>
          <w:rFonts w:ascii="Times New Roman" w:hAnsi="Times New Roman"/>
          <w:b w:val="0"/>
          <w:i w:val="0"/>
          <w:sz w:val="22"/>
        </w:rPr>
        <w:t xml:space="preserve"> past weeks, the model predicts incidence </w:t>
      </w:r>
      <w:r>
        <w:rPr>
          <w:rFonts w:ascii="Times New Roman" w:hAnsi="Times New Roman"/>
          <w:b w:val="0"/>
          <w:i/>
          <w:sz w:val="22"/>
        </w:rPr>
        <w:t>h</w:t>
      </w:r>
      <w:r>
        <w:rPr>
          <w:rFonts w:ascii="Times New Roman" w:hAnsi="Times New Roman"/>
          <w:b w:val="0"/>
          <w:i w:val="0"/>
          <w:sz w:val="22"/>
        </w:rPr>
        <w:t xml:space="preserve"> steps ahead at every node simultaneously,</w:t>
      </w:r>
    </w:p>
    <w:p w14:paraId="6D5E67CE">
      <w:pPr>
        <w:spacing w:before="60" w:after="150"/>
        <w:jc w:val="center"/>
      </w:pPr>
      <w:r>
        <w:rPr>
          <w:rFonts w:ascii="Times New Roman" w:hAnsi="Times New Roman"/>
          <w:b w:val="0"/>
          <w:i w:val="0"/>
          <w:sz w:val="22"/>
        </w:rPr>
        <w:t>ŷ</w:t>
      </w:r>
      <w:r>
        <w:rPr>
          <w:rFonts w:ascii="Times New Roman" w:hAnsi="Times New Roman"/>
          <w:b/>
          <w:i w:val="0"/>
          <w:sz w:val="22"/>
          <w:vertAlign w:val="subscript"/>
        </w:rPr>
        <w:t>i, t+h</w:t>
      </w:r>
      <w:r>
        <w:rPr>
          <w:rFonts w:ascii="Times New Roman" w:hAnsi="Times New Roman"/>
          <w:b w:val="0"/>
          <w:i w:val="0"/>
          <w:sz w:val="22"/>
        </w:rPr>
        <w:t xml:space="preserve"> = f</w:t>
      </w:r>
      <w:r>
        <w:rPr>
          <w:rFonts w:ascii="Times New Roman" w:hAnsi="Times New Roman"/>
          <w:b/>
          <w:i w:val="0"/>
          <w:sz w:val="22"/>
          <w:vertAlign w:val="subscript"/>
        </w:rPr>
        <w:t>θ</w:t>
      </w:r>
      <w:r>
        <w:rPr>
          <w:rFonts w:ascii="Times New Roman" w:hAnsi="Times New Roman"/>
          <w:b w:val="0"/>
          <w:i w:val="0"/>
          <w:sz w:val="22"/>
        </w:rPr>
        <w:t xml:space="preserve"> ( X</w:t>
      </w:r>
      <w:r>
        <w:rPr>
          <w:rFonts w:ascii="Times New Roman" w:hAnsi="Times New Roman"/>
          <w:b/>
          <w:i w:val="0"/>
          <w:sz w:val="22"/>
          <w:vertAlign w:val="subscript"/>
        </w:rPr>
        <w:t>i, t−w+1: t</w:t>
      </w:r>
      <w:r>
        <w:rPr>
          <w:rFonts w:ascii="Times New Roman" w:hAnsi="Times New Roman"/>
          <w:b w:val="0"/>
          <w:i w:val="0"/>
          <w:sz w:val="22"/>
        </w:rPr>
        <w:t>, A, C ) for all i = 1 … N,</w:t>
      </w:r>
      <w:r>
        <w:rPr>
          <w:rFonts w:ascii="Times New Roman" w:hAnsi="Times New Roman"/>
          <w:sz w:val="22"/>
        </w:rPr>
        <w:t>  (1)</w:t>
      </w:r>
    </w:p>
    <w:p w14:paraId="42E7A174">
      <w:pPr>
        <w:jc w:val="both"/>
      </w:pPr>
      <w:r>
        <w:rPr>
          <w:rFonts w:ascii="Times New Roman" w:hAnsi="Times New Roman"/>
          <w:b w:val="0"/>
          <w:i w:val="0"/>
          <w:sz w:val="22"/>
        </w:rPr>
        <w:t xml:space="preserve">with forecast horizons </w:t>
      </w:r>
      <w:r>
        <w:rPr>
          <w:rFonts w:ascii="Times New Roman" w:hAnsi="Times New Roman"/>
          <w:b w:val="0"/>
          <w:i/>
          <w:sz w:val="22"/>
        </w:rPr>
        <w:t>h</w:t>
      </w:r>
      <w:r>
        <w:rPr>
          <w:rFonts w:ascii="Times New Roman" w:hAnsi="Times New Roman"/>
          <w:b w:val="0"/>
          <w:i w:val="0"/>
          <w:sz w:val="22"/>
        </w:rPr>
        <w:t xml:space="preserve"> ∈ {3, 5, 10, 15} weeks reported separately — the EpiGNN and Cola-GNN published convention, adopted so that our results sit directly beside the baselines' reported tables — and a default lookback of </w:t>
      </w:r>
      <w:r>
        <w:rPr>
          <w:rFonts w:ascii="Times New Roman" w:hAnsi="Times New Roman"/>
          <w:b w:val="0"/>
          <w:i/>
          <w:sz w:val="22"/>
        </w:rPr>
        <w:t>w</w:t>
      </w:r>
      <w:r>
        <w:rPr>
          <w:rFonts w:ascii="Times New Roman" w:hAnsi="Times New Roman"/>
          <w:b w:val="0"/>
          <w:i w:val="0"/>
          <w:sz w:val="22"/>
        </w:rPr>
        <w:t xml:space="preserve"> = 20 weeks, exposed as a hyperparameter and reported per disease. Forecasts are produced on raw case counts: incidence is not converted to a per-100,000 rate, because the assembled datasets do not carry consistent population denominators. Any internal normalisation applied for training uses a train-split-only scaler and is inverted back to counts before evaluation, so all reported metrics are expressed in real case units. Predictions are compared with observations only at steps for which the mask is set, so that imputed values never enter the evaluation.</w:t>
      </w:r>
    </w:p>
    <w:p w14:paraId="15D4D4DD">
      <w:pPr>
        <w:keepNext/>
        <w:spacing w:before="80" w:after="80"/>
      </w:pPr>
      <w:r>
        <w:rPr>
          <w:rFonts w:ascii="Times New Roman" w:hAnsi="Times New Roman"/>
          <w:b/>
          <w:i w:val="0"/>
          <w:sz w:val="23"/>
        </w:rPr>
        <w:t>5.2 Formulation decisions and transfer settings</w:t>
      </w:r>
    </w:p>
    <w:p w14:paraId="1DBB1AFD">
      <w:pPr>
        <w:jc w:val="both"/>
      </w:pPr>
      <w:r>
        <w:rPr>
          <w:rFonts w:ascii="Times New Roman" w:hAnsi="Times New Roman"/>
          <w:b w:val="0"/>
          <w:i w:val="0"/>
          <w:sz w:val="22"/>
        </w:rPr>
        <w:t>Four decisions fix the shape of the task. The estimator is a single shared encoder with disease-invariant parameters plus light per-disease adaptation; this shared-parameter formulation, rather than a set of independently trained per-disease models, is what underwrites the cross-disease transfer claim. The multi-horizon strategy is direct — a separate output head predicts each horizon with no recursive feedback — which avoids the compounding error of autoregressive rollout. The temporal resolution is weekly and uniform across all diseases, and the spatial scope is joint all-node forecasting, with the administrative level following each source. Two evaluation settings then exercise the generalisation the representation is meant to support. In the leave-one-disease-out setting the model is trained on all but one development disease and evaluated on the held-out one, measuring transfer across diseases with abundant data; it is reported both zero-shot and few-shot. In the few-shot setting the model, having been trained on the development diseases, is adapted to Ebola using only its two-week support set per district and evaluated on the remainder, measuring generalisation to a genuinely data-scarce emerging pathogen. Both settings are made possible by the fact that every disease presents the same interface.</w:t>
      </w:r>
    </w:p>
    <w:p w14:paraId="0F762AC5">
      <w:pPr>
        <w:keepNext/>
        <w:spacing w:before="120" w:after="130"/>
      </w:pPr>
      <w:r>
        <w:rPr>
          <w:rFonts w:ascii="Times New Roman" w:hAnsi="Times New Roman"/>
          <w:b/>
          <w:i w:val="0"/>
          <w:sz w:val="26"/>
        </w:rPr>
        <w:t>6 Standardised Input Representation</w:t>
      </w:r>
    </w:p>
    <w:p w14:paraId="22944C44">
      <w:pPr>
        <w:jc w:val="both"/>
      </w:pPr>
      <w:r>
        <w:rPr>
          <w:rFonts w:ascii="Times New Roman" w:hAnsi="Times New Roman"/>
          <w:b w:val="0"/>
          <w:i w:val="0"/>
          <w:sz w:val="22"/>
        </w:rPr>
        <w:t>The framework treats spatio-temporal forecasting as a problem defined over a common interface rather than over a particular disease, and it places the entire harmonisation burden at the data layer: every disease is mapped onto the disease-agnostic bundle of Section 5 before it reaches the network, so that the architecture itself contains nothing specific to any one disease. This is a deliberate departure from recent state-of-the-art epidemic graph networks, which couple their input encoding to the surveillance stream for which they were designed and leave cross-disease transfer as future work. This section describes how the bundle is constructed; a fuller treatment of the loaders and metadata exists in the accompanying schema specification.</w:t>
      </w:r>
    </w:p>
    <w:p w14:paraId="6C3D5999">
      <w:pPr>
        <w:keepNext/>
        <w:spacing w:before="80" w:after="80"/>
      </w:pPr>
      <w:r>
        <w:rPr>
          <w:rFonts w:ascii="Times New Roman" w:hAnsi="Times New Roman"/>
          <w:b/>
          <w:i w:val="0"/>
          <w:sz w:val="23"/>
        </w:rPr>
        <w:t>6.1 Feature construction</w:t>
      </w:r>
    </w:p>
    <w:p w14:paraId="29C568A7">
      <w:pPr>
        <w:jc w:val="both"/>
      </w:pPr>
      <w:r>
        <w:rPr>
          <w:rFonts w:ascii="Times New Roman" w:hAnsi="Times New Roman"/>
          <w:b w:val="0"/>
          <w:i w:val="0"/>
          <w:sz w:val="22"/>
        </w:rPr>
        <w:t xml:space="preserve">The feature channels are partitioned into a core block, common to every disease, and an optional extended block that is disease-specific; only the core block is presented to the shared cross-disease encoder. The core comprises four channels — the normalised incidence that constitutes the forecasting signal, two calendar-derived seasonality channels, and a binary observation indicator — each of which every disease genuinely possesses. The extended block holds quantities that exist for some diseases but not others, such as reported deaths or climatic covariates, and is used only when a single disease is modelled in isolation. This partition is not merely organisational: were a channel present for one disease and absent for another supplied to the shared encoder, the encoder could exploit the pattern of missing channels to infer which disease it was observing, quietly reintroducing the disease-specificity we set out to remove. Case counts are strongly right-skewed and span several orders of magnitude, so for unit </w:t>
      </w:r>
      <w:r>
        <w:rPr>
          <w:rFonts w:ascii="Times New Roman" w:hAnsi="Times New Roman"/>
          <w:b w:val="0"/>
          <w:i/>
          <w:sz w:val="22"/>
        </w:rPr>
        <w:t>i</w:t>
      </w:r>
      <w:r>
        <w:rPr>
          <w:rFonts w:ascii="Times New Roman" w:hAnsi="Times New Roman"/>
          <w:b w:val="0"/>
          <w:i w:val="0"/>
          <w:sz w:val="22"/>
        </w:rPr>
        <w:t xml:space="preserve"> at time </w:t>
      </w:r>
      <w:r>
        <w:rPr>
          <w:rFonts w:ascii="Times New Roman" w:hAnsi="Times New Roman"/>
          <w:b w:val="0"/>
          <w:i/>
          <w:sz w:val="22"/>
        </w:rPr>
        <w:t>t</w:t>
      </w:r>
      <w:r>
        <w:rPr>
          <w:rFonts w:ascii="Times New Roman" w:hAnsi="Times New Roman"/>
          <w:b w:val="0"/>
          <w:i w:val="0"/>
          <w:sz w:val="22"/>
        </w:rPr>
        <w:t xml:space="preserve"> with reported count </w:t>
      </w:r>
      <w:r>
        <w:rPr>
          <w:rFonts w:ascii="Times New Roman" w:hAnsi="Times New Roman"/>
          <w:b w:val="0"/>
          <w:i/>
          <w:sz w:val="22"/>
        </w:rPr>
        <w:t>c</w:t>
      </w:r>
      <w:r>
        <w:rPr>
          <w:rFonts w:ascii="Times New Roman" w:hAnsi="Times New Roman"/>
          <w:b/>
          <w:i w:val="0"/>
          <w:sz w:val="22"/>
          <w:vertAlign w:val="subscript"/>
        </w:rPr>
        <w:t>i,t</w:t>
      </w:r>
      <w:r>
        <w:rPr>
          <w:rFonts w:ascii="Times New Roman" w:hAnsi="Times New Roman"/>
          <w:b w:val="0"/>
          <w:i w:val="0"/>
          <w:sz w:val="22"/>
        </w:rPr>
        <w:t xml:space="preserve"> we apply a logarithmic stabilisation followed by standardisation,</w:t>
      </w:r>
    </w:p>
    <w:p w14:paraId="042F1BFD">
      <w:pPr>
        <w:spacing w:before="60" w:after="150"/>
        <w:jc w:val="center"/>
      </w:pPr>
      <w:r>
        <w:rPr>
          <w:rFonts w:ascii="Times New Roman" w:hAnsi="Times New Roman"/>
          <w:b w:val="0"/>
          <w:i w:val="0"/>
          <w:sz w:val="22"/>
        </w:rPr>
        <w:t>x</w:t>
      </w:r>
      <w:r>
        <w:rPr>
          <w:rFonts w:ascii="Times New Roman" w:hAnsi="Times New Roman"/>
          <w:b/>
          <w:i w:val="0"/>
          <w:sz w:val="22"/>
          <w:vertAlign w:val="subscript"/>
        </w:rPr>
        <w:t>i,t,0</w:t>
      </w:r>
      <w:r>
        <w:rPr>
          <w:rFonts w:ascii="Times New Roman" w:hAnsi="Times New Roman"/>
          <w:b w:val="0"/>
          <w:i w:val="0"/>
          <w:sz w:val="22"/>
        </w:rPr>
        <w:t xml:space="preserve"> = ( ln(1 + c</w:t>
      </w:r>
      <w:r>
        <w:rPr>
          <w:rFonts w:ascii="Times New Roman" w:hAnsi="Times New Roman"/>
          <w:b/>
          <w:i w:val="0"/>
          <w:sz w:val="22"/>
          <w:vertAlign w:val="subscript"/>
        </w:rPr>
        <w:t>i,t</w:t>
      </w:r>
      <w:r>
        <w:rPr>
          <w:rFonts w:ascii="Times New Roman" w:hAnsi="Times New Roman"/>
          <w:b w:val="0"/>
          <w:i w:val="0"/>
          <w:sz w:val="22"/>
        </w:rPr>
        <w:t>) − μ</w:t>
      </w:r>
      <w:r>
        <w:rPr>
          <w:rFonts w:ascii="Times New Roman" w:hAnsi="Times New Roman"/>
          <w:b/>
          <w:i w:val="0"/>
          <w:sz w:val="22"/>
          <w:vertAlign w:val="subscript"/>
        </w:rPr>
        <w:t>i</w:t>
      </w:r>
      <w:r>
        <w:rPr>
          <w:rFonts w:ascii="Times New Roman" w:hAnsi="Times New Roman"/>
          <w:b w:val="0"/>
          <w:i w:val="0"/>
          <w:sz w:val="22"/>
        </w:rPr>
        <w:t xml:space="preserve"> ) / σ</w:t>
      </w:r>
      <w:r>
        <w:rPr>
          <w:rFonts w:ascii="Times New Roman" w:hAnsi="Times New Roman"/>
          <w:b/>
          <w:i w:val="0"/>
          <w:sz w:val="22"/>
          <w:vertAlign w:val="subscript"/>
        </w:rPr>
        <w:t>i</w:t>
      </w:r>
      <w:r>
        <w:rPr>
          <w:rFonts w:ascii="Times New Roman" w:hAnsi="Times New Roman"/>
          <w:sz w:val="22"/>
        </w:rPr>
        <w:t>  (2)</w:t>
      </w:r>
    </w:p>
    <w:p w14:paraId="70834A19">
      <w:pPr>
        <w:jc w:val="both"/>
      </w:pPr>
      <w:r>
        <w:rPr>
          <w:rFonts w:ascii="Times New Roman" w:hAnsi="Times New Roman"/>
          <w:b w:val="0"/>
          <w:i w:val="0"/>
          <w:sz w:val="22"/>
        </w:rPr>
        <w:t>where the location and scale parameters μ</w:t>
      </w:r>
      <w:r>
        <w:rPr>
          <w:rFonts w:ascii="Times New Roman" w:hAnsi="Times New Roman"/>
          <w:b/>
          <w:i w:val="0"/>
          <w:sz w:val="22"/>
          <w:vertAlign w:val="subscript"/>
        </w:rPr>
        <w:t>i</w:t>
      </w:r>
      <w:r>
        <w:rPr>
          <w:rFonts w:ascii="Times New Roman" w:hAnsi="Times New Roman"/>
          <w:b w:val="0"/>
          <w:i w:val="0"/>
          <w:sz w:val="22"/>
        </w:rPr>
        <w:t xml:space="preserve"> and σ</w:t>
      </w:r>
      <w:r>
        <w:rPr>
          <w:rFonts w:ascii="Times New Roman" w:hAnsi="Times New Roman"/>
          <w:b/>
          <w:i w:val="0"/>
          <w:sz w:val="22"/>
          <w:vertAlign w:val="subscript"/>
        </w:rPr>
        <w:t>i</w:t>
      </w:r>
      <w:r>
        <w:rPr>
          <w:rFonts w:ascii="Times New Roman" w:hAnsi="Times New Roman"/>
          <w:b w:val="0"/>
          <w:i w:val="0"/>
          <w:sz w:val="22"/>
        </w:rPr>
        <w:t xml:space="preserve"> are estimated from the training portion of the series only (Section 6.4) and stored, so that predictions can be mapped back to interpretable counts; nodes with no training variation are assigned unit scale to avoid division by zero. Because epidemic activity is strongly seasonal, we encode the position of each observation within the year with a pair of sinusoidal features,</w:t>
      </w:r>
    </w:p>
    <w:p w14:paraId="6350197E">
      <w:pPr>
        <w:spacing w:before="60" w:after="150"/>
        <w:jc w:val="center"/>
      </w:pPr>
      <w:r>
        <w:rPr>
          <w:rFonts w:ascii="Times New Roman" w:hAnsi="Times New Roman"/>
          <w:b w:val="0"/>
          <w:i w:val="0"/>
          <w:sz w:val="22"/>
        </w:rPr>
        <w:t>[ sin(2π τ</w:t>
      </w:r>
      <w:r>
        <w:rPr>
          <w:rFonts w:ascii="Times New Roman" w:hAnsi="Times New Roman"/>
          <w:b/>
          <w:i w:val="0"/>
          <w:sz w:val="22"/>
          <w:vertAlign w:val="subscript"/>
        </w:rPr>
        <w:t>t</w:t>
      </w:r>
      <w:r>
        <w:rPr>
          <w:rFonts w:ascii="Times New Roman" w:hAnsi="Times New Roman"/>
          <w:b w:val="0"/>
          <w:i w:val="0"/>
          <w:sz w:val="22"/>
        </w:rPr>
        <w:t xml:space="preserve"> / 365.25), cos(2π τ</w:t>
      </w:r>
      <w:r>
        <w:rPr>
          <w:rFonts w:ascii="Times New Roman" w:hAnsi="Times New Roman"/>
          <w:b/>
          <w:i w:val="0"/>
          <w:sz w:val="22"/>
          <w:vertAlign w:val="subscript"/>
        </w:rPr>
        <w:t>t</w:t>
      </w:r>
      <w:r>
        <w:rPr>
          <w:rFonts w:ascii="Times New Roman" w:hAnsi="Times New Roman"/>
          <w:b w:val="0"/>
          <w:i w:val="0"/>
          <w:sz w:val="22"/>
        </w:rPr>
        <w:t xml:space="preserve"> / 365.25) ]</w:t>
      </w:r>
      <w:r>
        <w:rPr>
          <w:rFonts w:ascii="Times New Roman" w:hAnsi="Times New Roman"/>
          <w:sz w:val="22"/>
        </w:rPr>
        <w:t>  (3)</w:t>
      </w:r>
    </w:p>
    <w:p w14:paraId="5FD04AB9">
      <w:pPr>
        <w:jc w:val="both"/>
      </w:pPr>
      <w:r>
        <w:rPr>
          <w:rFonts w:ascii="Times New Roman" w:hAnsi="Times New Roman"/>
          <w:b w:val="0"/>
          <w:i w:val="0"/>
          <w:sz w:val="22"/>
        </w:rPr>
        <w:t>in which τ</w:t>
      </w:r>
      <w:r>
        <w:rPr>
          <w:rFonts w:ascii="Times New Roman" w:hAnsi="Times New Roman"/>
          <w:b/>
          <w:i w:val="0"/>
          <w:sz w:val="22"/>
          <w:vertAlign w:val="subscript"/>
        </w:rPr>
        <w:t>t</w:t>
      </w:r>
      <w:r>
        <w:rPr>
          <w:rFonts w:ascii="Times New Roman" w:hAnsi="Times New Roman"/>
          <w:b w:val="0"/>
          <w:i w:val="0"/>
          <w:sz w:val="22"/>
        </w:rPr>
        <w:t xml:space="preserve"> is the day of year of step </w:t>
      </w:r>
      <w:r>
        <w:rPr>
          <w:rFonts w:ascii="Times New Roman" w:hAnsi="Times New Roman"/>
          <w:b w:val="0"/>
          <w:i/>
          <w:sz w:val="22"/>
        </w:rPr>
        <w:t>t</w:t>
      </w:r>
      <w:r>
        <w:rPr>
          <w:rFonts w:ascii="Times New Roman" w:hAnsi="Times New Roman"/>
          <w:b w:val="0"/>
          <w:i w:val="0"/>
          <w:sz w:val="22"/>
        </w:rPr>
        <w:t xml:space="preserve">. Deriving the phase from the calendar date rather than from a running index makes the encoding independent of sampling cadence, placing diseases with different reporting rhythms on a common seasonal circle. Surveillance coverage is uneven, and Ebola in particular is reported only intermittently; we therefore record an explicit observation indicator </w:t>
      </w:r>
      <w:r>
        <w:rPr>
          <w:rFonts w:ascii="Times New Roman" w:hAnsi="Times New Roman"/>
          <w:b w:val="0"/>
          <w:i/>
          <w:sz w:val="22"/>
        </w:rPr>
        <w:t>M</w:t>
      </w:r>
      <w:r>
        <w:rPr>
          <w:rFonts w:ascii="Times New Roman" w:hAnsi="Times New Roman"/>
          <w:b/>
          <w:i w:val="0"/>
          <w:sz w:val="22"/>
          <w:vertAlign w:val="subscript"/>
        </w:rPr>
        <w:t>i,t</w:t>
      </w:r>
      <w:r>
        <w:rPr>
          <w:rFonts w:ascii="Times New Roman" w:hAnsi="Times New Roman"/>
          <w:b w:val="0"/>
          <w:i w:val="0"/>
          <w:sz w:val="22"/>
        </w:rPr>
        <w:t>, equal to one where a value was genuinely reported and zero where it was imputed to keep the series contiguous, and expose it to the model as a core channel. Imputed steps are set to the per-node mean in normalised space — a neutral value — rather than to the transform of a zero count, which would inject a spurious low signal at every gap, and they never contribute to the training loss or to evaluation.</w:t>
      </w:r>
    </w:p>
    <w:p w14:paraId="6957F911">
      <w:pPr>
        <w:keepNext/>
        <w:spacing w:before="80" w:after="80"/>
      </w:pPr>
      <w:r>
        <w:rPr>
          <w:rFonts w:ascii="Times New Roman" w:hAnsi="Times New Roman"/>
          <w:b/>
          <w:i w:val="0"/>
          <w:sz w:val="23"/>
        </w:rPr>
        <w:t>6.2 Spatial and temporal structure</w:t>
      </w:r>
    </w:p>
    <w:p w14:paraId="348B0978">
      <w:pPr>
        <w:jc w:val="both"/>
      </w:pPr>
      <w:r>
        <w:rPr>
          <w:rFonts w:ascii="Times New Roman" w:hAnsi="Times New Roman"/>
          <w:b w:val="0"/>
          <w:i w:val="0"/>
          <w:sz w:val="22"/>
        </w:rPr>
        <w:t>Spatial relationships are encoded as a geographic adjacency matrix. For dengue and Ebola we derive contiguity from administrative boundary polygons obtained from the GADM database (GADM, 2022): two units are adjacent when their polygons share a boundary, and units left without any neighbour are connected to their nearest centroids so that no vertex is isolated, since message passing over an isolated node is degenerate. We store the raw binary adjacency and defer self-loops and degree normalisation to the model. For dengue, whose development set spans several countries, adjacency is assembled block-diagonally — contiguity is computed within each country and no edges are placed between countries — and nodes are labelled by a country-qualified identifier to prevent collisions between like-named units; the resulting graph is disconnected across countries, which a graph network accommodates without difficulty, and cross-country regularities are captured through the shared encoder weights rather than through spurious edges. For influenza we reuse the adjacency matrices distributed with the benchmark datasets so that comparisons against the corresponding baselines are made on an identical graph. Because surveillance records and boundary files are joined on administrative names rather than numeric codes, names are normalised aggressively and an explicit alias mechanism resolves residual mismatches; any unit that cannot be matched halts construction with a diagnostic rather than being dropped silently.</w:t>
      </w:r>
    </w:p>
    <w:p w14:paraId="701D52B6">
      <w:pPr>
        <w:jc w:val="both"/>
      </w:pPr>
      <w:r>
        <w:rPr>
          <w:rFonts w:ascii="Times New Roman" w:hAnsi="Times New Roman"/>
          <w:b w:val="0"/>
          <w:i w:val="0"/>
          <w:sz w:val="22"/>
        </w:rPr>
        <w:t>All three diseases are placed on a common weekly cadence defined by the MMWR epidemiological week, which runs from Sunday to Saturday. Influenza is natively weekly; Ebola is aggregated to weekly resolution from irregular situation reports; and dengue, reported monthly in its earlier years and weekly thereafter, is retained only in its weekly portion, which still spans roughly a decade in the countries of interest. Committing to a single cadence is a considered choice: interpolating the monthly dengue history up to weekly resolution would fabricate observations and inflate the apparent sample size, whereas coarsening influenza to monthly would discard the resolution its baselines were built for. A uniform weekly cadence lets the temporal encoder see comparable dynamics across diseases and gives a single lookback window and forecasting horizon the same meaning everywhere. Where nodes within a disease begin or end reporting at different times, they are placed on a shared calendar spanning the union of their observation windows, with unobserved steps imputed and masked.</w:t>
      </w:r>
    </w:p>
    <w:p w14:paraId="6E97CCE9">
      <w:pPr>
        <w:keepNext/>
        <w:spacing w:before="80" w:after="80"/>
      </w:pPr>
      <w:r>
        <w:rPr>
          <w:rFonts w:ascii="Times New Roman" w:hAnsi="Times New Roman"/>
          <w:b/>
          <w:i w:val="0"/>
          <w:sz w:val="23"/>
        </w:rPr>
        <w:t>6.3 Datasets</w:t>
      </w:r>
    </w:p>
    <w:p w14:paraId="05B241C9">
      <w:pPr>
        <w:jc w:val="both"/>
      </w:pPr>
      <w:r>
        <w:rPr>
          <w:rFonts w:ascii="Times New Roman" w:hAnsi="Times New Roman"/>
          <w:b w:val="0"/>
          <w:i w:val="0"/>
          <w:sz w:val="22"/>
        </w:rPr>
        <w:t xml:space="preserve">Development data for dengue are drawn from OpenDengue (Clarke et al., 2024), the most comprehensive openly available compilation of dengue surveillance, at the first administrative level and restricted to dengue-endemic countries; rather than fix the country list by hand, we retain a country only when enough of its units carry enough weekly observations to be usable, recording the per-country coverage that determined inclusion. For influenza we adopt the three benchmark datasets distributed with Cola-GNN (Deng et al., 2020) and used throughout the subsequent literature (Xie et al., 2022): weekly influenza-like-illness counts for the forty-seven prefectures of Japan, the ten Health and Human Services regions of the United States mainland, and forty-nine US states, used unchanged together with their distributed adjacency matrices so that our influenza results are directly comparable to the published baselines. Ebola constitutes the held-out, data-scarce case study: we assemble district-level weekly incidence for the 2014–2016 West African outbreak from the machine-readable situation reports curated on the Humanitarian Data Exchange, cross-referenced with the epidemiological record of the WHO Ebola Response Team (2014). Because these reports record cumulative cases, the reported quantities are differenced to recover new cases; for a cumulative series </w:t>
      </w:r>
      <w:r>
        <w:rPr>
          <w:rFonts w:ascii="Times New Roman" w:hAnsi="Times New Roman"/>
          <w:b w:val="0"/>
          <w:i/>
          <w:sz w:val="22"/>
        </w:rPr>
        <w:t>C</w:t>
      </w:r>
      <w:r>
        <w:rPr>
          <w:rFonts w:ascii="Times New Roman" w:hAnsi="Times New Roman"/>
          <w:b/>
          <w:i w:val="0"/>
          <w:sz w:val="22"/>
          <w:vertAlign w:val="subscript"/>
        </w:rPr>
        <w:t>i,t</w:t>
      </w:r>
      <w:r>
        <w:rPr>
          <w:rFonts w:ascii="Times New Roman" w:hAnsi="Times New Roman"/>
          <w:b w:val="0"/>
          <w:i w:val="0"/>
          <w:sz w:val="22"/>
        </w:rPr>
        <w:t xml:space="preserve"> we take</w:t>
      </w:r>
    </w:p>
    <w:p w14:paraId="6A836427">
      <w:pPr>
        <w:spacing w:before="60" w:after="150"/>
        <w:jc w:val="center"/>
      </w:pPr>
      <w:r>
        <w:rPr>
          <w:rFonts w:ascii="Times New Roman" w:hAnsi="Times New Roman"/>
          <w:b w:val="0"/>
          <w:i w:val="0"/>
          <w:sz w:val="22"/>
        </w:rPr>
        <w:t>y</w:t>
      </w:r>
      <w:r>
        <w:rPr>
          <w:rFonts w:ascii="Times New Roman" w:hAnsi="Times New Roman"/>
          <w:b/>
          <w:i w:val="0"/>
          <w:sz w:val="22"/>
          <w:vertAlign w:val="subscript"/>
        </w:rPr>
        <w:t>i,t</w:t>
      </w:r>
      <w:r>
        <w:rPr>
          <w:rFonts w:ascii="Times New Roman" w:hAnsi="Times New Roman"/>
          <w:b w:val="0"/>
          <w:i w:val="0"/>
          <w:sz w:val="22"/>
        </w:rPr>
        <w:t xml:space="preserve"> = max( 0, C</w:t>
      </w:r>
      <w:r>
        <w:rPr>
          <w:rFonts w:ascii="Times New Roman" w:hAnsi="Times New Roman"/>
          <w:b/>
          <w:i w:val="0"/>
          <w:sz w:val="22"/>
          <w:vertAlign w:val="subscript"/>
        </w:rPr>
        <w:t>i,t</w:t>
      </w:r>
      <w:r>
        <w:rPr>
          <w:rFonts w:ascii="Times New Roman" w:hAnsi="Times New Roman"/>
          <w:b w:val="0"/>
          <w:i w:val="0"/>
          <w:sz w:val="22"/>
        </w:rPr>
        <w:t xml:space="preserve"> − C</w:t>
      </w:r>
      <w:r>
        <w:rPr>
          <w:rFonts w:ascii="Times New Roman" w:hAnsi="Times New Roman"/>
          <w:b/>
          <w:i w:val="0"/>
          <w:sz w:val="22"/>
          <w:vertAlign w:val="subscript"/>
        </w:rPr>
        <w:t>i,t−1</w:t>
      </w:r>
      <w:r>
        <w:rPr>
          <w:rFonts w:ascii="Times New Roman" w:hAnsi="Times New Roman"/>
          <w:b w:val="0"/>
          <w:i w:val="0"/>
          <w:sz w:val="22"/>
        </w:rPr>
        <w:t xml:space="preserve"> )</w:t>
      </w:r>
      <w:r>
        <w:rPr>
          <w:rFonts w:ascii="Times New Roman" w:hAnsi="Times New Roman"/>
          <w:sz w:val="22"/>
        </w:rPr>
        <w:t>  (4)</w:t>
      </w:r>
    </w:p>
    <w:p w14:paraId="70F6FAF7">
      <w:pPr>
        <w:jc w:val="both"/>
      </w:pPr>
      <w:r>
        <w:rPr>
          <w:rFonts w:ascii="Times New Roman" w:hAnsi="Times New Roman"/>
          <w:b w:val="0"/>
          <w:i w:val="0"/>
          <w:sz w:val="22"/>
        </w:rPr>
        <w:t>where negative increments, which arise when totals are revised downward during data reconciliation, are treated as reporting artefacts and clipped to zero. The graph is restricted to the three countries at the centre of the epidemic — Guinea, Liberia, and Sierra Leone — whose districts carry the usable signal, since the small number of exported cases elsewhere form isolated, near-empty series that would distort per-node normalisation. Table 3 summarises the datasets and their roles.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200"/>
        <w:gridCol w:w="2200"/>
        <w:gridCol w:w="1360"/>
        <w:gridCol w:w="900"/>
        <w:gridCol w:w="1700"/>
      </w:tblGrid>
      <w:tr w14:paraId="6420F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00" w:type="dxa"/>
            <w:shd w:val="clear" w:color="auto" w:fill="D9D9D9"/>
            <w:tcMar>
              <w:top w:w="40" w:type="dxa"/>
              <w:left w:w="90" w:type="dxa"/>
              <w:bottom w:w="40" w:type="dxa"/>
              <w:right w:w="90" w:type="dxa"/>
            </w:tcMar>
            <w:vAlign w:val="center"/>
          </w:tcPr>
          <w:p w14:paraId="7B13DFD7">
            <w:pPr>
              <w:spacing w:after="0"/>
              <w:jc w:val="left"/>
            </w:pPr>
            <w:r>
              <w:rPr>
                <w:rFonts w:ascii="Times New Roman" w:hAnsi="Times New Roman"/>
                <w:b/>
                <w:i w:val="0"/>
                <w:sz w:val="20"/>
              </w:rPr>
              <w:t>Disease</w:t>
            </w:r>
          </w:p>
        </w:tc>
        <w:tc>
          <w:tcPr>
            <w:tcW w:w="2200" w:type="dxa"/>
            <w:shd w:val="clear" w:color="auto" w:fill="D9D9D9"/>
            <w:tcMar>
              <w:top w:w="40" w:type="dxa"/>
              <w:left w:w="90" w:type="dxa"/>
              <w:bottom w:w="40" w:type="dxa"/>
              <w:right w:w="90" w:type="dxa"/>
            </w:tcMar>
            <w:vAlign w:val="center"/>
          </w:tcPr>
          <w:p w14:paraId="7F06C864">
            <w:pPr>
              <w:spacing w:after="0"/>
              <w:jc w:val="left"/>
            </w:pPr>
            <w:r>
              <w:rPr>
                <w:rFonts w:ascii="Times New Roman" w:hAnsi="Times New Roman"/>
                <w:b/>
                <w:i w:val="0"/>
                <w:sz w:val="20"/>
              </w:rPr>
              <w:t>Source</w:t>
            </w:r>
          </w:p>
        </w:tc>
        <w:tc>
          <w:tcPr>
            <w:tcW w:w="2200" w:type="dxa"/>
            <w:shd w:val="clear" w:color="auto" w:fill="D9D9D9"/>
            <w:tcMar>
              <w:top w:w="40" w:type="dxa"/>
              <w:left w:w="90" w:type="dxa"/>
              <w:bottom w:w="40" w:type="dxa"/>
              <w:right w:w="90" w:type="dxa"/>
            </w:tcMar>
            <w:vAlign w:val="center"/>
          </w:tcPr>
          <w:p w14:paraId="0E9B158C">
            <w:pPr>
              <w:spacing w:after="0"/>
              <w:jc w:val="left"/>
            </w:pPr>
            <w:r>
              <w:rPr>
                <w:rFonts w:ascii="Times New Roman" w:hAnsi="Times New Roman"/>
                <w:b/>
                <w:i w:val="0"/>
                <w:sz w:val="20"/>
              </w:rPr>
              <w:t>Spatial units (N)</w:t>
            </w:r>
          </w:p>
        </w:tc>
        <w:tc>
          <w:tcPr>
            <w:tcW w:w="1360" w:type="dxa"/>
            <w:shd w:val="clear" w:color="auto" w:fill="D9D9D9"/>
            <w:tcMar>
              <w:top w:w="40" w:type="dxa"/>
              <w:left w:w="90" w:type="dxa"/>
              <w:bottom w:w="40" w:type="dxa"/>
              <w:right w:w="90" w:type="dxa"/>
            </w:tcMar>
            <w:vAlign w:val="center"/>
          </w:tcPr>
          <w:p w14:paraId="5958346B">
            <w:pPr>
              <w:spacing w:after="0"/>
              <w:jc w:val="left"/>
            </w:pPr>
            <w:r>
              <w:rPr>
                <w:rFonts w:ascii="Times New Roman" w:hAnsi="Times New Roman"/>
                <w:b/>
                <w:i w:val="0"/>
                <w:sz w:val="20"/>
              </w:rPr>
              <w:t>Temporal span</w:t>
            </w:r>
          </w:p>
        </w:tc>
        <w:tc>
          <w:tcPr>
            <w:tcW w:w="900" w:type="dxa"/>
            <w:shd w:val="clear" w:color="auto" w:fill="D9D9D9"/>
            <w:tcMar>
              <w:top w:w="40" w:type="dxa"/>
              <w:left w:w="90" w:type="dxa"/>
              <w:bottom w:w="40" w:type="dxa"/>
              <w:right w:w="90" w:type="dxa"/>
            </w:tcMar>
            <w:vAlign w:val="center"/>
          </w:tcPr>
          <w:p w14:paraId="7CD9989E">
            <w:pPr>
              <w:spacing w:after="0"/>
              <w:jc w:val="left"/>
            </w:pPr>
            <w:r>
              <w:rPr>
                <w:rFonts w:ascii="Times New Roman" w:hAnsi="Times New Roman"/>
                <w:b/>
                <w:i w:val="0"/>
                <w:sz w:val="20"/>
              </w:rPr>
              <w:t>Cadence</w:t>
            </w:r>
          </w:p>
        </w:tc>
        <w:tc>
          <w:tcPr>
            <w:tcW w:w="1700" w:type="dxa"/>
            <w:shd w:val="clear" w:color="auto" w:fill="D9D9D9"/>
            <w:tcMar>
              <w:top w:w="40" w:type="dxa"/>
              <w:left w:w="90" w:type="dxa"/>
              <w:bottom w:w="40" w:type="dxa"/>
              <w:right w:w="90" w:type="dxa"/>
            </w:tcMar>
            <w:vAlign w:val="center"/>
          </w:tcPr>
          <w:p w14:paraId="5713023D">
            <w:pPr>
              <w:spacing w:after="0"/>
              <w:jc w:val="left"/>
            </w:pPr>
            <w:r>
              <w:rPr>
                <w:rFonts w:ascii="Times New Roman" w:hAnsi="Times New Roman"/>
                <w:b/>
                <w:i w:val="0"/>
                <w:sz w:val="20"/>
              </w:rPr>
              <w:t>Role</w:t>
            </w:r>
          </w:p>
        </w:tc>
      </w:tr>
      <w:tr w14:paraId="10DBE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Mar>
              <w:top w:w="40" w:type="dxa"/>
              <w:left w:w="90" w:type="dxa"/>
              <w:bottom w:w="40" w:type="dxa"/>
              <w:right w:w="90" w:type="dxa"/>
            </w:tcMar>
          </w:tcPr>
          <w:p w14:paraId="5013537D">
            <w:pPr>
              <w:spacing w:after="0"/>
              <w:jc w:val="left"/>
            </w:pPr>
            <w:r>
              <w:rPr>
                <w:rFonts w:ascii="Times New Roman" w:hAnsi="Times New Roman"/>
                <w:b w:val="0"/>
                <w:i w:val="0"/>
                <w:sz w:val="19"/>
              </w:rPr>
              <w:t>Dengue</w:t>
            </w:r>
          </w:p>
        </w:tc>
        <w:tc>
          <w:tcPr>
            <w:tcW w:w="2200" w:type="dxa"/>
            <w:tcMar>
              <w:top w:w="40" w:type="dxa"/>
              <w:left w:w="90" w:type="dxa"/>
              <w:bottom w:w="40" w:type="dxa"/>
              <w:right w:w="90" w:type="dxa"/>
            </w:tcMar>
          </w:tcPr>
          <w:p w14:paraId="287324BE">
            <w:pPr>
              <w:spacing w:after="0"/>
              <w:jc w:val="left"/>
            </w:pPr>
            <w:r>
              <w:rPr>
                <w:rFonts w:ascii="Times New Roman" w:hAnsi="Times New Roman"/>
                <w:b w:val="0"/>
                <w:i w:val="0"/>
                <w:sz w:val="19"/>
              </w:rPr>
              <w:t>OpenDengue (Clarke et al., 2024)</w:t>
            </w:r>
          </w:p>
        </w:tc>
        <w:tc>
          <w:tcPr>
            <w:tcW w:w="2200" w:type="dxa"/>
            <w:tcMar>
              <w:top w:w="40" w:type="dxa"/>
              <w:left w:w="90" w:type="dxa"/>
              <w:bottom w:w="40" w:type="dxa"/>
              <w:right w:w="90" w:type="dxa"/>
            </w:tcMar>
          </w:tcPr>
          <w:p w14:paraId="46A9D20A">
            <w:pPr>
              <w:spacing w:after="0"/>
              <w:jc w:val="left"/>
            </w:pPr>
            <w:r>
              <w:rPr>
                <w:rFonts w:ascii="Times New Roman" w:hAnsi="Times New Roman"/>
                <w:b w:val="0"/>
                <w:i w:val="0"/>
                <w:sz w:val="19"/>
              </w:rPr>
              <w:t>Admin-1 units, dengue-endemic countries</w:t>
            </w:r>
          </w:p>
        </w:tc>
        <w:tc>
          <w:tcPr>
            <w:tcW w:w="1360" w:type="dxa"/>
            <w:tcMar>
              <w:top w:w="40" w:type="dxa"/>
              <w:left w:w="90" w:type="dxa"/>
              <w:bottom w:w="40" w:type="dxa"/>
              <w:right w:w="90" w:type="dxa"/>
            </w:tcMar>
          </w:tcPr>
          <w:p w14:paraId="31232CD9">
            <w:pPr>
              <w:spacing w:after="0"/>
              <w:jc w:val="left"/>
            </w:pPr>
            <w:r>
              <w:rPr>
                <w:rFonts w:ascii="Times New Roman" w:hAnsi="Times New Roman"/>
                <w:b w:val="0"/>
                <w:i w:val="0"/>
                <w:sz w:val="19"/>
              </w:rPr>
              <w:t>2014–present</w:t>
            </w:r>
          </w:p>
        </w:tc>
        <w:tc>
          <w:tcPr>
            <w:tcW w:w="900" w:type="dxa"/>
            <w:tcMar>
              <w:top w:w="40" w:type="dxa"/>
              <w:left w:w="90" w:type="dxa"/>
              <w:bottom w:w="40" w:type="dxa"/>
              <w:right w:w="90" w:type="dxa"/>
            </w:tcMar>
          </w:tcPr>
          <w:p w14:paraId="6500DFA4">
            <w:pPr>
              <w:spacing w:after="0"/>
              <w:jc w:val="left"/>
            </w:pPr>
            <w:r>
              <w:rPr>
                <w:rFonts w:ascii="Times New Roman" w:hAnsi="Times New Roman"/>
                <w:b w:val="0"/>
                <w:i w:val="0"/>
                <w:sz w:val="19"/>
              </w:rPr>
              <w:t>Weekly</w:t>
            </w:r>
          </w:p>
        </w:tc>
        <w:tc>
          <w:tcPr>
            <w:tcW w:w="1700" w:type="dxa"/>
            <w:tcMar>
              <w:top w:w="40" w:type="dxa"/>
              <w:left w:w="90" w:type="dxa"/>
              <w:bottom w:w="40" w:type="dxa"/>
              <w:right w:w="90" w:type="dxa"/>
            </w:tcMar>
          </w:tcPr>
          <w:p w14:paraId="0CF25E89">
            <w:pPr>
              <w:spacing w:after="0"/>
              <w:jc w:val="left"/>
            </w:pPr>
            <w:r>
              <w:rPr>
                <w:rFonts w:ascii="Times New Roman" w:hAnsi="Times New Roman"/>
                <w:b w:val="0"/>
                <w:i w:val="0"/>
                <w:sz w:val="19"/>
              </w:rPr>
              <w:t>Development</w:t>
            </w:r>
          </w:p>
        </w:tc>
      </w:tr>
      <w:tr w14:paraId="17729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Mar>
              <w:top w:w="40" w:type="dxa"/>
              <w:left w:w="90" w:type="dxa"/>
              <w:bottom w:w="40" w:type="dxa"/>
              <w:right w:w="90" w:type="dxa"/>
            </w:tcMar>
          </w:tcPr>
          <w:p w14:paraId="72D12CD3">
            <w:pPr>
              <w:spacing w:after="0"/>
              <w:jc w:val="left"/>
            </w:pPr>
            <w:r>
              <w:rPr>
                <w:rFonts w:ascii="Times New Roman" w:hAnsi="Times New Roman"/>
                <w:b w:val="0"/>
                <w:i w:val="0"/>
                <w:sz w:val="19"/>
              </w:rPr>
              <w:t>Influenza</w:t>
            </w:r>
          </w:p>
        </w:tc>
        <w:tc>
          <w:tcPr>
            <w:tcW w:w="2200" w:type="dxa"/>
            <w:tcMar>
              <w:top w:w="40" w:type="dxa"/>
              <w:left w:w="90" w:type="dxa"/>
              <w:bottom w:w="40" w:type="dxa"/>
              <w:right w:w="90" w:type="dxa"/>
            </w:tcMar>
          </w:tcPr>
          <w:p w14:paraId="34C9E5E4">
            <w:pPr>
              <w:spacing w:after="0"/>
              <w:jc w:val="left"/>
            </w:pPr>
            <w:r>
              <w:rPr>
                <w:rFonts w:ascii="Times New Roman" w:hAnsi="Times New Roman"/>
                <w:b w:val="0"/>
                <w:i w:val="0"/>
                <w:sz w:val="19"/>
              </w:rPr>
              <w:t>Cola-GNN benchmarks (Deng et al., 2020)</w:t>
            </w:r>
          </w:p>
        </w:tc>
        <w:tc>
          <w:tcPr>
            <w:tcW w:w="2200" w:type="dxa"/>
            <w:tcMar>
              <w:top w:w="40" w:type="dxa"/>
              <w:left w:w="90" w:type="dxa"/>
              <w:bottom w:w="40" w:type="dxa"/>
              <w:right w:w="90" w:type="dxa"/>
            </w:tcMar>
          </w:tcPr>
          <w:p w14:paraId="1A2AC4EB">
            <w:pPr>
              <w:spacing w:after="0"/>
              <w:jc w:val="left"/>
            </w:pPr>
            <w:r>
              <w:rPr>
                <w:rFonts w:ascii="Times New Roman" w:hAnsi="Times New Roman"/>
                <w:b w:val="0"/>
                <w:i w:val="0"/>
                <w:sz w:val="19"/>
              </w:rPr>
              <w:t>Japan 47; US-Regions 10; US-States 49</w:t>
            </w:r>
          </w:p>
        </w:tc>
        <w:tc>
          <w:tcPr>
            <w:tcW w:w="1360" w:type="dxa"/>
            <w:tcMar>
              <w:top w:w="40" w:type="dxa"/>
              <w:left w:w="90" w:type="dxa"/>
              <w:bottom w:w="40" w:type="dxa"/>
              <w:right w:w="90" w:type="dxa"/>
            </w:tcMar>
          </w:tcPr>
          <w:p w14:paraId="29E5347A">
            <w:pPr>
              <w:spacing w:after="0"/>
              <w:jc w:val="left"/>
            </w:pPr>
            <w:r>
              <w:rPr>
                <w:rFonts w:ascii="Times New Roman" w:hAnsi="Times New Roman"/>
                <w:b w:val="0"/>
                <w:i w:val="0"/>
                <w:sz w:val="19"/>
              </w:rPr>
              <w:t>2002–2019</w:t>
            </w:r>
          </w:p>
        </w:tc>
        <w:tc>
          <w:tcPr>
            <w:tcW w:w="900" w:type="dxa"/>
            <w:tcMar>
              <w:top w:w="40" w:type="dxa"/>
              <w:left w:w="90" w:type="dxa"/>
              <w:bottom w:w="40" w:type="dxa"/>
              <w:right w:w="90" w:type="dxa"/>
            </w:tcMar>
          </w:tcPr>
          <w:p w14:paraId="734C1CD3">
            <w:pPr>
              <w:spacing w:after="0"/>
              <w:jc w:val="left"/>
            </w:pPr>
            <w:r>
              <w:rPr>
                <w:rFonts w:ascii="Times New Roman" w:hAnsi="Times New Roman"/>
                <w:b w:val="0"/>
                <w:i w:val="0"/>
                <w:sz w:val="19"/>
              </w:rPr>
              <w:t>Weekly</w:t>
            </w:r>
          </w:p>
        </w:tc>
        <w:tc>
          <w:tcPr>
            <w:tcW w:w="1700" w:type="dxa"/>
            <w:tcMar>
              <w:top w:w="40" w:type="dxa"/>
              <w:left w:w="90" w:type="dxa"/>
              <w:bottom w:w="40" w:type="dxa"/>
              <w:right w:w="90" w:type="dxa"/>
            </w:tcMar>
          </w:tcPr>
          <w:p w14:paraId="7B770E45">
            <w:pPr>
              <w:spacing w:after="0"/>
              <w:jc w:val="left"/>
            </w:pPr>
            <w:r>
              <w:rPr>
                <w:rFonts w:ascii="Times New Roman" w:hAnsi="Times New Roman"/>
                <w:b w:val="0"/>
                <w:i w:val="0"/>
                <w:sz w:val="19"/>
              </w:rPr>
              <w:t>Development</w:t>
            </w:r>
          </w:p>
        </w:tc>
      </w:tr>
      <w:tr w14:paraId="55444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Mar>
              <w:top w:w="40" w:type="dxa"/>
              <w:left w:w="90" w:type="dxa"/>
              <w:bottom w:w="40" w:type="dxa"/>
              <w:right w:w="90" w:type="dxa"/>
            </w:tcMar>
          </w:tcPr>
          <w:p w14:paraId="5BF6FCDB">
            <w:pPr>
              <w:spacing w:after="0"/>
              <w:jc w:val="left"/>
            </w:pPr>
            <w:r>
              <w:rPr>
                <w:rFonts w:ascii="Times New Roman" w:hAnsi="Times New Roman"/>
                <w:b w:val="0"/>
                <w:i w:val="0"/>
                <w:sz w:val="19"/>
              </w:rPr>
              <w:t>Ebola</w:t>
            </w:r>
          </w:p>
        </w:tc>
        <w:tc>
          <w:tcPr>
            <w:tcW w:w="2200" w:type="dxa"/>
            <w:tcMar>
              <w:top w:w="40" w:type="dxa"/>
              <w:left w:w="90" w:type="dxa"/>
              <w:bottom w:w="40" w:type="dxa"/>
              <w:right w:w="90" w:type="dxa"/>
            </w:tcMar>
          </w:tcPr>
          <w:p w14:paraId="1C70C76A">
            <w:pPr>
              <w:spacing w:after="0"/>
              <w:jc w:val="left"/>
            </w:pPr>
            <w:r>
              <w:rPr>
                <w:rFonts w:ascii="Times New Roman" w:hAnsi="Times New Roman"/>
                <w:b w:val="0"/>
                <w:i w:val="0"/>
                <w:sz w:val="19"/>
              </w:rPr>
              <w:t>HDX situation reports; WHO ERT (2014)</w:t>
            </w:r>
          </w:p>
        </w:tc>
        <w:tc>
          <w:tcPr>
            <w:tcW w:w="2200" w:type="dxa"/>
            <w:tcMar>
              <w:top w:w="40" w:type="dxa"/>
              <w:left w:w="90" w:type="dxa"/>
              <w:bottom w:w="40" w:type="dxa"/>
              <w:right w:w="90" w:type="dxa"/>
            </w:tcMar>
          </w:tcPr>
          <w:p w14:paraId="15458338">
            <w:pPr>
              <w:spacing w:after="0"/>
              <w:jc w:val="left"/>
            </w:pPr>
            <w:r>
              <w:rPr>
                <w:rFonts w:ascii="Times New Roman" w:hAnsi="Times New Roman"/>
                <w:b w:val="0"/>
                <w:i w:val="0"/>
                <w:sz w:val="19"/>
              </w:rPr>
              <w:t>Admin-2 districts, GIN / LBR / SLE</w:t>
            </w:r>
          </w:p>
        </w:tc>
        <w:tc>
          <w:tcPr>
            <w:tcW w:w="1360" w:type="dxa"/>
            <w:tcMar>
              <w:top w:w="40" w:type="dxa"/>
              <w:left w:w="90" w:type="dxa"/>
              <w:bottom w:w="40" w:type="dxa"/>
              <w:right w:w="90" w:type="dxa"/>
            </w:tcMar>
          </w:tcPr>
          <w:p w14:paraId="2B3A1DB3">
            <w:pPr>
              <w:spacing w:after="0"/>
              <w:jc w:val="left"/>
            </w:pPr>
            <w:r>
              <w:rPr>
                <w:rFonts w:ascii="Times New Roman" w:hAnsi="Times New Roman"/>
                <w:b w:val="0"/>
                <w:i w:val="0"/>
                <w:sz w:val="19"/>
              </w:rPr>
              <w:t>2014–2016</w:t>
            </w:r>
          </w:p>
        </w:tc>
        <w:tc>
          <w:tcPr>
            <w:tcW w:w="900" w:type="dxa"/>
            <w:tcMar>
              <w:top w:w="40" w:type="dxa"/>
              <w:left w:w="90" w:type="dxa"/>
              <w:bottom w:w="40" w:type="dxa"/>
              <w:right w:w="90" w:type="dxa"/>
            </w:tcMar>
          </w:tcPr>
          <w:p w14:paraId="3E8BE726">
            <w:pPr>
              <w:spacing w:after="0"/>
              <w:jc w:val="left"/>
            </w:pPr>
            <w:r>
              <w:rPr>
                <w:rFonts w:ascii="Times New Roman" w:hAnsi="Times New Roman"/>
                <w:b w:val="0"/>
                <w:i w:val="0"/>
                <w:sz w:val="19"/>
              </w:rPr>
              <w:t>Weekly</w:t>
            </w:r>
          </w:p>
        </w:tc>
        <w:tc>
          <w:tcPr>
            <w:tcW w:w="1700" w:type="dxa"/>
            <w:tcMar>
              <w:top w:w="40" w:type="dxa"/>
              <w:left w:w="90" w:type="dxa"/>
              <w:bottom w:w="40" w:type="dxa"/>
              <w:right w:w="90" w:type="dxa"/>
            </w:tcMar>
          </w:tcPr>
          <w:p w14:paraId="0701DB5D">
            <w:pPr>
              <w:spacing w:after="0"/>
              <w:jc w:val="left"/>
            </w:pPr>
            <w:r>
              <w:rPr>
                <w:rFonts w:ascii="Times New Roman" w:hAnsi="Times New Roman"/>
                <w:b w:val="0"/>
                <w:i w:val="0"/>
                <w:sz w:val="19"/>
              </w:rPr>
              <w:t>Few-shot holdout</w:t>
            </w:r>
          </w:p>
        </w:tc>
      </w:tr>
    </w:tbl>
    <w:p w14:paraId="4718E90A">
      <w:pPr>
        <w:spacing w:before="60" w:after="160"/>
        <w:jc w:val="left"/>
      </w:pPr>
      <w:r>
        <w:rPr>
          <w:rFonts w:ascii="Times New Roman" w:hAnsi="Times New Roman"/>
          <w:b/>
          <w:i w:val="0"/>
          <w:sz w:val="19"/>
        </w:rPr>
        <w:t xml:space="preserve">Table 3. </w:t>
      </w:r>
      <w:r>
        <w:rPr>
          <w:rFonts w:ascii="Times New Roman" w:hAnsi="Times New Roman"/>
          <w:b w:val="0"/>
          <w:i/>
          <w:sz w:val="19"/>
        </w:rPr>
        <w:t>Datasets mapped onto the standardised representation. Dengue and influenza are data-rich development diseases; Ebola is the held-out, data-scarce case study.</w:t>
      </w:r>
    </w:p>
    <w:p w14:paraId="2713F00F">
      <w:pPr>
        <w:keepNext/>
        <w:spacing w:before="80" w:after="80"/>
      </w:pPr>
      <w:r>
        <w:rPr>
          <w:rFonts w:ascii="Times New Roman" w:hAnsi="Times New Roman"/>
          <w:b/>
          <w:i w:val="0"/>
          <w:sz w:val="23"/>
        </w:rPr>
        <w:t>6.4 Normalisation and leakage control</w:t>
      </w:r>
    </w:p>
    <w:p w14:paraId="21505CEE">
      <w:pPr>
        <w:jc w:val="both"/>
      </w:pPr>
      <w:r>
        <w:rPr>
          <w:rFonts w:ascii="Times New Roman" w:hAnsi="Times New Roman"/>
          <w:b w:val="0"/>
          <w:i w:val="0"/>
          <w:sz w:val="22"/>
        </w:rPr>
        <w:t>Because the eventual claims rest on out-of-sample performance, the representation is constructed so that information from the evaluation period cannot leak into training. All series are split chronologically and never shuffled. For the development diseases we adopt the customary partition of the first fifty per cent of each series for training, the next twenty per cent for validation, and the final thirty per cent for testing (Deng et al., 2020; Xie et al., 2022), and every normalisation statistic is estimated from the training portion alone and applied unchanged to the later folds. The held-out disease is handled differently, in keeping with its role as a few-shot target: Ebola is not partitioned by the development ratios; instead the first two observed weeks of each district form a support set on which the model adapts, and all subsequent observed weeks form the query set on which it is evaluated. The incidence normalisation for Ebola is estimated from the support observations only and pooled across districts rather than fitted per node, since two observations per district are far too few to estimate a stable per-node scale and any use of later weeks would leak the outbreak's magnitude into an ostensibly few-shot result. Three properties hold throughout: normalisation statistics and any learned graph structure depend only on data the model is permitted to see at training time; no feature is derived from future values; and horizon-h targets never appear among the inputs. Each dataset is produced by a single deterministic loader that records, alongside the arrays, the identity and ordering of the spatial units, the calendar of steps, the feature names and which of them are transfer-safe, the normalisation parameters, the split or support–query definition, and the provenance of the adjacency, so that the bundles are the sole, reproducible interface between the data and every experiment that follows.</w:t>
      </w:r>
    </w:p>
    <w:p w14:paraId="7BA368D5">
      <w:pPr>
        <w:keepNext/>
        <w:spacing w:before="120" w:after="130"/>
      </w:pPr>
      <w:r>
        <w:rPr>
          <w:rFonts w:ascii="Times New Roman" w:hAnsi="Times New Roman"/>
          <w:b/>
          <w:i w:val="0"/>
          <w:sz w:val="26"/>
        </w:rPr>
        <w:t>7 Evaluation Protocol and Metrics</w:t>
      </w:r>
    </w:p>
    <w:p w14:paraId="1D66C04F">
      <w:pPr>
        <w:jc w:val="both"/>
      </w:pPr>
      <w:r>
        <w:rPr>
          <w:rFonts w:ascii="Times New Roman" w:hAnsi="Times New Roman"/>
          <w:b w:val="0"/>
          <w:i w:val="0"/>
          <w:sz w:val="22"/>
        </w:rPr>
        <w:t>The protocol is fixed in advance and applies identically to every trusted baseline and to our framework, so that accuracy differences reflect the model rather than the pipeline. The three disease streams described in Section 6 instantiate the data-rich-to-data-scarce gradient the framework is built for, and the splits follow their roles. For dengue and influenza the headline split is a chronological 50 / 20 / 30 partition into training, validation, and test, following the EpiGNN and Cola-GNN convention; a rolling-origin, expanding-window backtest with roughly five single-step origin advances serves as the robustness analysis, with scalers and any learned graph refit at each origin so that the result is not an artefact of one split point. Ebola is exempt from both: its protocol is the few-shot support-to-query design in which the first two observed weeks per district form the support set and the remainder is the query, which is precisely the regime an emerging outbreak presents. The leakage rules are non-negotiable and uniform across development diseases and holdout: scalers are fit on the training split only, graph structure is learned on the training split only, no future-derived features are admitted, and horizon-h targets never enter the model inputs.</w:t>
      </w:r>
    </w:p>
    <w:p w14:paraId="59AB9CFA">
      <w:pPr>
        <w:jc w:val="both"/>
      </w:pPr>
      <w:r>
        <w:rPr>
          <w:rFonts w:ascii="Times New Roman" w:hAnsi="Times New Roman"/>
          <w:b w:val="0"/>
          <w:i w:val="0"/>
          <w:sz w:val="22"/>
        </w:rPr>
        <w:t>Accuracy is reported separately at horizons of three, five, ten, and fifteen steps, never averaged across horizons, because error grows with the lead time and a single averaged figure would mask the degradation at longer horizons. Point accuracy uses root-mean-square error, mean absolute error, and Pearson correlation — the metric set of the reference epidemic-GNN papers, which keeps our numbers directly comparable to the literature — supplemented by the symmetric mean absolute percentage error as the scale-free summary that permits a fair cross-disease comparison. Peak-intensity error and peak-timing error are reported as well, since epidemic-forecasting reviewers routinely request them. The mean absolute percentage error and the coefficient of determination are deliberately kept out of the headline tables: the former is undefined and explodes on Ebola's near-zero-count weeks, and the latter adds little beyond RMSE and correlation and is relegated to a supplementary table. Per-disease tables are macro-averaged over nodes so that high-count hubs do not dominate the score, with a count-weighted variant reported alongside, since pure macro-averaging over many near-zero Ebola districts inflates scale-free metrics. Probabilistic performance is measured by the continuous ranked probability score together with coverage diagnostics — the prediction-interval coverage probability and the mean interval width at ninety per cent nominal coverage. Uncertainty is produced by conformal prediction applied post hoc and model-agnostically, using a time-series-valid variant such as ensemble batch prediction intervals (Xu and Xie, 2021) or adaptive conformal inference (Gibbs and Candès, 2021), because the exchangeability assumption underlying ordinary split-conformal prediction is violated by temporally dependent data. Every configuration is run over five seeds (42, 52, 62, 72, 82) and summarised as a mean and standard deviation, so that variance is reported rather than a single lucky run.</w:t>
      </w:r>
    </w:p>
    <w:p w14:paraId="70BFD435">
      <w:pPr>
        <w:jc w:val="both"/>
      </w:pPr>
      <w:r>
        <w:rPr>
          <w:rFonts w:ascii="Times New Roman" w:hAnsi="Times New Roman"/>
          <w:b w:val="0"/>
          <w:i w:val="0"/>
          <w:sz w:val="22"/>
        </w:rPr>
        <w:t>Statistical significance is assessed with a battery matched to the structure of the comparison, and never over the five seeds, which provide stability rather than the sample size a significance test requires. Pairwise per-series accuracy differences are tested with the Diebold–Mariano test (Diebold and Mariano, 1995) under the Harvey–Leybourne–Newbold small-sample correction (Harvey, Leybourne, and Newbold, 1997) with a heteroskedasticity- and autocorrelation-consistent variance, and, under the rolling scheme, with the estimation-aware conditional test of Giacomini and White (2006). Across the full model-by-dataset grid, a Friedman test with Holm or Nemenyi post-hoc comparisons and an accompanying critical-difference diagram summarises rank differences (Demšar, 2006), while Wilcoxon signed-rank tests and block or stationary bootstrap intervals on the metric differences provide a distribution-free robustness check. Multiplicity across the entire family of comparisons is controlled by the Holm and Benjamini–Hochberg procedures, and the same Diebold–Mariano machinery is extended to differentials of the continuous ranked probability score, alongside an explicit coverage test, so that the uncertainty results are held to the same evidentiary standard as the point forecasts.</w:t>
      </w:r>
    </w:p>
    <w:p w14:paraId="252843FF">
      <w:pPr>
        <w:keepNext/>
        <w:spacing w:before="120" w:after="130"/>
      </w:pPr>
      <w:r>
        <w:rPr>
          <w:rFonts w:ascii="Times New Roman" w:hAnsi="Times New Roman"/>
          <w:b/>
          <w:i w:val="0"/>
          <w:sz w:val="26"/>
        </w:rPr>
        <w:t>8 Empirical Benchmark: A Reproduce-then-Compare Protocol</w:t>
      </w:r>
    </w:p>
    <w:p w14:paraId="40D2CC39">
      <w:pPr>
        <w:jc w:val="both"/>
      </w:pPr>
      <w:r>
        <w:rPr>
          <w:rFonts w:ascii="Times New Roman" w:hAnsi="Times New Roman"/>
          <w:b w:val="0"/>
          <w:i w:val="0"/>
          <w:sz w:val="22"/>
        </w:rPr>
        <w:t>A competitive table records what each model was designed to do; it cannot, on its own, adjudicate which model is more accurate, because the published numbers were obtained under mutually incompatible datasets, splits, and metric definitions. To make any state-of-the-art claim defensible we therefore separate the evaluation into two stages. The first re-runs each candidate on the exact dataset shipped with its repository, under the authors' intended configuration, and asks only whether our environment reproduces the published figures at the identical horizon and metric definition. The second re-runs the models that clear this fidelity bar under one common protocol — the same data, preprocessing, splits, horizons, metrics, and seeds used for our own framework — so that every comparative number is produced by a single pipeline rather than transcribed from heterogeneous papers. This section delivers the first stage in full together with a frozen specification of the second; the head-to-head results the protocol is built to produce, including the few-shot Ebola case study, belong to the comparative phase that follows, and no comparative number is asserted here.</w:t>
      </w:r>
    </w:p>
    <w:p w14:paraId="19C965AE">
      <w:pPr>
        <w:keepNext/>
        <w:spacing w:before="80" w:after="80"/>
      </w:pPr>
      <w:r>
        <w:rPr>
          <w:rFonts w:ascii="Times New Roman" w:hAnsi="Times New Roman"/>
          <w:b/>
          <w:i w:val="0"/>
          <w:sz w:val="23"/>
        </w:rPr>
        <w:t>8.1 Stage one: reproduction fidelity</w:t>
      </w:r>
    </w:p>
    <w:p w14:paraId="68ED2767">
      <w:pPr>
        <w:jc w:val="both"/>
      </w:pPr>
      <w:r>
        <w:rPr>
          <w:rFonts w:ascii="Times New Roman" w:hAnsi="Times New Roman"/>
          <w:b w:val="0"/>
          <w:i w:val="0"/>
          <w:sz w:val="22"/>
        </w:rPr>
        <w:t>A model is treated as reproduced when its measured metric falls inside the paper's reported mean-and-standard-deviation band, or within roughly five per cent of a published point estimate, at the same dataset, forecast horizon, and metric definition; any mismatch in horizon, metric, or dataset marks the result not comparable rather than a pass or a failure. Under this rule, three of the epidemic and control models reproduce cleanly. EpiGNN, run on the US-Regions benchmark at a five-week horizon with the repository's configuration, attains a global root-mean-square error of 765.12 against the published 774 and a Pearson correlation of 0.851 against 0.842 — marginally better than the paper on both once the global metric is compared against the global figure rather than the per-region variant. MTGNN, retained as a generic multivariate control on the METR-LA traffic benchmark, shows the expected monotone growth of error with horizon at the correct scale after a full hundred-epoch run, confirming a healthy reproduction even though a formal published-claim comparison is out of scope for a traffic model. Table 4 reports these figures, and Table 5 gives the MepoGNN multi-step reproduction in detail.</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0"/>
        <w:gridCol w:w="1700"/>
        <w:gridCol w:w="1600"/>
        <w:gridCol w:w="1900"/>
        <w:gridCol w:w="1360"/>
        <w:gridCol w:w="1900"/>
      </w:tblGrid>
      <w:tr w14:paraId="1BEB0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00" w:type="dxa"/>
            <w:shd w:val="clear" w:color="auto" w:fill="D9D9D9"/>
            <w:tcMar>
              <w:top w:w="40" w:type="dxa"/>
              <w:left w:w="90" w:type="dxa"/>
              <w:bottom w:w="40" w:type="dxa"/>
              <w:right w:w="90" w:type="dxa"/>
            </w:tcMar>
            <w:vAlign w:val="center"/>
          </w:tcPr>
          <w:p w14:paraId="007572C5">
            <w:pPr>
              <w:spacing w:after="0"/>
              <w:jc w:val="left"/>
            </w:pPr>
            <w:r>
              <w:rPr>
                <w:rFonts w:ascii="Times New Roman" w:hAnsi="Times New Roman"/>
                <w:b/>
                <w:i w:val="0"/>
                <w:sz w:val="20"/>
              </w:rPr>
              <w:t>Model</w:t>
            </w:r>
          </w:p>
        </w:tc>
        <w:tc>
          <w:tcPr>
            <w:tcW w:w="1700" w:type="dxa"/>
            <w:shd w:val="clear" w:color="auto" w:fill="D9D9D9"/>
            <w:tcMar>
              <w:top w:w="40" w:type="dxa"/>
              <w:left w:w="90" w:type="dxa"/>
              <w:bottom w:w="40" w:type="dxa"/>
              <w:right w:w="90" w:type="dxa"/>
            </w:tcMar>
            <w:vAlign w:val="center"/>
          </w:tcPr>
          <w:p w14:paraId="7E37D4C0">
            <w:pPr>
              <w:spacing w:after="0"/>
              <w:jc w:val="left"/>
            </w:pPr>
            <w:r>
              <w:rPr>
                <w:rFonts w:ascii="Times New Roman" w:hAnsi="Times New Roman"/>
                <w:b/>
                <w:i w:val="0"/>
                <w:sz w:val="20"/>
              </w:rPr>
              <w:t>Dataset / horizon</w:t>
            </w:r>
          </w:p>
        </w:tc>
        <w:tc>
          <w:tcPr>
            <w:tcW w:w="1600" w:type="dxa"/>
            <w:shd w:val="clear" w:color="auto" w:fill="D9D9D9"/>
            <w:tcMar>
              <w:top w:w="40" w:type="dxa"/>
              <w:left w:w="90" w:type="dxa"/>
              <w:bottom w:w="40" w:type="dxa"/>
              <w:right w:w="90" w:type="dxa"/>
            </w:tcMar>
            <w:vAlign w:val="center"/>
          </w:tcPr>
          <w:p w14:paraId="676E6F74">
            <w:pPr>
              <w:spacing w:after="0"/>
              <w:jc w:val="left"/>
            </w:pPr>
            <w:r>
              <w:rPr>
                <w:rFonts w:ascii="Times New Roman" w:hAnsi="Times New Roman"/>
                <w:b/>
                <w:i w:val="0"/>
                <w:sz w:val="20"/>
              </w:rPr>
              <w:t>Metric</w:t>
            </w:r>
          </w:p>
        </w:tc>
        <w:tc>
          <w:tcPr>
            <w:tcW w:w="1900" w:type="dxa"/>
            <w:shd w:val="clear" w:color="auto" w:fill="D9D9D9"/>
            <w:tcMar>
              <w:top w:w="40" w:type="dxa"/>
              <w:left w:w="90" w:type="dxa"/>
              <w:bottom w:w="40" w:type="dxa"/>
              <w:right w:w="90" w:type="dxa"/>
            </w:tcMar>
            <w:vAlign w:val="center"/>
          </w:tcPr>
          <w:p w14:paraId="1F41EF96">
            <w:pPr>
              <w:spacing w:after="0"/>
              <w:jc w:val="left"/>
            </w:pPr>
            <w:r>
              <w:rPr>
                <w:rFonts w:ascii="Times New Roman" w:hAnsi="Times New Roman"/>
                <w:b/>
                <w:i w:val="0"/>
                <w:sz w:val="20"/>
              </w:rPr>
              <w:t>Our run</w:t>
            </w:r>
          </w:p>
        </w:tc>
        <w:tc>
          <w:tcPr>
            <w:tcW w:w="1360" w:type="dxa"/>
            <w:shd w:val="clear" w:color="auto" w:fill="D9D9D9"/>
            <w:tcMar>
              <w:top w:w="40" w:type="dxa"/>
              <w:left w:w="90" w:type="dxa"/>
              <w:bottom w:w="40" w:type="dxa"/>
              <w:right w:w="90" w:type="dxa"/>
            </w:tcMar>
            <w:vAlign w:val="center"/>
          </w:tcPr>
          <w:p w14:paraId="340C6856">
            <w:pPr>
              <w:spacing w:after="0"/>
              <w:jc w:val="left"/>
            </w:pPr>
            <w:r>
              <w:rPr>
                <w:rFonts w:ascii="Times New Roman" w:hAnsi="Times New Roman"/>
                <w:b/>
                <w:i w:val="0"/>
                <w:sz w:val="20"/>
              </w:rPr>
              <w:t>Paper</w:t>
            </w:r>
          </w:p>
        </w:tc>
        <w:tc>
          <w:tcPr>
            <w:tcW w:w="1900" w:type="dxa"/>
            <w:shd w:val="clear" w:color="auto" w:fill="D9D9D9"/>
            <w:tcMar>
              <w:top w:w="40" w:type="dxa"/>
              <w:left w:w="90" w:type="dxa"/>
              <w:bottom w:w="40" w:type="dxa"/>
              <w:right w:w="90" w:type="dxa"/>
            </w:tcMar>
            <w:vAlign w:val="center"/>
          </w:tcPr>
          <w:p w14:paraId="093A8453">
            <w:pPr>
              <w:spacing w:after="0"/>
              <w:jc w:val="left"/>
            </w:pPr>
            <w:r>
              <w:rPr>
                <w:rFonts w:ascii="Times New Roman" w:hAnsi="Times New Roman"/>
                <w:b/>
                <w:i w:val="0"/>
                <w:sz w:val="20"/>
              </w:rPr>
              <w:t>Deviation</w:t>
            </w:r>
          </w:p>
        </w:tc>
      </w:tr>
      <w:tr w14:paraId="68C16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Mar>
              <w:top w:w="40" w:type="dxa"/>
              <w:left w:w="90" w:type="dxa"/>
              <w:bottom w:w="40" w:type="dxa"/>
              <w:right w:w="90" w:type="dxa"/>
            </w:tcMar>
          </w:tcPr>
          <w:p w14:paraId="3887D2ED">
            <w:pPr>
              <w:spacing w:after="0"/>
              <w:jc w:val="left"/>
            </w:pPr>
            <w:r>
              <w:rPr>
                <w:rFonts w:ascii="Times New Roman" w:hAnsi="Times New Roman"/>
                <w:b w:val="0"/>
                <w:i w:val="0"/>
                <w:sz w:val="19"/>
              </w:rPr>
              <w:t>EpiGNN</w:t>
            </w:r>
          </w:p>
        </w:tc>
        <w:tc>
          <w:tcPr>
            <w:tcW w:w="1700" w:type="dxa"/>
            <w:tcMar>
              <w:top w:w="40" w:type="dxa"/>
              <w:left w:w="90" w:type="dxa"/>
              <w:bottom w:w="40" w:type="dxa"/>
              <w:right w:w="90" w:type="dxa"/>
            </w:tcMar>
          </w:tcPr>
          <w:p w14:paraId="7BA17C52">
            <w:pPr>
              <w:spacing w:after="0"/>
              <w:jc w:val="left"/>
            </w:pPr>
            <w:r>
              <w:rPr>
                <w:rFonts w:ascii="Times New Roman" w:hAnsi="Times New Roman"/>
                <w:b w:val="0"/>
                <w:i w:val="0"/>
                <w:sz w:val="19"/>
              </w:rPr>
              <w:t>US-Regions, h = 5</w:t>
            </w:r>
          </w:p>
        </w:tc>
        <w:tc>
          <w:tcPr>
            <w:tcW w:w="1600" w:type="dxa"/>
            <w:tcMar>
              <w:top w:w="40" w:type="dxa"/>
              <w:left w:w="90" w:type="dxa"/>
              <w:bottom w:w="40" w:type="dxa"/>
              <w:right w:w="90" w:type="dxa"/>
            </w:tcMar>
          </w:tcPr>
          <w:p w14:paraId="51ACF2BD">
            <w:pPr>
              <w:spacing w:after="0"/>
              <w:jc w:val="left"/>
            </w:pPr>
            <w:r>
              <w:rPr>
                <w:rFonts w:ascii="Times New Roman" w:hAnsi="Times New Roman"/>
                <w:b w:val="0"/>
                <w:i w:val="0"/>
                <w:sz w:val="19"/>
              </w:rPr>
              <w:t>RMSE</w:t>
            </w:r>
          </w:p>
        </w:tc>
        <w:tc>
          <w:tcPr>
            <w:tcW w:w="1900" w:type="dxa"/>
            <w:tcMar>
              <w:top w:w="40" w:type="dxa"/>
              <w:left w:w="90" w:type="dxa"/>
              <w:bottom w:w="40" w:type="dxa"/>
              <w:right w:w="90" w:type="dxa"/>
            </w:tcMar>
          </w:tcPr>
          <w:p w14:paraId="26F25CF7">
            <w:pPr>
              <w:spacing w:after="0"/>
              <w:jc w:val="left"/>
            </w:pPr>
            <w:r>
              <w:rPr>
                <w:rFonts w:ascii="Times New Roman" w:hAnsi="Times New Roman"/>
                <w:b w:val="0"/>
                <w:i w:val="0"/>
                <w:sz w:val="19"/>
              </w:rPr>
              <w:t>765.12</w:t>
            </w:r>
          </w:p>
        </w:tc>
        <w:tc>
          <w:tcPr>
            <w:tcW w:w="1360" w:type="dxa"/>
            <w:tcMar>
              <w:top w:w="40" w:type="dxa"/>
              <w:left w:w="90" w:type="dxa"/>
              <w:bottom w:w="40" w:type="dxa"/>
              <w:right w:w="90" w:type="dxa"/>
            </w:tcMar>
          </w:tcPr>
          <w:p w14:paraId="13712BA5">
            <w:pPr>
              <w:spacing w:after="0"/>
              <w:jc w:val="left"/>
            </w:pPr>
            <w:r>
              <w:rPr>
                <w:rFonts w:ascii="Times New Roman" w:hAnsi="Times New Roman"/>
                <w:b w:val="0"/>
                <w:i w:val="0"/>
                <w:sz w:val="19"/>
              </w:rPr>
              <w:t>774</w:t>
            </w:r>
          </w:p>
        </w:tc>
        <w:tc>
          <w:tcPr>
            <w:tcW w:w="1900" w:type="dxa"/>
            <w:tcMar>
              <w:top w:w="40" w:type="dxa"/>
              <w:left w:w="90" w:type="dxa"/>
              <w:bottom w:w="40" w:type="dxa"/>
              <w:right w:w="90" w:type="dxa"/>
            </w:tcMar>
          </w:tcPr>
          <w:p w14:paraId="7D69145B">
            <w:pPr>
              <w:spacing w:after="0"/>
              <w:jc w:val="left"/>
            </w:pPr>
            <w:r>
              <w:rPr>
                <w:rFonts w:ascii="Times New Roman" w:hAnsi="Times New Roman"/>
                <w:b w:val="0"/>
                <w:i w:val="0"/>
                <w:sz w:val="19"/>
              </w:rPr>
              <w:t>−1.1%  (better)</w:t>
            </w:r>
          </w:p>
        </w:tc>
      </w:tr>
      <w:tr w14:paraId="715DB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Mar>
              <w:top w:w="40" w:type="dxa"/>
              <w:left w:w="90" w:type="dxa"/>
              <w:bottom w:w="40" w:type="dxa"/>
              <w:right w:w="90" w:type="dxa"/>
            </w:tcMar>
          </w:tcPr>
          <w:p w14:paraId="08490EEF">
            <w:pPr>
              <w:spacing w:after="0"/>
              <w:jc w:val="left"/>
            </w:pPr>
            <w:r>
              <w:rPr>
                <w:rFonts w:ascii="Times New Roman" w:hAnsi="Times New Roman"/>
                <w:b w:val="0"/>
                <w:i w:val="0"/>
                <w:sz w:val="19"/>
              </w:rPr>
              <w:t>EpiGNN</w:t>
            </w:r>
          </w:p>
        </w:tc>
        <w:tc>
          <w:tcPr>
            <w:tcW w:w="1700" w:type="dxa"/>
            <w:tcMar>
              <w:top w:w="40" w:type="dxa"/>
              <w:left w:w="90" w:type="dxa"/>
              <w:bottom w:w="40" w:type="dxa"/>
              <w:right w:w="90" w:type="dxa"/>
            </w:tcMar>
          </w:tcPr>
          <w:p w14:paraId="368FFC96">
            <w:pPr>
              <w:spacing w:after="0"/>
              <w:jc w:val="left"/>
            </w:pPr>
            <w:r>
              <w:rPr>
                <w:rFonts w:ascii="Times New Roman" w:hAnsi="Times New Roman"/>
                <w:b w:val="0"/>
                <w:i w:val="0"/>
                <w:sz w:val="19"/>
              </w:rPr>
              <w:t>US-Regions, h = 5</w:t>
            </w:r>
          </w:p>
        </w:tc>
        <w:tc>
          <w:tcPr>
            <w:tcW w:w="1600" w:type="dxa"/>
            <w:tcMar>
              <w:top w:w="40" w:type="dxa"/>
              <w:left w:w="90" w:type="dxa"/>
              <w:bottom w:w="40" w:type="dxa"/>
              <w:right w:w="90" w:type="dxa"/>
            </w:tcMar>
          </w:tcPr>
          <w:p w14:paraId="6B103410">
            <w:pPr>
              <w:spacing w:after="0"/>
              <w:jc w:val="left"/>
            </w:pPr>
            <w:r>
              <w:rPr>
                <w:rFonts w:ascii="Times New Roman" w:hAnsi="Times New Roman"/>
                <w:b w:val="0"/>
                <w:i w:val="0"/>
                <w:sz w:val="19"/>
              </w:rPr>
              <w:t>PCC</w:t>
            </w:r>
          </w:p>
        </w:tc>
        <w:tc>
          <w:tcPr>
            <w:tcW w:w="1900" w:type="dxa"/>
            <w:tcMar>
              <w:top w:w="40" w:type="dxa"/>
              <w:left w:w="90" w:type="dxa"/>
              <w:bottom w:w="40" w:type="dxa"/>
              <w:right w:w="90" w:type="dxa"/>
            </w:tcMar>
          </w:tcPr>
          <w:p w14:paraId="13125BEA">
            <w:pPr>
              <w:spacing w:after="0"/>
              <w:jc w:val="left"/>
            </w:pPr>
            <w:r>
              <w:rPr>
                <w:rFonts w:ascii="Times New Roman" w:hAnsi="Times New Roman"/>
                <w:b w:val="0"/>
                <w:i w:val="0"/>
                <w:sz w:val="19"/>
              </w:rPr>
              <w:t>0.8509</w:t>
            </w:r>
          </w:p>
        </w:tc>
        <w:tc>
          <w:tcPr>
            <w:tcW w:w="1360" w:type="dxa"/>
            <w:tcMar>
              <w:top w:w="40" w:type="dxa"/>
              <w:left w:w="90" w:type="dxa"/>
              <w:bottom w:w="40" w:type="dxa"/>
              <w:right w:w="90" w:type="dxa"/>
            </w:tcMar>
          </w:tcPr>
          <w:p w14:paraId="324B0ED2">
            <w:pPr>
              <w:spacing w:after="0"/>
              <w:jc w:val="left"/>
            </w:pPr>
            <w:r>
              <w:rPr>
                <w:rFonts w:ascii="Times New Roman" w:hAnsi="Times New Roman"/>
                <w:b w:val="0"/>
                <w:i w:val="0"/>
                <w:sz w:val="19"/>
              </w:rPr>
              <w:t>0.842</w:t>
            </w:r>
          </w:p>
        </w:tc>
        <w:tc>
          <w:tcPr>
            <w:tcW w:w="1900" w:type="dxa"/>
            <w:tcMar>
              <w:top w:w="40" w:type="dxa"/>
              <w:left w:w="90" w:type="dxa"/>
              <w:bottom w:w="40" w:type="dxa"/>
              <w:right w:w="90" w:type="dxa"/>
            </w:tcMar>
          </w:tcPr>
          <w:p w14:paraId="2873E214">
            <w:pPr>
              <w:spacing w:after="0"/>
              <w:jc w:val="left"/>
            </w:pPr>
            <w:r>
              <w:rPr>
                <w:rFonts w:ascii="Times New Roman" w:hAnsi="Times New Roman"/>
                <w:b w:val="0"/>
                <w:i w:val="0"/>
                <w:sz w:val="19"/>
              </w:rPr>
              <w:t>+1.0%  (better)</w:t>
            </w:r>
          </w:p>
        </w:tc>
      </w:tr>
      <w:tr w14:paraId="0D5B1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Mar>
              <w:top w:w="40" w:type="dxa"/>
              <w:left w:w="90" w:type="dxa"/>
              <w:bottom w:w="40" w:type="dxa"/>
              <w:right w:w="90" w:type="dxa"/>
            </w:tcMar>
          </w:tcPr>
          <w:p w14:paraId="3B0ACC66">
            <w:pPr>
              <w:spacing w:after="0"/>
              <w:jc w:val="left"/>
            </w:pPr>
            <w:r>
              <w:rPr>
                <w:rFonts w:ascii="Times New Roman" w:hAnsi="Times New Roman"/>
                <w:b w:val="0"/>
                <w:i w:val="0"/>
                <w:sz w:val="19"/>
              </w:rPr>
              <w:t>MTGNN</w:t>
            </w:r>
          </w:p>
        </w:tc>
        <w:tc>
          <w:tcPr>
            <w:tcW w:w="1700" w:type="dxa"/>
            <w:tcMar>
              <w:top w:w="40" w:type="dxa"/>
              <w:left w:w="90" w:type="dxa"/>
              <w:bottom w:w="40" w:type="dxa"/>
              <w:right w:w="90" w:type="dxa"/>
            </w:tcMar>
          </w:tcPr>
          <w:p w14:paraId="420FF759">
            <w:pPr>
              <w:spacing w:after="0"/>
              <w:jc w:val="left"/>
            </w:pPr>
            <w:r>
              <w:rPr>
                <w:rFonts w:ascii="Times New Roman" w:hAnsi="Times New Roman"/>
                <w:b w:val="0"/>
                <w:i w:val="0"/>
                <w:sz w:val="19"/>
              </w:rPr>
              <w:t>METR-LA, h = 3</w:t>
            </w:r>
          </w:p>
        </w:tc>
        <w:tc>
          <w:tcPr>
            <w:tcW w:w="1600" w:type="dxa"/>
            <w:tcMar>
              <w:top w:w="40" w:type="dxa"/>
              <w:left w:w="90" w:type="dxa"/>
              <w:bottom w:w="40" w:type="dxa"/>
              <w:right w:w="90" w:type="dxa"/>
            </w:tcMar>
          </w:tcPr>
          <w:p w14:paraId="76D21BCF">
            <w:pPr>
              <w:spacing w:after="0"/>
              <w:jc w:val="left"/>
            </w:pPr>
            <w:r>
              <w:rPr>
                <w:rFonts w:ascii="Times New Roman" w:hAnsi="Times New Roman"/>
                <w:b w:val="0"/>
                <w:i w:val="0"/>
                <w:sz w:val="19"/>
              </w:rPr>
              <w:t>MAE / RMSE / MAPE</w:t>
            </w:r>
          </w:p>
        </w:tc>
        <w:tc>
          <w:tcPr>
            <w:tcW w:w="1900" w:type="dxa"/>
            <w:tcMar>
              <w:top w:w="40" w:type="dxa"/>
              <w:left w:w="90" w:type="dxa"/>
              <w:bottom w:w="40" w:type="dxa"/>
              <w:right w:w="90" w:type="dxa"/>
            </w:tcMar>
          </w:tcPr>
          <w:p w14:paraId="4E7FFCC8">
            <w:pPr>
              <w:spacing w:after="0"/>
              <w:jc w:val="left"/>
            </w:pPr>
            <w:r>
              <w:rPr>
                <w:rFonts w:ascii="Times New Roman" w:hAnsi="Times New Roman"/>
                <w:b w:val="0"/>
                <w:i w:val="0"/>
                <w:sz w:val="19"/>
              </w:rPr>
              <w:t>2.678 / 5.155 / 6.80%</w:t>
            </w:r>
          </w:p>
        </w:tc>
        <w:tc>
          <w:tcPr>
            <w:tcW w:w="1360" w:type="dxa"/>
            <w:tcMar>
              <w:top w:w="40" w:type="dxa"/>
              <w:left w:w="90" w:type="dxa"/>
              <w:bottom w:w="40" w:type="dxa"/>
              <w:right w:w="90" w:type="dxa"/>
            </w:tcMar>
          </w:tcPr>
          <w:p w14:paraId="30852669">
            <w:pPr>
              <w:spacing w:after="0"/>
              <w:jc w:val="left"/>
            </w:pPr>
            <w:r>
              <w:rPr>
                <w:rFonts w:ascii="Times New Roman" w:hAnsi="Times New Roman"/>
                <w:b w:val="0"/>
                <w:i w:val="0"/>
                <w:sz w:val="19"/>
              </w:rPr>
              <w:t>— (control)</w:t>
            </w:r>
          </w:p>
        </w:tc>
        <w:tc>
          <w:tcPr>
            <w:tcW w:w="1900" w:type="dxa"/>
            <w:tcMar>
              <w:top w:w="40" w:type="dxa"/>
              <w:left w:w="90" w:type="dxa"/>
              <w:bottom w:w="40" w:type="dxa"/>
              <w:right w:w="90" w:type="dxa"/>
            </w:tcMar>
          </w:tcPr>
          <w:p w14:paraId="68730057">
            <w:pPr>
              <w:spacing w:after="0"/>
              <w:jc w:val="left"/>
            </w:pPr>
            <w:r>
              <w:rPr>
                <w:rFonts w:ascii="Times New Roman" w:hAnsi="Times New Roman"/>
                <w:b w:val="0"/>
                <w:i w:val="0"/>
                <w:sz w:val="19"/>
              </w:rPr>
              <w:t>healthy scale</w:t>
            </w:r>
          </w:p>
        </w:tc>
      </w:tr>
      <w:tr w14:paraId="53526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Mar>
              <w:top w:w="40" w:type="dxa"/>
              <w:left w:w="90" w:type="dxa"/>
              <w:bottom w:w="40" w:type="dxa"/>
              <w:right w:w="90" w:type="dxa"/>
            </w:tcMar>
          </w:tcPr>
          <w:p w14:paraId="72FA51C1">
            <w:pPr>
              <w:spacing w:after="0"/>
              <w:jc w:val="left"/>
            </w:pPr>
            <w:r>
              <w:rPr>
                <w:rFonts w:ascii="Times New Roman" w:hAnsi="Times New Roman"/>
                <w:b w:val="0"/>
                <w:i w:val="0"/>
                <w:sz w:val="19"/>
              </w:rPr>
              <w:t>MTGNN</w:t>
            </w:r>
          </w:p>
        </w:tc>
        <w:tc>
          <w:tcPr>
            <w:tcW w:w="1700" w:type="dxa"/>
            <w:tcMar>
              <w:top w:w="40" w:type="dxa"/>
              <w:left w:w="90" w:type="dxa"/>
              <w:bottom w:w="40" w:type="dxa"/>
              <w:right w:w="90" w:type="dxa"/>
            </w:tcMar>
          </w:tcPr>
          <w:p w14:paraId="75E08DC2">
            <w:pPr>
              <w:spacing w:after="0"/>
              <w:jc w:val="left"/>
            </w:pPr>
            <w:r>
              <w:rPr>
                <w:rFonts w:ascii="Times New Roman" w:hAnsi="Times New Roman"/>
                <w:b w:val="0"/>
                <w:i w:val="0"/>
                <w:sz w:val="19"/>
              </w:rPr>
              <w:t>METR-LA, h = 6</w:t>
            </w:r>
          </w:p>
        </w:tc>
        <w:tc>
          <w:tcPr>
            <w:tcW w:w="1600" w:type="dxa"/>
            <w:tcMar>
              <w:top w:w="40" w:type="dxa"/>
              <w:left w:w="90" w:type="dxa"/>
              <w:bottom w:w="40" w:type="dxa"/>
              <w:right w:w="90" w:type="dxa"/>
            </w:tcMar>
          </w:tcPr>
          <w:p w14:paraId="27C9326B">
            <w:pPr>
              <w:spacing w:after="0"/>
              <w:jc w:val="left"/>
            </w:pPr>
            <w:r>
              <w:rPr>
                <w:rFonts w:ascii="Times New Roman" w:hAnsi="Times New Roman"/>
                <w:b w:val="0"/>
                <w:i w:val="0"/>
                <w:sz w:val="19"/>
              </w:rPr>
              <w:t>MAE / RMSE / MAPE</w:t>
            </w:r>
          </w:p>
        </w:tc>
        <w:tc>
          <w:tcPr>
            <w:tcW w:w="1900" w:type="dxa"/>
            <w:tcMar>
              <w:top w:w="40" w:type="dxa"/>
              <w:left w:w="90" w:type="dxa"/>
              <w:bottom w:w="40" w:type="dxa"/>
              <w:right w:w="90" w:type="dxa"/>
            </w:tcMar>
          </w:tcPr>
          <w:p w14:paraId="0679F084">
            <w:pPr>
              <w:spacing w:after="0"/>
              <w:jc w:val="left"/>
            </w:pPr>
            <w:r>
              <w:rPr>
                <w:rFonts w:ascii="Times New Roman" w:hAnsi="Times New Roman"/>
                <w:b w:val="0"/>
                <w:i w:val="0"/>
                <w:sz w:val="19"/>
              </w:rPr>
              <w:t>3.029 / 6.127 / 8.17%</w:t>
            </w:r>
          </w:p>
        </w:tc>
        <w:tc>
          <w:tcPr>
            <w:tcW w:w="1360" w:type="dxa"/>
            <w:tcMar>
              <w:top w:w="40" w:type="dxa"/>
              <w:left w:w="90" w:type="dxa"/>
              <w:bottom w:w="40" w:type="dxa"/>
              <w:right w:w="90" w:type="dxa"/>
            </w:tcMar>
          </w:tcPr>
          <w:p w14:paraId="15C64D3F">
            <w:pPr>
              <w:spacing w:after="0"/>
              <w:jc w:val="left"/>
            </w:pPr>
            <w:r>
              <w:rPr>
                <w:rFonts w:ascii="Times New Roman" w:hAnsi="Times New Roman"/>
                <w:b w:val="0"/>
                <w:i w:val="0"/>
                <w:sz w:val="19"/>
              </w:rPr>
              <w:t>— (control)</w:t>
            </w:r>
          </w:p>
        </w:tc>
        <w:tc>
          <w:tcPr>
            <w:tcW w:w="1900" w:type="dxa"/>
            <w:tcMar>
              <w:top w:w="40" w:type="dxa"/>
              <w:left w:w="90" w:type="dxa"/>
              <w:bottom w:w="40" w:type="dxa"/>
              <w:right w:w="90" w:type="dxa"/>
            </w:tcMar>
          </w:tcPr>
          <w:p w14:paraId="120C74B7">
            <w:pPr>
              <w:spacing w:after="0"/>
              <w:jc w:val="left"/>
            </w:pPr>
            <w:r>
              <w:rPr>
                <w:rFonts w:ascii="Times New Roman" w:hAnsi="Times New Roman"/>
                <w:b w:val="0"/>
                <w:i w:val="0"/>
                <w:sz w:val="19"/>
              </w:rPr>
              <w:t>monotone</w:t>
            </w:r>
          </w:p>
        </w:tc>
      </w:tr>
      <w:tr w14:paraId="22F49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Mar>
              <w:top w:w="40" w:type="dxa"/>
              <w:left w:w="90" w:type="dxa"/>
              <w:bottom w:w="40" w:type="dxa"/>
              <w:right w:w="90" w:type="dxa"/>
            </w:tcMar>
          </w:tcPr>
          <w:p w14:paraId="3FA3571A">
            <w:pPr>
              <w:spacing w:after="0"/>
              <w:jc w:val="left"/>
            </w:pPr>
            <w:r>
              <w:rPr>
                <w:rFonts w:ascii="Times New Roman" w:hAnsi="Times New Roman"/>
                <w:b w:val="0"/>
                <w:i w:val="0"/>
                <w:sz w:val="19"/>
              </w:rPr>
              <w:t>MTGNN</w:t>
            </w:r>
          </w:p>
        </w:tc>
        <w:tc>
          <w:tcPr>
            <w:tcW w:w="1700" w:type="dxa"/>
            <w:tcMar>
              <w:top w:w="40" w:type="dxa"/>
              <w:left w:w="90" w:type="dxa"/>
              <w:bottom w:w="40" w:type="dxa"/>
              <w:right w:w="90" w:type="dxa"/>
            </w:tcMar>
          </w:tcPr>
          <w:p w14:paraId="12C047D6">
            <w:pPr>
              <w:spacing w:after="0"/>
              <w:jc w:val="left"/>
            </w:pPr>
            <w:r>
              <w:rPr>
                <w:rFonts w:ascii="Times New Roman" w:hAnsi="Times New Roman"/>
                <w:b w:val="0"/>
                <w:i w:val="0"/>
                <w:sz w:val="19"/>
              </w:rPr>
              <w:t>METR-LA, h = 12</w:t>
            </w:r>
          </w:p>
        </w:tc>
        <w:tc>
          <w:tcPr>
            <w:tcW w:w="1600" w:type="dxa"/>
            <w:tcMar>
              <w:top w:w="40" w:type="dxa"/>
              <w:left w:w="90" w:type="dxa"/>
              <w:bottom w:w="40" w:type="dxa"/>
              <w:right w:w="90" w:type="dxa"/>
            </w:tcMar>
          </w:tcPr>
          <w:p w14:paraId="17496D04">
            <w:pPr>
              <w:spacing w:after="0"/>
              <w:jc w:val="left"/>
            </w:pPr>
            <w:r>
              <w:rPr>
                <w:rFonts w:ascii="Times New Roman" w:hAnsi="Times New Roman"/>
                <w:b w:val="0"/>
                <w:i w:val="0"/>
                <w:sz w:val="19"/>
              </w:rPr>
              <w:t>MAE / RMSE / MAPE</w:t>
            </w:r>
          </w:p>
        </w:tc>
        <w:tc>
          <w:tcPr>
            <w:tcW w:w="1900" w:type="dxa"/>
            <w:tcMar>
              <w:top w:w="40" w:type="dxa"/>
              <w:left w:w="90" w:type="dxa"/>
              <w:bottom w:w="40" w:type="dxa"/>
              <w:right w:w="90" w:type="dxa"/>
            </w:tcMar>
          </w:tcPr>
          <w:p w14:paraId="2AC0BDDA">
            <w:pPr>
              <w:spacing w:after="0"/>
              <w:jc w:val="left"/>
            </w:pPr>
            <w:r>
              <w:rPr>
                <w:rFonts w:ascii="Times New Roman" w:hAnsi="Times New Roman"/>
                <w:b w:val="0"/>
                <w:i w:val="0"/>
                <w:sz w:val="19"/>
              </w:rPr>
              <w:t>3.475 / 7.184 / 10.02%</w:t>
            </w:r>
          </w:p>
        </w:tc>
        <w:tc>
          <w:tcPr>
            <w:tcW w:w="1360" w:type="dxa"/>
            <w:tcMar>
              <w:top w:w="40" w:type="dxa"/>
              <w:left w:w="90" w:type="dxa"/>
              <w:bottom w:w="40" w:type="dxa"/>
              <w:right w:w="90" w:type="dxa"/>
            </w:tcMar>
          </w:tcPr>
          <w:p w14:paraId="35C49A91">
            <w:pPr>
              <w:spacing w:after="0"/>
              <w:jc w:val="left"/>
            </w:pPr>
            <w:r>
              <w:rPr>
                <w:rFonts w:ascii="Times New Roman" w:hAnsi="Times New Roman"/>
                <w:b w:val="0"/>
                <w:i w:val="0"/>
                <w:sz w:val="19"/>
              </w:rPr>
              <w:t>— (control)</w:t>
            </w:r>
          </w:p>
        </w:tc>
        <w:tc>
          <w:tcPr>
            <w:tcW w:w="1900" w:type="dxa"/>
            <w:tcMar>
              <w:top w:w="40" w:type="dxa"/>
              <w:left w:w="90" w:type="dxa"/>
              <w:bottom w:w="40" w:type="dxa"/>
              <w:right w:w="90" w:type="dxa"/>
            </w:tcMar>
          </w:tcPr>
          <w:p w14:paraId="12D273FE">
            <w:pPr>
              <w:spacing w:after="0"/>
              <w:jc w:val="left"/>
            </w:pPr>
            <w:r>
              <w:rPr>
                <w:rFonts w:ascii="Times New Roman" w:hAnsi="Times New Roman"/>
                <w:b w:val="0"/>
                <w:i w:val="0"/>
                <w:sz w:val="19"/>
              </w:rPr>
              <w:t>monotone</w:t>
            </w:r>
          </w:p>
        </w:tc>
      </w:tr>
    </w:tbl>
    <w:p w14:paraId="6FF56C4A">
      <w:pPr>
        <w:spacing w:before="60" w:after="160"/>
        <w:jc w:val="left"/>
      </w:pPr>
      <w:r>
        <w:rPr>
          <w:rFonts w:ascii="Times New Roman" w:hAnsi="Times New Roman"/>
          <w:b/>
          <w:i w:val="0"/>
          <w:sz w:val="19"/>
        </w:rPr>
        <w:t xml:space="preserve">Table 4. </w:t>
      </w:r>
      <w:r>
        <w:rPr>
          <w:rFonts w:ascii="Times New Roman" w:hAnsi="Times New Roman"/>
          <w:b w:val="0"/>
          <w:i/>
          <w:sz w:val="19"/>
        </w:rPr>
        <w:t>Point-forecast reproductions that clear the fidelity bar. Deviation is signed relative to the published figure; negative RMSE and positive PCC deviations are improvements. MTGNN is a traffic control, so no published-claim comparison applies.</w:t>
      </w:r>
    </w:p>
    <w:p w14:paraId="7A1BFA78">
      <w:pPr>
        <w:jc w:val="both"/>
      </w:pPr>
      <w:r>
        <w:rPr>
          <w:rFonts w:ascii="Times New Roman" w:hAnsi="Times New Roman"/>
          <w:b w:val="0"/>
          <w:i w:val="0"/>
          <w:sz w:val="22"/>
        </w:rPr>
        <w:t>MepoGNN, in its dynamic-graph configuration and run on the forty-seven-prefecture Japan COVID-19 data, lands inside or better than the published standard-deviation band at every three-, seven-, and fourteen-day step and in aggregate, which is the intended bar for a single-seed run compared against a multi-seed mean; the logged fraction is converted to percentage points to match the published convention for the mean absolute percentage error.</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1980"/>
        <w:gridCol w:w="1820"/>
        <w:gridCol w:w="1820"/>
        <w:gridCol w:w="1820"/>
        <w:gridCol w:w="1560"/>
      </w:tblGrid>
      <w:tr w14:paraId="63ED7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00" w:type="dxa"/>
            <w:shd w:val="clear" w:color="auto" w:fill="D9D9D9"/>
            <w:tcMar>
              <w:top w:w="40" w:type="dxa"/>
              <w:left w:w="90" w:type="dxa"/>
              <w:bottom w:w="40" w:type="dxa"/>
              <w:right w:w="90" w:type="dxa"/>
            </w:tcMar>
            <w:vAlign w:val="center"/>
          </w:tcPr>
          <w:p w14:paraId="73ADC76E">
            <w:pPr>
              <w:spacing w:after="0"/>
              <w:jc w:val="left"/>
            </w:pPr>
            <w:r>
              <w:rPr>
                <w:rFonts w:ascii="Times New Roman" w:hAnsi="Times New Roman"/>
                <w:b/>
                <w:i w:val="0"/>
                <w:sz w:val="20"/>
              </w:rPr>
              <w:t>Horizon</w:t>
            </w:r>
          </w:p>
        </w:tc>
        <w:tc>
          <w:tcPr>
            <w:tcW w:w="1980" w:type="dxa"/>
            <w:shd w:val="clear" w:color="auto" w:fill="D9D9D9"/>
            <w:tcMar>
              <w:top w:w="40" w:type="dxa"/>
              <w:left w:w="90" w:type="dxa"/>
              <w:bottom w:w="40" w:type="dxa"/>
              <w:right w:w="90" w:type="dxa"/>
            </w:tcMar>
            <w:vAlign w:val="center"/>
          </w:tcPr>
          <w:p w14:paraId="4FAFFCF7">
            <w:pPr>
              <w:spacing w:after="0"/>
              <w:jc w:val="left"/>
            </w:pPr>
            <w:r>
              <w:rPr>
                <w:rFonts w:ascii="Times New Roman" w:hAnsi="Times New Roman"/>
                <w:b/>
                <w:i w:val="0"/>
                <w:sz w:val="20"/>
              </w:rPr>
              <w:t>RMSE (ours / paper)</w:t>
            </w:r>
          </w:p>
        </w:tc>
        <w:tc>
          <w:tcPr>
            <w:tcW w:w="1820" w:type="dxa"/>
            <w:shd w:val="clear" w:color="auto" w:fill="D9D9D9"/>
            <w:tcMar>
              <w:top w:w="40" w:type="dxa"/>
              <w:left w:w="90" w:type="dxa"/>
              <w:bottom w:w="40" w:type="dxa"/>
              <w:right w:w="90" w:type="dxa"/>
            </w:tcMar>
            <w:vAlign w:val="center"/>
          </w:tcPr>
          <w:p w14:paraId="10B50D65">
            <w:pPr>
              <w:spacing w:after="0"/>
              <w:jc w:val="left"/>
            </w:pPr>
            <w:r>
              <w:rPr>
                <w:rFonts w:ascii="Times New Roman" w:hAnsi="Times New Roman"/>
                <w:b/>
                <w:i w:val="0"/>
                <w:sz w:val="20"/>
              </w:rPr>
              <w:t>MAE (ours / paper)</w:t>
            </w:r>
          </w:p>
        </w:tc>
        <w:tc>
          <w:tcPr>
            <w:tcW w:w="1820" w:type="dxa"/>
            <w:shd w:val="clear" w:color="auto" w:fill="D9D9D9"/>
            <w:tcMar>
              <w:top w:w="40" w:type="dxa"/>
              <w:left w:w="90" w:type="dxa"/>
              <w:bottom w:w="40" w:type="dxa"/>
              <w:right w:w="90" w:type="dxa"/>
            </w:tcMar>
            <w:vAlign w:val="center"/>
          </w:tcPr>
          <w:p w14:paraId="31F0735C">
            <w:pPr>
              <w:spacing w:after="0"/>
              <w:jc w:val="left"/>
            </w:pPr>
            <w:r>
              <w:rPr>
                <w:rFonts w:ascii="Times New Roman" w:hAnsi="Times New Roman"/>
                <w:b/>
                <w:i w:val="0"/>
                <w:sz w:val="20"/>
              </w:rPr>
              <w:t>MAPE (ours / paper)</w:t>
            </w:r>
          </w:p>
        </w:tc>
        <w:tc>
          <w:tcPr>
            <w:tcW w:w="1820" w:type="dxa"/>
            <w:shd w:val="clear" w:color="auto" w:fill="D9D9D9"/>
            <w:tcMar>
              <w:top w:w="40" w:type="dxa"/>
              <w:left w:w="90" w:type="dxa"/>
              <w:bottom w:w="40" w:type="dxa"/>
              <w:right w:w="90" w:type="dxa"/>
            </w:tcMar>
            <w:vAlign w:val="center"/>
          </w:tcPr>
          <w:p w14:paraId="2C868B12">
            <w:pPr>
              <w:spacing w:after="0"/>
              <w:jc w:val="left"/>
            </w:pPr>
            <w:r>
              <w:rPr>
                <w:rFonts w:ascii="Times New Roman" w:hAnsi="Times New Roman"/>
                <w:b/>
                <w:i w:val="0"/>
                <w:sz w:val="20"/>
              </w:rPr>
              <w:t>RAE (ours / paper)</w:t>
            </w:r>
          </w:p>
        </w:tc>
        <w:tc>
          <w:tcPr>
            <w:tcW w:w="1560" w:type="dxa"/>
            <w:shd w:val="clear" w:color="auto" w:fill="D9D9D9"/>
            <w:tcMar>
              <w:top w:w="40" w:type="dxa"/>
              <w:left w:w="90" w:type="dxa"/>
              <w:bottom w:w="40" w:type="dxa"/>
              <w:right w:w="90" w:type="dxa"/>
            </w:tcMar>
            <w:vAlign w:val="center"/>
          </w:tcPr>
          <w:p w14:paraId="619CF448">
            <w:pPr>
              <w:spacing w:after="0"/>
              <w:jc w:val="left"/>
            </w:pPr>
            <w:r>
              <w:rPr>
                <w:rFonts w:ascii="Times New Roman" w:hAnsi="Times New Roman"/>
                <w:b/>
                <w:i w:val="0"/>
                <w:sz w:val="20"/>
              </w:rPr>
              <w:t>In band?</w:t>
            </w:r>
          </w:p>
        </w:tc>
      </w:tr>
      <w:tr w14:paraId="63BBF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Mar>
              <w:top w:w="40" w:type="dxa"/>
              <w:left w:w="90" w:type="dxa"/>
              <w:bottom w:w="40" w:type="dxa"/>
              <w:right w:w="90" w:type="dxa"/>
            </w:tcMar>
          </w:tcPr>
          <w:p w14:paraId="4846600D">
            <w:pPr>
              <w:spacing w:after="0"/>
              <w:jc w:val="left"/>
            </w:pPr>
            <w:r>
              <w:rPr>
                <w:rFonts w:ascii="Times New Roman" w:hAnsi="Times New Roman"/>
                <w:b w:val="0"/>
                <w:i w:val="0"/>
                <w:sz w:val="19"/>
              </w:rPr>
              <w:t>3-day</w:t>
            </w:r>
          </w:p>
        </w:tc>
        <w:tc>
          <w:tcPr>
            <w:tcW w:w="1980" w:type="dxa"/>
            <w:tcMar>
              <w:top w:w="40" w:type="dxa"/>
              <w:left w:w="90" w:type="dxa"/>
              <w:bottom w:w="40" w:type="dxa"/>
              <w:right w:w="90" w:type="dxa"/>
            </w:tcMar>
          </w:tcPr>
          <w:p w14:paraId="29F08289">
            <w:pPr>
              <w:spacing w:after="0"/>
              <w:jc w:val="left"/>
            </w:pPr>
            <w:r>
              <w:rPr>
                <w:rFonts w:ascii="Times New Roman" w:hAnsi="Times New Roman"/>
                <w:b w:val="0"/>
                <w:i w:val="0"/>
                <w:sz w:val="19"/>
              </w:rPr>
              <w:t>142.65 / 135.9±17.8</w:t>
            </w:r>
          </w:p>
        </w:tc>
        <w:tc>
          <w:tcPr>
            <w:tcW w:w="1820" w:type="dxa"/>
            <w:tcMar>
              <w:top w:w="40" w:type="dxa"/>
              <w:left w:w="90" w:type="dxa"/>
              <w:bottom w:w="40" w:type="dxa"/>
              <w:right w:w="90" w:type="dxa"/>
            </w:tcMar>
          </w:tcPr>
          <w:p w14:paraId="223EBCE6">
            <w:pPr>
              <w:spacing w:after="0"/>
              <w:jc w:val="left"/>
            </w:pPr>
            <w:r>
              <w:rPr>
                <w:rFonts w:ascii="Times New Roman" w:hAnsi="Times New Roman"/>
                <w:b w:val="0"/>
                <w:i w:val="0"/>
                <w:sz w:val="19"/>
              </w:rPr>
              <w:t>53.32 / 52.7±4.6</w:t>
            </w:r>
          </w:p>
        </w:tc>
        <w:tc>
          <w:tcPr>
            <w:tcW w:w="1820" w:type="dxa"/>
            <w:tcMar>
              <w:top w:w="40" w:type="dxa"/>
              <w:left w:w="90" w:type="dxa"/>
              <w:bottom w:w="40" w:type="dxa"/>
              <w:right w:w="90" w:type="dxa"/>
            </w:tcMar>
          </w:tcPr>
          <w:p w14:paraId="374DEAE7">
            <w:pPr>
              <w:spacing w:after="0"/>
              <w:jc w:val="left"/>
            </w:pPr>
            <w:r>
              <w:rPr>
                <w:rFonts w:ascii="Times New Roman" w:hAnsi="Times New Roman"/>
                <w:b w:val="0"/>
                <w:i w:val="0"/>
                <w:sz w:val="19"/>
              </w:rPr>
              <w:t>35.3% / 34.2±0.7</w:t>
            </w:r>
          </w:p>
        </w:tc>
        <w:tc>
          <w:tcPr>
            <w:tcW w:w="1820" w:type="dxa"/>
            <w:tcMar>
              <w:top w:w="40" w:type="dxa"/>
              <w:left w:w="90" w:type="dxa"/>
              <w:bottom w:w="40" w:type="dxa"/>
              <w:right w:w="90" w:type="dxa"/>
            </w:tcMar>
          </w:tcPr>
          <w:p w14:paraId="0E062029">
            <w:pPr>
              <w:spacing w:after="0"/>
              <w:jc w:val="left"/>
            </w:pPr>
            <w:r>
              <w:rPr>
                <w:rFonts w:ascii="Times New Roman" w:hAnsi="Times New Roman"/>
                <w:b w:val="0"/>
                <w:i w:val="0"/>
                <w:sz w:val="19"/>
              </w:rPr>
              <w:t>0.161 / 0.16±0.01</w:t>
            </w:r>
          </w:p>
        </w:tc>
        <w:tc>
          <w:tcPr>
            <w:tcW w:w="1560" w:type="dxa"/>
            <w:tcMar>
              <w:top w:w="40" w:type="dxa"/>
              <w:left w:w="90" w:type="dxa"/>
              <w:bottom w:w="40" w:type="dxa"/>
              <w:right w:w="90" w:type="dxa"/>
            </w:tcMar>
          </w:tcPr>
          <w:p w14:paraId="79839455">
            <w:pPr>
              <w:spacing w:after="0"/>
              <w:jc w:val="left"/>
            </w:pPr>
            <w:r>
              <w:rPr>
                <w:rFonts w:ascii="Times New Roman" w:hAnsi="Times New Roman"/>
                <w:b w:val="0"/>
                <w:i w:val="0"/>
                <w:sz w:val="19"/>
              </w:rPr>
              <w:t>yes / marginal MAPE</w:t>
            </w:r>
          </w:p>
        </w:tc>
      </w:tr>
      <w:tr w14:paraId="336DD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Mar>
              <w:top w:w="40" w:type="dxa"/>
              <w:left w:w="90" w:type="dxa"/>
              <w:bottom w:w="40" w:type="dxa"/>
              <w:right w:w="90" w:type="dxa"/>
            </w:tcMar>
          </w:tcPr>
          <w:p w14:paraId="05072023">
            <w:pPr>
              <w:spacing w:after="0"/>
              <w:jc w:val="left"/>
            </w:pPr>
            <w:r>
              <w:rPr>
                <w:rFonts w:ascii="Times New Roman" w:hAnsi="Times New Roman"/>
                <w:b w:val="0"/>
                <w:i w:val="0"/>
                <w:sz w:val="19"/>
              </w:rPr>
              <w:t>7-day</w:t>
            </w:r>
          </w:p>
        </w:tc>
        <w:tc>
          <w:tcPr>
            <w:tcW w:w="1980" w:type="dxa"/>
            <w:tcMar>
              <w:top w:w="40" w:type="dxa"/>
              <w:left w:w="90" w:type="dxa"/>
              <w:bottom w:w="40" w:type="dxa"/>
              <w:right w:w="90" w:type="dxa"/>
            </w:tcMar>
          </w:tcPr>
          <w:p w14:paraId="3C1E116A">
            <w:pPr>
              <w:spacing w:after="0"/>
              <w:jc w:val="left"/>
            </w:pPr>
            <w:r>
              <w:rPr>
                <w:rFonts w:ascii="Times New Roman" w:hAnsi="Times New Roman"/>
                <w:b w:val="0"/>
                <w:i w:val="0"/>
                <w:sz w:val="19"/>
              </w:rPr>
              <w:t>163.75 / 160.6±4.5</w:t>
            </w:r>
          </w:p>
        </w:tc>
        <w:tc>
          <w:tcPr>
            <w:tcW w:w="1820" w:type="dxa"/>
            <w:tcMar>
              <w:top w:w="40" w:type="dxa"/>
              <w:left w:w="90" w:type="dxa"/>
              <w:bottom w:w="40" w:type="dxa"/>
              <w:right w:w="90" w:type="dxa"/>
            </w:tcMar>
          </w:tcPr>
          <w:p w14:paraId="50194F8A">
            <w:pPr>
              <w:spacing w:after="0"/>
              <w:jc w:val="left"/>
            </w:pPr>
            <w:r>
              <w:rPr>
                <w:rFonts w:ascii="Times New Roman" w:hAnsi="Times New Roman"/>
                <w:b w:val="0"/>
                <w:i w:val="0"/>
                <w:sz w:val="19"/>
              </w:rPr>
              <w:t>65.09 / 67.6±1.2</w:t>
            </w:r>
          </w:p>
        </w:tc>
        <w:tc>
          <w:tcPr>
            <w:tcW w:w="1820" w:type="dxa"/>
            <w:tcMar>
              <w:top w:w="40" w:type="dxa"/>
              <w:left w:w="90" w:type="dxa"/>
              <w:bottom w:w="40" w:type="dxa"/>
              <w:right w:w="90" w:type="dxa"/>
            </w:tcMar>
          </w:tcPr>
          <w:p w14:paraId="55142AB9">
            <w:pPr>
              <w:spacing w:after="0"/>
              <w:jc w:val="left"/>
            </w:pPr>
            <w:r>
              <w:rPr>
                <w:rFonts w:ascii="Times New Roman" w:hAnsi="Times New Roman"/>
                <w:b w:val="0"/>
                <w:i w:val="0"/>
                <w:sz w:val="19"/>
              </w:rPr>
              <w:t>41.7% / 41.7±0.9</w:t>
            </w:r>
          </w:p>
        </w:tc>
        <w:tc>
          <w:tcPr>
            <w:tcW w:w="1820" w:type="dxa"/>
            <w:tcMar>
              <w:top w:w="40" w:type="dxa"/>
              <w:left w:w="90" w:type="dxa"/>
              <w:bottom w:w="40" w:type="dxa"/>
              <w:right w:w="90" w:type="dxa"/>
            </w:tcMar>
          </w:tcPr>
          <w:p w14:paraId="5E9D028E">
            <w:pPr>
              <w:spacing w:after="0"/>
              <w:jc w:val="left"/>
            </w:pPr>
            <w:r>
              <w:rPr>
                <w:rFonts w:ascii="Times New Roman" w:hAnsi="Times New Roman"/>
                <w:b w:val="0"/>
                <w:i w:val="0"/>
                <w:sz w:val="19"/>
              </w:rPr>
              <w:t>0.195 / 0.20±0.00</w:t>
            </w:r>
          </w:p>
        </w:tc>
        <w:tc>
          <w:tcPr>
            <w:tcW w:w="1560" w:type="dxa"/>
            <w:tcMar>
              <w:top w:w="40" w:type="dxa"/>
              <w:left w:w="90" w:type="dxa"/>
              <w:bottom w:w="40" w:type="dxa"/>
              <w:right w:w="90" w:type="dxa"/>
            </w:tcMar>
          </w:tcPr>
          <w:p w14:paraId="1995012E">
            <w:pPr>
              <w:spacing w:after="0"/>
              <w:jc w:val="left"/>
            </w:pPr>
            <w:r>
              <w:rPr>
                <w:rFonts w:ascii="Times New Roman" w:hAnsi="Times New Roman"/>
                <w:b w:val="0"/>
                <w:i w:val="0"/>
                <w:sz w:val="19"/>
              </w:rPr>
              <w:t>yes</w:t>
            </w:r>
          </w:p>
        </w:tc>
      </w:tr>
      <w:tr w14:paraId="67FB1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Mar>
              <w:top w:w="40" w:type="dxa"/>
              <w:left w:w="90" w:type="dxa"/>
              <w:bottom w:w="40" w:type="dxa"/>
              <w:right w:w="90" w:type="dxa"/>
            </w:tcMar>
          </w:tcPr>
          <w:p w14:paraId="591914BD">
            <w:pPr>
              <w:spacing w:after="0"/>
              <w:jc w:val="left"/>
            </w:pPr>
            <w:r>
              <w:rPr>
                <w:rFonts w:ascii="Times New Roman" w:hAnsi="Times New Roman"/>
                <w:b w:val="0"/>
                <w:i w:val="0"/>
                <w:sz w:val="19"/>
              </w:rPr>
              <w:t>14-day</w:t>
            </w:r>
          </w:p>
        </w:tc>
        <w:tc>
          <w:tcPr>
            <w:tcW w:w="1980" w:type="dxa"/>
            <w:tcMar>
              <w:top w:w="40" w:type="dxa"/>
              <w:left w:w="90" w:type="dxa"/>
              <w:bottom w:w="40" w:type="dxa"/>
              <w:right w:w="90" w:type="dxa"/>
            </w:tcMar>
          </w:tcPr>
          <w:p w14:paraId="3713A229">
            <w:pPr>
              <w:spacing w:after="0"/>
              <w:jc w:val="left"/>
            </w:pPr>
            <w:r>
              <w:rPr>
                <w:rFonts w:ascii="Times New Roman" w:hAnsi="Times New Roman"/>
                <w:b w:val="0"/>
                <w:i w:val="0"/>
                <w:sz w:val="19"/>
              </w:rPr>
              <w:t>240.15 / 253.2±7.5</w:t>
            </w:r>
          </w:p>
        </w:tc>
        <w:tc>
          <w:tcPr>
            <w:tcW w:w="1820" w:type="dxa"/>
            <w:tcMar>
              <w:top w:w="40" w:type="dxa"/>
              <w:left w:w="90" w:type="dxa"/>
              <w:bottom w:w="40" w:type="dxa"/>
              <w:right w:w="90" w:type="dxa"/>
            </w:tcMar>
          </w:tcPr>
          <w:p w14:paraId="5879E1DE">
            <w:pPr>
              <w:spacing w:after="0"/>
              <w:jc w:val="left"/>
            </w:pPr>
            <w:r>
              <w:rPr>
                <w:rFonts w:ascii="Times New Roman" w:hAnsi="Times New Roman"/>
                <w:b w:val="0"/>
                <w:i w:val="0"/>
                <w:sz w:val="19"/>
              </w:rPr>
              <w:t>98.26 / 107.0±3.0</w:t>
            </w:r>
          </w:p>
        </w:tc>
        <w:tc>
          <w:tcPr>
            <w:tcW w:w="1820" w:type="dxa"/>
            <w:tcMar>
              <w:top w:w="40" w:type="dxa"/>
              <w:left w:w="90" w:type="dxa"/>
              <w:bottom w:w="40" w:type="dxa"/>
              <w:right w:w="90" w:type="dxa"/>
            </w:tcMar>
          </w:tcPr>
          <w:p w14:paraId="718D429E">
            <w:pPr>
              <w:spacing w:after="0"/>
              <w:jc w:val="left"/>
            </w:pPr>
            <w:r>
              <w:rPr>
                <w:rFonts w:ascii="Times New Roman" w:hAnsi="Times New Roman"/>
                <w:b w:val="0"/>
                <w:i w:val="0"/>
                <w:sz w:val="19"/>
              </w:rPr>
              <w:t>61.2% / 62.0±2.0</w:t>
            </w:r>
          </w:p>
        </w:tc>
        <w:tc>
          <w:tcPr>
            <w:tcW w:w="1820" w:type="dxa"/>
            <w:tcMar>
              <w:top w:w="40" w:type="dxa"/>
              <w:left w:w="90" w:type="dxa"/>
              <w:bottom w:w="40" w:type="dxa"/>
              <w:right w:w="90" w:type="dxa"/>
            </w:tcMar>
          </w:tcPr>
          <w:p w14:paraId="4079BC15">
            <w:pPr>
              <w:spacing w:after="0"/>
              <w:jc w:val="left"/>
            </w:pPr>
            <w:r>
              <w:rPr>
                <w:rFonts w:ascii="Times New Roman" w:hAnsi="Times New Roman"/>
                <w:b w:val="0"/>
                <w:i w:val="0"/>
                <w:sz w:val="19"/>
              </w:rPr>
              <w:t>0.295 / 0.32±0.01</w:t>
            </w:r>
          </w:p>
        </w:tc>
        <w:tc>
          <w:tcPr>
            <w:tcW w:w="1560" w:type="dxa"/>
            <w:tcMar>
              <w:top w:w="40" w:type="dxa"/>
              <w:left w:w="90" w:type="dxa"/>
              <w:bottom w:w="40" w:type="dxa"/>
              <w:right w:w="90" w:type="dxa"/>
            </w:tcMar>
          </w:tcPr>
          <w:p w14:paraId="2ADFB402">
            <w:pPr>
              <w:spacing w:after="0"/>
              <w:jc w:val="left"/>
            </w:pPr>
            <w:r>
              <w:rPr>
                <w:rFonts w:ascii="Times New Roman" w:hAnsi="Times New Roman"/>
                <w:b w:val="0"/>
                <w:i w:val="0"/>
                <w:sz w:val="19"/>
              </w:rPr>
              <w:t>better</w:t>
            </w:r>
          </w:p>
        </w:tc>
      </w:tr>
      <w:tr w14:paraId="120C1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Mar>
              <w:top w:w="40" w:type="dxa"/>
              <w:left w:w="90" w:type="dxa"/>
              <w:bottom w:w="40" w:type="dxa"/>
              <w:right w:w="90" w:type="dxa"/>
            </w:tcMar>
          </w:tcPr>
          <w:p w14:paraId="4F2E8AE4">
            <w:pPr>
              <w:spacing w:after="0"/>
              <w:jc w:val="left"/>
            </w:pPr>
            <w:r>
              <w:rPr>
                <w:rFonts w:ascii="Times New Roman" w:hAnsi="Times New Roman"/>
                <w:b w:val="0"/>
                <w:i w:val="0"/>
                <w:sz w:val="19"/>
              </w:rPr>
              <w:t>Overall</w:t>
            </w:r>
          </w:p>
        </w:tc>
        <w:tc>
          <w:tcPr>
            <w:tcW w:w="1980" w:type="dxa"/>
            <w:tcMar>
              <w:top w:w="40" w:type="dxa"/>
              <w:left w:w="90" w:type="dxa"/>
              <w:bottom w:w="40" w:type="dxa"/>
              <w:right w:w="90" w:type="dxa"/>
            </w:tcMar>
          </w:tcPr>
          <w:p w14:paraId="15B53E55">
            <w:pPr>
              <w:spacing w:after="0"/>
              <w:jc w:val="left"/>
            </w:pPr>
            <w:r>
              <w:rPr>
                <w:rFonts w:ascii="Times New Roman" w:hAnsi="Times New Roman"/>
                <w:b w:val="0"/>
                <w:i w:val="0"/>
                <w:sz w:val="19"/>
              </w:rPr>
              <w:t>181.41 / 186.1±5.0</w:t>
            </w:r>
          </w:p>
        </w:tc>
        <w:tc>
          <w:tcPr>
            <w:tcW w:w="1820" w:type="dxa"/>
            <w:tcMar>
              <w:top w:w="40" w:type="dxa"/>
              <w:left w:w="90" w:type="dxa"/>
              <w:bottom w:w="40" w:type="dxa"/>
              <w:right w:w="90" w:type="dxa"/>
            </w:tcMar>
          </w:tcPr>
          <w:p w14:paraId="76283773">
            <w:pPr>
              <w:spacing w:after="0"/>
              <w:jc w:val="left"/>
            </w:pPr>
            <w:r>
              <w:rPr>
                <w:rFonts w:ascii="Times New Roman" w:hAnsi="Times New Roman"/>
                <w:b w:val="0"/>
                <w:i w:val="0"/>
                <w:sz w:val="19"/>
              </w:rPr>
              <w:t>70.91 / 74.3±2.0</w:t>
            </w:r>
          </w:p>
        </w:tc>
        <w:tc>
          <w:tcPr>
            <w:tcW w:w="1820" w:type="dxa"/>
            <w:tcMar>
              <w:top w:w="40" w:type="dxa"/>
              <w:left w:w="90" w:type="dxa"/>
              <w:bottom w:w="40" w:type="dxa"/>
              <w:right w:w="90" w:type="dxa"/>
            </w:tcMar>
          </w:tcPr>
          <w:p w14:paraId="171A1B94">
            <w:pPr>
              <w:spacing w:after="0"/>
              <w:jc w:val="left"/>
            </w:pPr>
            <w:r>
              <w:rPr>
                <w:rFonts w:ascii="Times New Roman" w:hAnsi="Times New Roman"/>
                <w:b w:val="0"/>
                <w:i w:val="0"/>
                <w:sz w:val="19"/>
              </w:rPr>
              <w:t>44.3% / 44.4±0.8</w:t>
            </w:r>
          </w:p>
        </w:tc>
        <w:tc>
          <w:tcPr>
            <w:tcW w:w="1820" w:type="dxa"/>
            <w:tcMar>
              <w:top w:w="40" w:type="dxa"/>
              <w:left w:w="90" w:type="dxa"/>
              <w:bottom w:w="40" w:type="dxa"/>
              <w:right w:w="90" w:type="dxa"/>
            </w:tcMar>
          </w:tcPr>
          <w:p w14:paraId="5726E198">
            <w:pPr>
              <w:spacing w:after="0"/>
              <w:jc w:val="left"/>
            </w:pPr>
            <w:r>
              <w:rPr>
                <w:rFonts w:ascii="Times New Roman" w:hAnsi="Times New Roman"/>
                <w:b w:val="0"/>
                <w:i w:val="0"/>
                <w:sz w:val="19"/>
              </w:rPr>
              <w:t>0.213 / 0.22±0.01</w:t>
            </w:r>
          </w:p>
        </w:tc>
        <w:tc>
          <w:tcPr>
            <w:tcW w:w="1560" w:type="dxa"/>
            <w:tcMar>
              <w:top w:w="40" w:type="dxa"/>
              <w:left w:w="90" w:type="dxa"/>
              <w:bottom w:w="40" w:type="dxa"/>
              <w:right w:w="90" w:type="dxa"/>
            </w:tcMar>
          </w:tcPr>
          <w:p w14:paraId="002D1F28">
            <w:pPr>
              <w:spacing w:after="0"/>
              <w:jc w:val="left"/>
            </w:pPr>
            <w:r>
              <w:rPr>
                <w:rFonts w:ascii="Times New Roman" w:hAnsi="Times New Roman"/>
                <w:b w:val="0"/>
                <w:i w:val="0"/>
                <w:sz w:val="19"/>
              </w:rPr>
              <w:t>yes</w:t>
            </w:r>
          </w:p>
        </w:tc>
      </w:tr>
    </w:tbl>
    <w:p w14:paraId="27F10E76">
      <w:pPr>
        <w:spacing w:before="60" w:after="160"/>
        <w:jc w:val="left"/>
      </w:pPr>
      <w:r>
        <w:rPr>
          <w:rFonts w:ascii="Times New Roman" w:hAnsi="Times New Roman"/>
          <w:b/>
          <w:i w:val="0"/>
          <w:sz w:val="19"/>
        </w:rPr>
        <w:t xml:space="preserve">Table 5. </w:t>
      </w:r>
      <w:r>
        <w:rPr>
          <w:rFonts w:ascii="Times New Roman" w:hAnsi="Times New Roman"/>
          <w:b w:val="0"/>
          <w:i/>
          <w:sz w:val="19"/>
        </w:rPr>
        <w:t>MepoGNN (dynamic graph) multi-step reproduction on Japan COVID-19 (47 prefectures). MAPE is converted from the logged fraction to percentage points to match the published convention. “In band” denotes lying within, or better than, the paper's mean ± standard deviation.</w:t>
      </w:r>
    </w:p>
    <w:p w14:paraId="02BD2EDD">
      <w:pPr>
        <w:jc w:val="both"/>
      </w:pPr>
      <w:r>
        <w:rPr>
          <w:rFonts w:ascii="Times New Roman" w:hAnsi="Times New Roman"/>
          <w:b w:val="0"/>
          <w:i w:val="0"/>
          <w:sz w:val="22"/>
        </w:rPr>
        <w:t>The remaining models are not yet comparable, and reporting why is part of an honest benchmark. Cola-GNN and HeatGNN were each run at a one-week horizon, whereas their papers report the Japan results only at horizons of two weeks and beyond; both runs are healthy and on-trend — Cola-GNN reaches a root-mean-square error of 705.9 and a correlation of 0.963, and HeatGNN sits just under its nearest published cell once the paper's thousands-of-cases unit is matched — but neither can be placed against a published number until it is re-run at a shared horizon. STOEP is under review for a different reason: its shipped Japan run is scale-consistent with MepoGNN at an overall root-mean-square error of 182.9, yet the supplied paper table reports 63.5 on a different error metric, indicating that the printed table corresponds to a different dataset or metric block and cannot be aligned yet; importantly, STOEP against MepoGNN on our own identically run pipeline remains a valid head-to-head, which MepoGNN wins on every metric (RMSE 181.4 versus 182.9; MAE 70.9 versus 74.7). LTGCN–GTGCN was executed on the project's own Brazil and Spain COVID-19 data as a first-party experiment rather than a reproduction of a published baseline, so there is no external claim to check against, and its aggregated metrics are carried directly into the project's results tables. MSGNN could not be run on the target environment because it is pinned to a CUDA 10.1 toolchain with hand-compiled extensions that have no Windows build, and is deferred to a Linux environment. Table 6 summarises the scorecard.</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2400"/>
        <w:gridCol w:w="1300"/>
        <w:gridCol w:w="3560"/>
      </w:tblGrid>
      <w:tr w14:paraId="15C02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00" w:type="dxa"/>
            <w:shd w:val="clear" w:color="auto" w:fill="D9D9D9"/>
            <w:tcMar>
              <w:top w:w="40" w:type="dxa"/>
              <w:left w:w="90" w:type="dxa"/>
              <w:bottom w:w="40" w:type="dxa"/>
              <w:right w:w="90" w:type="dxa"/>
            </w:tcMar>
            <w:vAlign w:val="center"/>
          </w:tcPr>
          <w:p w14:paraId="556A1840">
            <w:pPr>
              <w:spacing w:after="0"/>
              <w:jc w:val="left"/>
            </w:pPr>
            <w:r>
              <w:rPr>
                <w:rFonts w:ascii="Times New Roman" w:hAnsi="Times New Roman"/>
                <w:b/>
                <w:i w:val="0"/>
                <w:sz w:val="20"/>
              </w:rPr>
              <w:t>Model</w:t>
            </w:r>
          </w:p>
        </w:tc>
        <w:tc>
          <w:tcPr>
            <w:tcW w:w="2400" w:type="dxa"/>
            <w:shd w:val="clear" w:color="auto" w:fill="D9D9D9"/>
            <w:tcMar>
              <w:top w:w="40" w:type="dxa"/>
              <w:left w:w="90" w:type="dxa"/>
              <w:bottom w:w="40" w:type="dxa"/>
              <w:right w:w="90" w:type="dxa"/>
            </w:tcMar>
            <w:vAlign w:val="center"/>
          </w:tcPr>
          <w:p w14:paraId="114FAA3F">
            <w:pPr>
              <w:spacing w:after="0"/>
              <w:jc w:val="left"/>
            </w:pPr>
            <w:r>
              <w:rPr>
                <w:rFonts w:ascii="Times New Roman" w:hAnsi="Times New Roman"/>
                <w:b/>
                <w:i w:val="0"/>
                <w:sz w:val="20"/>
              </w:rPr>
              <w:t>Dataset / horizon</w:t>
            </w:r>
          </w:p>
        </w:tc>
        <w:tc>
          <w:tcPr>
            <w:tcW w:w="1300" w:type="dxa"/>
            <w:shd w:val="clear" w:color="auto" w:fill="D9D9D9"/>
            <w:tcMar>
              <w:top w:w="40" w:type="dxa"/>
              <w:left w:w="90" w:type="dxa"/>
              <w:bottom w:w="40" w:type="dxa"/>
              <w:right w:w="90" w:type="dxa"/>
            </w:tcMar>
            <w:vAlign w:val="center"/>
          </w:tcPr>
          <w:p w14:paraId="0E136254">
            <w:pPr>
              <w:spacing w:after="0"/>
              <w:jc w:val="left"/>
            </w:pPr>
            <w:r>
              <w:rPr>
                <w:rFonts w:ascii="Times New Roman" w:hAnsi="Times New Roman"/>
                <w:b/>
                <w:i w:val="0"/>
                <w:sz w:val="20"/>
              </w:rPr>
              <w:t>Outcome</w:t>
            </w:r>
          </w:p>
        </w:tc>
        <w:tc>
          <w:tcPr>
            <w:tcW w:w="3560" w:type="dxa"/>
            <w:shd w:val="clear" w:color="auto" w:fill="D9D9D9"/>
            <w:tcMar>
              <w:top w:w="40" w:type="dxa"/>
              <w:left w:w="90" w:type="dxa"/>
              <w:bottom w:w="40" w:type="dxa"/>
              <w:right w:w="90" w:type="dxa"/>
            </w:tcMar>
            <w:vAlign w:val="center"/>
          </w:tcPr>
          <w:p w14:paraId="19778AC6">
            <w:pPr>
              <w:spacing w:after="0"/>
              <w:jc w:val="left"/>
            </w:pPr>
            <w:r>
              <w:rPr>
                <w:rFonts w:ascii="Times New Roman" w:hAnsi="Times New Roman"/>
                <w:b/>
                <w:i w:val="0"/>
                <w:sz w:val="20"/>
              </w:rPr>
              <w:t>Note</w:t>
            </w:r>
          </w:p>
        </w:tc>
      </w:tr>
      <w:tr w14:paraId="74D64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Mar>
              <w:top w:w="40" w:type="dxa"/>
              <w:left w:w="90" w:type="dxa"/>
              <w:bottom w:w="40" w:type="dxa"/>
              <w:right w:w="90" w:type="dxa"/>
            </w:tcMar>
          </w:tcPr>
          <w:p w14:paraId="31801ACF">
            <w:pPr>
              <w:spacing w:after="0"/>
              <w:jc w:val="left"/>
            </w:pPr>
            <w:r>
              <w:rPr>
                <w:rFonts w:ascii="Times New Roman" w:hAnsi="Times New Roman"/>
                <w:b w:val="0"/>
                <w:i w:val="0"/>
                <w:sz w:val="19"/>
              </w:rPr>
              <w:t>EpiGNN</w:t>
            </w:r>
          </w:p>
        </w:tc>
        <w:tc>
          <w:tcPr>
            <w:tcW w:w="2400" w:type="dxa"/>
            <w:tcMar>
              <w:top w:w="40" w:type="dxa"/>
              <w:left w:w="90" w:type="dxa"/>
              <w:bottom w:w="40" w:type="dxa"/>
              <w:right w:w="90" w:type="dxa"/>
            </w:tcMar>
          </w:tcPr>
          <w:p w14:paraId="310E764F">
            <w:pPr>
              <w:spacing w:after="0"/>
              <w:jc w:val="left"/>
            </w:pPr>
            <w:r>
              <w:rPr>
                <w:rFonts w:ascii="Times New Roman" w:hAnsi="Times New Roman"/>
                <w:b w:val="0"/>
                <w:i w:val="0"/>
                <w:sz w:val="19"/>
              </w:rPr>
              <w:t>US-Regions, h = 5</w:t>
            </w:r>
          </w:p>
        </w:tc>
        <w:tc>
          <w:tcPr>
            <w:tcW w:w="1300" w:type="dxa"/>
            <w:tcMar>
              <w:top w:w="40" w:type="dxa"/>
              <w:left w:w="90" w:type="dxa"/>
              <w:bottom w:w="40" w:type="dxa"/>
              <w:right w:w="90" w:type="dxa"/>
            </w:tcMar>
          </w:tcPr>
          <w:p w14:paraId="27E7C6AD">
            <w:pPr>
              <w:spacing w:after="0"/>
              <w:jc w:val="left"/>
            </w:pPr>
            <w:r>
              <w:rPr>
                <w:rFonts w:ascii="Times New Roman" w:hAnsi="Times New Roman"/>
                <w:b w:val="0"/>
                <w:i w:val="0"/>
                <w:sz w:val="19"/>
              </w:rPr>
              <w:t>Pass</w:t>
            </w:r>
          </w:p>
        </w:tc>
        <w:tc>
          <w:tcPr>
            <w:tcW w:w="3560" w:type="dxa"/>
            <w:tcMar>
              <w:top w:w="40" w:type="dxa"/>
              <w:left w:w="90" w:type="dxa"/>
              <w:bottom w:w="40" w:type="dxa"/>
              <w:right w:w="90" w:type="dxa"/>
            </w:tcMar>
          </w:tcPr>
          <w:p w14:paraId="14CE55D9">
            <w:pPr>
              <w:spacing w:after="0"/>
              <w:jc w:val="left"/>
            </w:pPr>
            <w:r>
              <w:rPr>
                <w:rFonts w:ascii="Times New Roman" w:hAnsi="Times New Roman"/>
                <w:b w:val="0"/>
                <w:i w:val="0"/>
                <w:sz w:val="19"/>
              </w:rPr>
              <w:t>within ~1%, marginally better</w:t>
            </w:r>
          </w:p>
        </w:tc>
      </w:tr>
      <w:tr w14:paraId="124DC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Mar>
              <w:top w:w="40" w:type="dxa"/>
              <w:left w:w="90" w:type="dxa"/>
              <w:bottom w:w="40" w:type="dxa"/>
              <w:right w:w="90" w:type="dxa"/>
            </w:tcMar>
          </w:tcPr>
          <w:p w14:paraId="197FD7BF">
            <w:pPr>
              <w:spacing w:after="0"/>
              <w:jc w:val="left"/>
            </w:pPr>
            <w:r>
              <w:rPr>
                <w:rFonts w:ascii="Times New Roman" w:hAnsi="Times New Roman"/>
                <w:b w:val="0"/>
                <w:i w:val="0"/>
                <w:sz w:val="19"/>
              </w:rPr>
              <w:t>MepoGNN (Dyn.)</w:t>
            </w:r>
          </w:p>
        </w:tc>
        <w:tc>
          <w:tcPr>
            <w:tcW w:w="2400" w:type="dxa"/>
            <w:tcMar>
              <w:top w:w="40" w:type="dxa"/>
              <w:left w:w="90" w:type="dxa"/>
              <w:bottom w:w="40" w:type="dxa"/>
              <w:right w:w="90" w:type="dxa"/>
            </w:tcMar>
          </w:tcPr>
          <w:p w14:paraId="48A900D1">
            <w:pPr>
              <w:spacing w:after="0"/>
              <w:jc w:val="left"/>
            </w:pPr>
            <w:r>
              <w:rPr>
                <w:rFonts w:ascii="Times New Roman" w:hAnsi="Times New Roman"/>
                <w:b w:val="0"/>
                <w:i w:val="0"/>
                <w:sz w:val="19"/>
              </w:rPr>
              <w:t>Japan-COVID, 3/7/14-day</w:t>
            </w:r>
          </w:p>
        </w:tc>
        <w:tc>
          <w:tcPr>
            <w:tcW w:w="1300" w:type="dxa"/>
            <w:tcMar>
              <w:top w:w="40" w:type="dxa"/>
              <w:left w:w="90" w:type="dxa"/>
              <w:bottom w:w="40" w:type="dxa"/>
              <w:right w:w="90" w:type="dxa"/>
            </w:tcMar>
          </w:tcPr>
          <w:p w14:paraId="3C45E455">
            <w:pPr>
              <w:spacing w:after="0"/>
              <w:jc w:val="left"/>
            </w:pPr>
            <w:r>
              <w:rPr>
                <w:rFonts w:ascii="Times New Roman" w:hAnsi="Times New Roman"/>
                <w:b w:val="0"/>
                <w:i w:val="0"/>
                <w:sz w:val="19"/>
              </w:rPr>
              <w:t>Pass</w:t>
            </w:r>
          </w:p>
        </w:tc>
        <w:tc>
          <w:tcPr>
            <w:tcW w:w="3560" w:type="dxa"/>
            <w:tcMar>
              <w:top w:w="40" w:type="dxa"/>
              <w:left w:w="90" w:type="dxa"/>
              <w:bottom w:w="40" w:type="dxa"/>
              <w:right w:w="90" w:type="dxa"/>
            </w:tcMar>
          </w:tcPr>
          <w:p w14:paraId="072B7967">
            <w:pPr>
              <w:spacing w:after="0"/>
              <w:jc w:val="left"/>
            </w:pPr>
            <w:r>
              <w:rPr>
                <w:rFonts w:ascii="Times New Roman" w:hAnsi="Times New Roman"/>
                <w:b w:val="0"/>
                <w:i w:val="0"/>
                <w:sz w:val="19"/>
              </w:rPr>
              <w:t>within / better than std bands</w:t>
            </w:r>
          </w:p>
        </w:tc>
      </w:tr>
      <w:tr w14:paraId="7AC73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Mar>
              <w:top w:w="40" w:type="dxa"/>
              <w:left w:w="90" w:type="dxa"/>
              <w:bottom w:w="40" w:type="dxa"/>
              <w:right w:w="90" w:type="dxa"/>
            </w:tcMar>
          </w:tcPr>
          <w:p w14:paraId="78C7D59E">
            <w:pPr>
              <w:spacing w:after="0"/>
              <w:jc w:val="left"/>
            </w:pPr>
            <w:r>
              <w:rPr>
                <w:rFonts w:ascii="Times New Roman" w:hAnsi="Times New Roman"/>
                <w:b w:val="0"/>
                <w:i w:val="0"/>
                <w:sz w:val="19"/>
              </w:rPr>
              <w:t>MTGNN</w:t>
            </w:r>
          </w:p>
        </w:tc>
        <w:tc>
          <w:tcPr>
            <w:tcW w:w="2400" w:type="dxa"/>
            <w:tcMar>
              <w:top w:w="40" w:type="dxa"/>
              <w:left w:w="90" w:type="dxa"/>
              <w:bottom w:w="40" w:type="dxa"/>
              <w:right w:w="90" w:type="dxa"/>
            </w:tcMar>
          </w:tcPr>
          <w:p w14:paraId="2618FD71">
            <w:pPr>
              <w:spacing w:after="0"/>
              <w:jc w:val="left"/>
            </w:pPr>
            <w:r>
              <w:rPr>
                <w:rFonts w:ascii="Times New Roman" w:hAnsi="Times New Roman"/>
                <w:b w:val="0"/>
                <w:i w:val="0"/>
                <w:sz w:val="19"/>
              </w:rPr>
              <w:t>METR-LA, h = 3/6/12</w:t>
            </w:r>
          </w:p>
        </w:tc>
        <w:tc>
          <w:tcPr>
            <w:tcW w:w="1300" w:type="dxa"/>
            <w:tcMar>
              <w:top w:w="40" w:type="dxa"/>
              <w:left w:w="90" w:type="dxa"/>
              <w:bottom w:w="40" w:type="dxa"/>
              <w:right w:w="90" w:type="dxa"/>
            </w:tcMar>
          </w:tcPr>
          <w:p w14:paraId="790185B9">
            <w:pPr>
              <w:spacing w:after="0"/>
              <w:jc w:val="left"/>
            </w:pPr>
            <w:r>
              <w:rPr>
                <w:rFonts w:ascii="Times New Roman" w:hAnsi="Times New Roman"/>
                <w:b w:val="0"/>
                <w:i w:val="0"/>
                <w:sz w:val="19"/>
              </w:rPr>
              <w:t>Pass</w:t>
            </w:r>
          </w:p>
        </w:tc>
        <w:tc>
          <w:tcPr>
            <w:tcW w:w="3560" w:type="dxa"/>
            <w:tcMar>
              <w:top w:w="40" w:type="dxa"/>
              <w:left w:w="90" w:type="dxa"/>
              <w:bottom w:w="40" w:type="dxa"/>
              <w:right w:w="90" w:type="dxa"/>
            </w:tcMar>
          </w:tcPr>
          <w:p w14:paraId="1C6A4E55">
            <w:pPr>
              <w:spacing w:after="0"/>
              <w:jc w:val="left"/>
            </w:pPr>
            <w:r>
              <w:rPr>
                <w:rFonts w:ascii="Times New Roman" w:hAnsi="Times New Roman"/>
                <w:b w:val="0"/>
                <w:i w:val="0"/>
                <w:sz w:val="19"/>
              </w:rPr>
              <w:t>healthy control; claim table out of scope</w:t>
            </w:r>
          </w:p>
        </w:tc>
      </w:tr>
      <w:tr w14:paraId="7D104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Mar>
              <w:top w:w="40" w:type="dxa"/>
              <w:left w:w="90" w:type="dxa"/>
              <w:bottom w:w="40" w:type="dxa"/>
              <w:right w:w="90" w:type="dxa"/>
            </w:tcMar>
          </w:tcPr>
          <w:p w14:paraId="080E4510">
            <w:pPr>
              <w:spacing w:after="0"/>
              <w:jc w:val="left"/>
            </w:pPr>
            <w:r>
              <w:rPr>
                <w:rFonts w:ascii="Times New Roman" w:hAnsi="Times New Roman"/>
                <w:b w:val="0"/>
                <w:i w:val="0"/>
                <w:sz w:val="19"/>
              </w:rPr>
              <w:t>LTGCN–GTGCN</w:t>
            </w:r>
          </w:p>
        </w:tc>
        <w:tc>
          <w:tcPr>
            <w:tcW w:w="2400" w:type="dxa"/>
            <w:tcMar>
              <w:top w:w="40" w:type="dxa"/>
              <w:left w:w="90" w:type="dxa"/>
              <w:bottom w:w="40" w:type="dxa"/>
              <w:right w:w="90" w:type="dxa"/>
            </w:tcMar>
          </w:tcPr>
          <w:p w14:paraId="182ECB32">
            <w:pPr>
              <w:spacing w:after="0"/>
              <w:jc w:val="left"/>
            </w:pPr>
            <w:r>
              <w:rPr>
                <w:rFonts w:ascii="Times New Roman" w:hAnsi="Times New Roman"/>
                <w:b w:val="0"/>
                <w:i w:val="0"/>
                <w:sz w:val="19"/>
              </w:rPr>
              <w:t>Brazil / Spain (first-party)</w:t>
            </w:r>
          </w:p>
        </w:tc>
        <w:tc>
          <w:tcPr>
            <w:tcW w:w="1300" w:type="dxa"/>
            <w:tcMar>
              <w:top w:w="40" w:type="dxa"/>
              <w:left w:w="90" w:type="dxa"/>
              <w:bottom w:w="40" w:type="dxa"/>
              <w:right w:w="90" w:type="dxa"/>
            </w:tcMar>
          </w:tcPr>
          <w:p w14:paraId="6B8390EB">
            <w:pPr>
              <w:spacing w:after="0"/>
              <w:jc w:val="left"/>
            </w:pPr>
            <w:r>
              <w:rPr>
                <w:rFonts w:ascii="Times New Roman" w:hAnsi="Times New Roman"/>
                <w:b w:val="0"/>
                <w:i w:val="0"/>
                <w:sz w:val="19"/>
              </w:rPr>
              <w:t>First-party</w:t>
            </w:r>
          </w:p>
        </w:tc>
        <w:tc>
          <w:tcPr>
            <w:tcW w:w="3560" w:type="dxa"/>
            <w:tcMar>
              <w:top w:w="40" w:type="dxa"/>
              <w:left w:w="90" w:type="dxa"/>
              <w:bottom w:w="40" w:type="dxa"/>
              <w:right w:w="90" w:type="dxa"/>
            </w:tcMar>
          </w:tcPr>
          <w:p w14:paraId="6F5F041E">
            <w:pPr>
              <w:spacing w:after="0"/>
              <w:jc w:val="left"/>
            </w:pPr>
            <w:r>
              <w:rPr>
                <w:rFonts w:ascii="Times New Roman" w:hAnsi="Times New Roman"/>
                <w:b w:val="0"/>
                <w:i w:val="0"/>
                <w:sz w:val="19"/>
              </w:rPr>
              <w:t>in-house experiment; no external claim</w:t>
            </w:r>
          </w:p>
        </w:tc>
      </w:tr>
      <w:tr w14:paraId="512A1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Mar>
              <w:top w:w="40" w:type="dxa"/>
              <w:left w:w="90" w:type="dxa"/>
              <w:bottom w:w="40" w:type="dxa"/>
              <w:right w:w="90" w:type="dxa"/>
            </w:tcMar>
          </w:tcPr>
          <w:p w14:paraId="06848039">
            <w:pPr>
              <w:spacing w:after="0"/>
              <w:jc w:val="left"/>
            </w:pPr>
            <w:r>
              <w:rPr>
                <w:rFonts w:ascii="Times New Roman" w:hAnsi="Times New Roman"/>
                <w:b w:val="0"/>
                <w:i w:val="0"/>
                <w:sz w:val="19"/>
              </w:rPr>
              <w:t>Cola-GNN</w:t>
            </w:r>
          </w:p>
        </w:tc>
        <w:tc>
          <w:tcPr>
            <w:tcW w:w="2400" w:type="dxa"/>
            <w:tcMar>
              <w:top w:w="40" w:type="dxa"/>
              <w:left w:w="90" w:type="dxa"/>
              <w:bottom w:w="40" w:type="dxa"/>
              <w:right w:w="90" w:type="dxa"/>
            </w:tcMar>
          </w:tcPr>
          <w:p w14:paraId="5F59FDA9">
            <w:pPr>
              <w:spacing w:after="0"/>
              <w:jc w:val="left"/>
            </w:pPr>
            <w:r>
              <w:rPr>
                <w:rFonts w:ascii="Times New Roman" w:hAnsi="Times New Roman"/>
                <w:b w:val="0"/>
                <w:i w:val="0"/>
                <w:sz w:val="19"/>
              </w:rPr>
              <w:t>Japan, ran h = 1</w:t>
            </w:r>
          </w:p>
        </w:tc>
        <w:tc>
          <w:tcPr>
            <w:tcW w:w="1300" w:type="dxa"/>
            <w:tcMar>
              <w:top w:w="40" w:type="dxa"/>
              <w:left w:w="90" w:type="dxa"/>
              <w:bottom w:w="40" w:type="dxa"/>
              <w:right w:w="90" w:type="dxa"/>
            </w:tcMar>
          </w:tcPr>
          <w:p w14:paraId="00D7EB9F">
            <w:pPr>
              <w:spacing w:after="0"/>
              <w:jc w:val="left"/>
            </w:pPr>
            <w:r>
              <w:rPr>
                <w:rFonts w:ascii="Times New Roman" w:hAnsi="Times New Roman"/>
                <w:b w:val="0"/>
                <w:i w:val="0"/>
                <w:sz w:val="19"/>
              </w:rPr>
              <w:t>Rerun</w:t>
            </w:r>
          </w:p>
        </w:tc>
        <w:tc>
          <w:tcPr>
            <w:tcW w:w="3560" w:type="dxa"/>
            <w:tcMar>
              <w:top w:w="40" w:type="dxa"/>
              <w:left w:w="90" w:type="dxa"/>
              <w:bottom w:w="40" w:type="dxa"/>
              <w:right w:w="90" w:type="dxa"/>
            </w:tcMar>
          </w:tcPr>
          <w:p w14:paraId="16FAEA70">
            <w:pPr>
              <w:spacing w:after="0"/>
              <w:jc w:val="left"/>
            </w:pPr>
            <w:r>
              <w:rPr>
                <w:rFonts w:ascii="Times New Roman" w:hAnsi="Times New Roman"/>
                <w:b w:val="0"/>
                <w:i w:val="0"/>
                <w:sz w:val="19"/>
              </w:rPr>
              <w:t>paper horizons {2, 3, 5, 10, 15}</w:t>
            </w:r>
          </w:p>
        </w:tc>
      </w:tr>
      <w:tr w14:paraId="7A5AE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Mar>
              <w:top w:w="40" w:type="dxa"/>
              <w:left w:w="90" w:type="dxa"/>
              <w:bottom w:w="40" w:type="dxa"/>
              <w:right w:w="90" w:type="dxa"/>
            </w:tcMar>
          </w:tcPr>
          <w:p w14:paraId="7B3EDED4">
            <w:pPr>
              <w:spacing w:after="0"/>
              <w:jc w:val="left"/>
            </w:pPr>
            <w:r>
              <w:rPr>
                <w:rFonts w:ascii="Times New Roman" w:hAnsi="Times New Roman"/>
                <w:b w:val="0"/>
                <w:i w:val="0"/>
                <w:sz w:val="19"/>
              </w:rPr>
              <w:t>HeatGNN</w:t>
            </w:r>
          </w:p>
        </w:tc>
        <w:tc>
          <w:tcPr>
            <w:tcW w:w="2400" w:type="dxa"/>
            <w:tcMar>
              <w:top w:w="40" w:type="dxa"/>
              <w:left w:w="90" w:type="dxa"/>
              <w:bottom w:w="40" w:type="dxa"/>
              <w:right w:w="90" w:type="dxa"/>
            </w:tcMar>
          </w:tcPr>
          <w:p w14:paraId="779F4B09">
            <w:pPr>
              <w:spacing w:after="0"/>
              <w:jc w:val="left"/>
            </w:pPr>
            <w:r>
              <w:rPr>
                <w:rFonts w:ascii="Times New Roman" w:hAnsi="Times New Roman"/>
                <w:b w:val="0"/>
                <w:i w:val="0"/>
                <w:sz w:val="19"/>
              </w:rPr>
              <w:t>Japan, ran h = 1</w:t>
            </w:r>
          </w:p>
        </w:tc>
        <w:tc>
          <w:tcPr>
            <w:tcW w:w="1300" w:type="dxa"/>
            <w:tcMar>
              <w:top w:w="40" w:type="dxa"/>
              <w:left w:w="90" w:type="dxa"/>
              <w:bottom w:w="40" w:type="dxa"/>
              <w:right w:w="90" w:type="dxa"/>
            </w:tcMar>
          </w:tcPr>
          <w:p w14:paraId="7E3CEEEA">
            <w:pPr>
              <w:spacing w:after="0"/>
              <w:jc w:val="left"/>
            </w:pPr>
            <w:r>
              <w:rPr>
                <w:rFonts w:ascii="Times New Roman" w:hAnsi="Times New Roman"/>
                <w:b w:val="0"/>
                <w:i w:val="0"/>
                <w:sz w:val="19"/>
              </w:rPr>
              <w:t>Rerun</w:t>
            </w:r>
          </w:p>
        </w:tc>
        <w:tc>
          <w:tcPr>
            <w:tcW w:w="3560" w:type="dxa"/>
            <w:tcMar>
              <w:top w:w="40" w:type="dxa"/>
              <w:left w:w="90" w:type="dxa"/>
              <w:bottom w:w="40" w:type="dxa"/>
              <w:right w:w="90" w:type="dxa"/>
            </w:tcMar>
          </w:tcPr>
          <w:p w14:paraId="7127647F">
            <w:pPr>
              <w:spacing w:after="0"/>
              <w:jc w:val="left"/>
            </w:pPr>
            <w:r>
              <w:rPr>
                <w:rFonts w:ascii="Times New Roman" w:hAnsi="Times New Roman"/>
                <w:b w:val="0"/>
                <w:i w:val="0"/>
                <w:sz w:val="19"/>
              </w:rPr>
              <w:t>paper horizons {2, 5, 7, 12}, ×10³ units</w:t>
            </w:r>
          </w:p>
        </w:tc>
      </w:tr>
      <w:tr w14:paraId="7BAE0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Mar>
              <w:top w:w="40" w:type="dxa"/>
              <w:left w:w="90" w:type="dxa"/>
              <w:bottom w:w="40" w:type="dxa"/>
              <w:right w:w="90" w:type="dxa"/>
            </w:tcMar>
          </w:tcPr>
          <w:p w14:paraId="7C6517C1">
            <w:pPr>
              <w:spacing w:after="0"/>
              <w:jc w:val="left"/>
            </w:pPr>
            <w:r>
              <w:rPr>
                <w:rFonts w:ascii="Times New Roman" w:hAnsi="Times New Roman"/>
                <w:b w:val="0"/>
                <w:i w:val="0"/>
                <w:sz w:val="19"/>
              </w:rPr>
              <w:t>STOEP</w:t>
            </w:r>
          </w:p>
        </w:tc>
        <w:tc>
          <w:tcPr>
            <w:tcW w:w="2400" w:type="dxa"/>
            <w:tcMar>
              <w:top w:w="40" w:type="dxa"/>
              <w:left w:w="90" w:type="dxa"/>
              <w:bottom w:w="40" w:type="dxa"/>
              <w:right w:w="90" w:type="dxa"/>
            </w:tcMar>
          </w:tcPr>
          <w:p w14:paraId="1A6ECEE8">
            <w:pPr>
              <w:spacing w:after="0"/>
              <w:jc w:val="left"/>
            </w:pPr>
            <w:r>
              <w:rPr>
                <w:rFonts w:ascii="Times New Roman" w:hAnsi="Times New Roman"/>
                <w:b w:val="0"/>
                <w:i w:val="0"/>
                <w:sz w:val="19"/>
              </w:rPr>
              <w:t>Japan-COVID</w:t>
            </w:r>
          </w:p>
        </w:tc>
        <w:tc>
          <w:tcPr>
            <w:tcW w:w="1300" w:type="dxa"/>
            <w:tcMar>
              <w:top w:w="40" w:type="dxa"/>
              <w:left w:w="90" w:type="dxa"/>
              <w:bottom w:w="40" w:type="dxa"/>
              <w:right w:w="90" w:type="dxa"/>
            </w:tcMar>
          </w:tcPr>
          <w:p w14:paraId="756CADBE">
            <w:pPr>
              <w:spacing w:after="0"/>
              <w:jc w:val="left"/>
            </w:pPr>
            <w:r>
              <w:rPr>
                <w:rFonts w:ascii="Times New Roman" w:hAnsi="Times New Roman"/>
                <w:b w:val="0"/>
                <w:i w:val="0"/>
                <w:sz w:val="19"/>
              </w:rPr>
              <w:t>Review</w:t>
            </w:r>
          </w:p>
        </w:tc>
        <w:tc>
          <w:tcPr>
            <w:tcW w:w="3560" w:type="dxa"/>
            <w:tcMar>
              <w:top w:w="40" w:type="dxa"/>
              <w:left w:w="90" w:type="dxa"/>
              <w:bottom w:w="40" w:type="dxa"/>
              <w:right w:w="90" w:type="dxa"/>
            </w:tcMar>
          </w:tcPr>
          <w:p w14:paraId="6EBD2545">
            <w:pPr>
              <w:spacing w:after="0"/>
              <w:jc w:val="left"/>
            </w:pPr>
            <w:r>
              <w:rPr>
                <w:rFonts w:ascii="Times New Roman" w:hAnsi="Times New Roman"/>
                <w:b w:val="0"/>
                <w:i w:val="0"/>
                <w:sz w:val="19"/>
              </w:rPr>
              <w:t>paper table ≠ shipped dataset / metric</w:t>
            </w:r>
          </w:p>
        </w:tc>
      </w:tr>
      <w:tr w14:paraId="376D1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Mar>
              <w:top w:w="40" w:type="dxa"/>
              <w:left w:w="90" w:type="dxa"/>
              <w:bottom w:w="40" w:type="dxa"/>
              <w:right w:w="90" w:type="dxa"/>
            </w:tcMar>
          </w:tcPr>
          <w:p w14:paraId="5C7D7A22">
            <w:pPr>
              <w:spacing w:after="0"/>
              <w:jc w:val="left"/>
            </w:pPr>
            <w:r>
              <w:rPr>
                <w:rFonts w:ascii="Times New Roman" w:hAnsi="Times New Roman"/>
                <w:b w:val="0"/>
                <w:i w:val="0"/>
                <w:sz w:val="19"/>
              </w:rPr>
              <w:t>MSGNN</w:t>
            </w:r>
          </w:p>
        </w:tc>
        <w:tc>
          <w:tcPr>
            <w:tcW w:w="2400" w:type="dxa"/>
            <w:tcMar>
              <w:top w:w="40" w:type="dxa"/>
              <w:left w:w="90" w:type="dxa"/>
              <w:bottom w:w="40" w:type="dxa"/>
              <w:right w:w="90" w:type="dxa"/>
            </w:tcMar>
          </w:tcPr>
          <w:p w14:paraId="5310D424">
            <w:pPr>
              <w:spacing w:after="0"/>
              <w:jc w:val="left"/>
            </w:pPr>
            <w:r>
              <w:rPr>
                <w:rFonts w:ascii="Times New Roman" w:hAnsi="Times New Roman"/>
                <w:b w:val="0"/>
                <w:i w:val="0"/>
                <w:sz w:val="19"/>
              </w:rPr>
              <w:t>Google / CSSE (live)</w:t>
            </w:r>
          </w:p>
        </w:tc>
        <w:tc>
          <w:tcPr>
            <w:tcW w:w="1300" w:type="dxa"/>
            <w:tcMar>
              <w:top w:w="40" w:type="dxa"/>
              <w:left w:w="90" w:type="dxa"/>
              <w:bottom w:w="40" w:type="dxa"/>
              <w:right w:w="90" w:type="dxa"/>
            </w:tcMar>
          </w:tcPr>
          <w:p w14:paraId="57440F52">
            <w:pPr>
              <w:spacing w:after="0"/>
              <w:jc w:val="left"/>
            </w:pPr>
            <w:r>
              <w:rPr>
                <w:rFonts w:ascii="Times New Roman" w:hAnsi="Times New Roman"/>
                <w:b w:val="0"/>
                <w:i w:val="0"/>
                <w:sz w:val="19"/>
              </w:rPr>
              <w:t>Deferred</w:t>
            </w:r>
          </w:p>
        </w:tc>
        <w:tc>
          <w:tcPr>
            <w:tcW w:w="3560" w:type="dxa"/>
            <w:tcMar>
              <w:top w:w="40" w:type="dxa"/>
              <w:left w:w="90" w:type="dxa"/>
              <w:bottom w:w="40" w:type="dxa"/>
              <w:right w:w="90" w:type="dxa"/>
            </w:tcMar>
          </w:tcPr>
          <w:p w14:paraId="3354CF27">
            <w:pPr>
              <w:spacing w:after="0"/>
              <w:jc w:val="left"/>
            </w:pPr>
            <w:r>
              <w:rPr>
                <w:rFonts w:ascii="Times New Roman" w:hAnsi="Times New Roman"/>
                <w:b w:val="0"/>
                <w:i w:val="0"/>
                <w:sz w:val="19"/>
              </w:rPr>
              <w:t>CUDA 10.1 / Linux only</w:t>
            </w:r>
          </w:p>
        </w:tc>
      </w:tr>
    </w:tbl>
    <w:p w14:paraId="0386D732">
      <w:pPr>
        <w:spacing w:before="60" w:after="160"/>
        <w:jc w:val="left"/>
      </w:pPr>
      <w:r>
        <w:rPr>
          <w:rFonts w:ascii="Times New Roman" w:hAnsi="Times New Roman"/>
          <w:b/>
          <w:i w:val="0"/>
          <w:sz w:val="19"/>
        </w:rPr>
        <w:t xml:space="preserve">Table 6. </w:t>
      </w:r>
      <w:r>
        <w:rPr>
          <w:rFonts w:ascii="Times New Roman" w:hAnsi="Times New Roman"/>
          <w:b w:val="0"/>
          <w:i/>
          <w:sz w:val="19"/>
        </w:rPr>
        <w:t>Reproduction scorecard across the eight-model baseline suite. “Pass” = reproduced within tolerance; “rerun” = healthy but at a non-published horizon; “review” = dataset / metric provenance unresolved; “deferred” = environment-blocked.</w:t>
      </w:r>
    </w:p>
    <w:p w14:paraId="70B4148A">
      <w:pPr>
        <w:keepNext/>
        <w:spacing w:before="80" w:after="80"/>
      </w:pPr>
      <w:r>
        <w:rPr>
          <w:rFonts w:ascii="Times New Roman" w:hAnsi="Times New Roman"/>
          <w:b/>
          <w:i w:val="0"/>
          <w:sz w:val="23"/>
        </w:rPr>
        <w:t>8.2 Stage two: the pre-specified identical-conditions comparison</w:t>
      </w:r>
    </w:p>
    <w:p w14:paraId="68101639">
      <w:pPr>
        <w:jc w:val="both"/>
      </w:pPr>
      <w:r>
        <w:rPr>
          <w:rFonts w:ascii="Times New Roman" w:hAnsi="Times New Roman"/>
          <w:b w:val="0"/>
          <w:i w:val="0"/>
          <w:sz w:val="22"/>
        </w:rPr>
        <w:t>Stage two is the protocol frozen in Section 7 and executed in the comparative phase that follows; fixing the datasets, splits, horizons, metrics, seeds, uncertainty method, and significance tests before any comparative run removes the investigator degrees of freedom that make post hoc state-of-the-art claims fragile. The present phase therefore makes two contributions to the eventual comparison: a suite of baselines validated to reproduce their published behaviour, and the frozen evaluation protocol. The per-disease, per-horizon accuracy and calibration results the protocol will produce, including the few-shot Ebola case study and the head-to-head comparison of our framework against the trusted baselines, are reported in the comparative phase of this work; none is pre-empted here.</w:t>
      </w:r>
    </w:p>
    <w:p w14:paraId="377093B6">
      <w:pPr>
        <w:keepNext/>
        <w:spacing w:before="120" w:after="130"/>
      </w:pPr>
      <w:r>
        <w:rPr>
          <w:rFonts w:ascii="Times New Roman" w:hAnsi="Times New Roman"/>
          <w:b/>
          <w:i w:val="0"/>
          <w:sz w:val="26"/>
        </w:rPr>
        <w:t>9 How the Framework Addresses Each Limitation</w:t>
      </w:r>
    </w:p>
    <w:p w14:paraId="098B2783">
      <w:pPr>
        <w:jc w:val="both"/>
      </w:pPr>
      <w:r>
        <w:rPr>
          <w:rFonts w:ascii="Times New Roman" w:hAnsi="Times New Roman"/>
          <w:b w:val="0"/>
          <w:i w:val="0"/>
          <w:sz w:val="22"/>
        </w:rPr>
        <w:t>Each property of the gap maps onto a specific design commitment, and the mapping is what makes the framework the intersection rather than another point solution. The confinement of prior work to a single disease or disease family is answered at the input boundary by the standardised, disease-agnostic schema of Section 6: because any surveillance stream — dengue, influenza, or Ebola — is expressed as the same node, edge, and signal tensor, one shared encoder ingests all of them without per-disease architectural surgery, turning disease-agnosticism from an evaluation footnote into a structural property. The reliance on static or single-family graphs with no adaptation is answered by transferable representation learning: rather than fitting a fresh model per dataset, the shared encoder is trained across data-rich diseases to capture disease-invariant spatio-temporal dynamics, using meta-learning in the model-agnostic meta-learning tradition (Finn, Abbeel, and Levine, 2017) and domain-generalisation objectives so that the learned representation is a warm start rather than a cold initialisation — the same machinery Panagopoulos et al. (2021) applied across countries, redirected to the cross-disease axis the literature has left open.</w:t>
      </w:r>
    </w:p>
    <w:p w14:paraId="0D34C487">
      <w:pPr>
        <w:jc w:val="both"/>
      </w:pPr>
      <w:r>
        <w:rPr>
          <w:rFonts w:ascii="Times New Roman" w:hAnsi="Times New Roman"/>
          <w:b w:val="0"/>
          <w:i w:val="0"/>
          <w:sz w:val="22"/>
        </w:rPr>
        <w:t>The absence of adaptation to scarce diseases is answered directly by the few-shot protocol on held-out Ebola, in which the transferable representation is adapted from only the first two observed weeks per district and then evaluated on the remainder; this is the operational payoff of the transferable encoder and the property no incumbent demonstrates on an unseen pathogen. The restriction to point forecasts is answered by calibrated conformal uncertainty, applied post hoc and model-agnostically with a time-series-valid variant (Xu and Xie, 2021; Gibbs and Candès, 2021) and reported through the continuous ranked probability score and coverage diagnostics, so that every forecast carries an interval with a checked coverage guarantee rather than an unquantified point. The black-box character of most incumbents is answered by explanation based on Shapley additive explanations (Lundberg and Lee, 2017), reported at both the global level, to show which drivers govern a disease's dynamics, and the local level, to attribute an individual forecast — a stronger claim than the attention-weight inspection that dominates the field.</w:t>
      </w:r>
    </w:p>
    <w:p w14:paraId="51BC36F4">
      <w:pPr>
        <w:jc w:val="both"/>
      </w:pPr>
      <w:r>
        <w:rPr>
          <w:rFonts w:ascii="Times New Roman" w:hAnsi="Times New Roman"/>
          <w:b w:val="0"/>
          <w:i w:val="0"/>
          <w:sz w:val="22"/>
        </w:rPr>
        <w:t>It is equally important to state what the framework does not claim. It is a forecasting system with calibrated uncertainty and post-hoc explanation, not a prescriptive decision engine: regional risk stratification and the ranking or optimisation of interventions, which the multi-disease model of Liu and Cao (2026) folds into its objective, are deliberately left out of scope here so that the contribution on transfer and calibration can be evaluated cleanly, and are noted as the natural next step.</w:t>
      </w:r>
    </w:p>
    <w:p w14:paraId="0D65B99B">
      <w:pPr>
        <w:keepNext/>
        <w:spacing w:before="120" w:after="130"/>
      </w:pPr>
      <w:r>
        <w:rPr>
          <w:rFonts w:ascii="Times New Roman" w:hAnsi="Times New Roman"/>
          <w:b/>
          <w:i w:val="0"/>
          <w:sz w:val="26"/>
        </w:rPr>
        <w:t>10 Conclusion</w:t>
      </w:r>
    </w:p>
    <w:p w14:paraId="4A5DD0A2">
      <w:pPr>
        <w:jc w:val="both"/>
      </w:pPr>
      <w:r>
        <w:rPr>
          <w:rFonts w:ascii="Times New Roman" w:hAnsi="Times New Roman"/>
          <w:b w:val="0"/>
          <w:i w:val="0"/>
          <w:sz w:val="22"/>
        </w:rPr>
        <w:t>This manuscript has established the foundations for a disease-agnostic spatio-temporal framework for emerging infectious disease forecasting. It formalised the task as multi-horizon, joint multi-node incidence prediction over a single shared representation, and specified that representation as a disease-agnostic bundle with leakage-safe, training-only normalisation that places dengue, influenza, and Ebola on a common weekly interface. It fixed an evaluation testbed — chronological splits, horizon-resolved point and probabilistic metrics, five seeds, a time-series-valid conformal uncertainty method, and a significance battery matched to the comparison — and it validated a baseline suite by reproducing state-of-the-art models on their own shipped datasets, establishing which can be trusted as comparators and freezing the protocol under which they will be compared. A structured competitive analysis across ten representative models isolated the gap the framework targets: the empty intersection of disease-agnostic construction, cross-disease transfer, few-shot adaptation to an unseen pathogen, and calibrated, explained forecasting. The next phase of the work executes the frozen protocol end to end — training the shared encoder across the development diseases, adapting it few-shot to Ebola, and reporting the per-disease, per-horizon accuracy, calibration, and explanation results, together with the head-to-head comparison against the reproduced baselines, that this groundwork was built to make defensible.</w:t>
      </w:r>
    </w:p>
    <w:p w14:paraId="40504CF9">
      <w:pPr>
        <w:keepNext/>
        <w:spacing w:before="120" w:after="130"/>
      </w:pPr>
      <w:r>
        <w:rPr>
          <w:rFonts w:ascii="Times New Roman" w:hAnsi="Times New Roman"/>
          <w:b/>
          <w:i w:val="0"/>
          <w:sz w:val="26"/>
        </w:rPr>
        <w:t>References</w:t>
      </w:r>
    </w:p>
    <w:p w14:paraId="184E6FB5">
      <w:pPr>
        <w:spacing w:after="80"/>
        <w:ind w:left="360" w:hanging="360"/>
        <w:jc w:val="left"/>
      </w:pPr>
      <w:r>
        <w:rPr>
          <w:rFonts w:ascii="Times New Roman" w:hAnsi="Times New Roman"/>
          <w:b w:val="0"/>
          <w:i w:val="0"/>
          <w:sz w:val="22"/>
        </w:rPr>
        <w:t>Brody, S., Alon, U., &amp; Yahav, E. (2022). How attentive are graph attention networks? In International Conference on Learning Representations (ICLR). arXiv:2105.14491.</w:t>
      </w:r>
    </w:p>
    <w:p w14:paraId="65779E2A">
      <w:pPr>
        <w:spacing w:after="80"/>
        <w:ind w:left="360" w:hanging="360"/>
        <w:jc w:val="left"/>
      </w:pPr>
      <w:r>
        <w:rPr>
          <w:rFonts w:ascii="Times New Roman" w:hAnsi="Times New Roman"/>
          <w:b w:val="0"/>
          <w:i w:val="0"/>
          <w:sz w:val="22"/>
        </w:rPr>
        <w:t>Cao, Q., Jiang, R., Yang, C., Fan, Z., Song, X., &amp; Shibasaki, R. (2022). MepoGNN: Metapopulation epidemic forecasting with graph neural networks. In Machine Learning and Knowledge Discovery in Databases (ECML-PKDD), LNCS, 453–468. Springer. arXiv:2306.14857.</w:t>
      </w:r>
    </w:p>
    <w:p w14:paraId="2259B848">
      <w:pPr>
        <w:spacing w:after="80"/>
        <w:ind w:left="360" w:hanging="360"/>
        <w:jc w:val="left"/>
      </w:pPr>
      <w:r>
        <w:rPr>
          <w:rFonts w:ascii="Times New Roman" w:hAnsi="Times New Roman"/>
          <w:b w:val="0"/>
          <w:i w:val="0"/>
          <w:sz w:val="22"/>
        </w:rPr>
        <w:t>Clarke, J., Lim, A., Gupte, P., Pigott, D. M., van Panhuis, W. G., &amp; Brady, O. J. (2024). A global dataset of publicly available dengue case count data. Scientific Data, 11, 296. https://doi.org/10.1038/s41597-024-03120-7</w:t>
      </w:r>
    </w:p>
    <w:p w14:paraId="3AF54F17">
      <w:pPr>
        <w:spacing w:after="80"/>
        <w:ind w:left="360" w:hanging="360"/>
        <w:jc w:val="left"/>
      </w:pPr>
      <w:r>
        <w:rPr>
          <w:rFonts w:ascii="Times New Roman" w:hAnsi="Times New Roman"/>
          <w:b w:val="0"/>
          <w:i w:val="0"/>
          <w:sz w:val="22"/>
        </w:rPr>
        <w:t>Croft, V. M., van Iersel, S. C. J. L., &amp; Della Santina, C. (2023). Forecasting infections with spatio-temporal graph neural networks: a case study of the Dutch SARS-CoV-2 spread. Frontiers in Physics, 11, 1277052. https://doi.org/10.3389/fphy.2023.1277052</w:t>
      </w:r>
    </w:p>
    <w:p w14:paraId="3D3F4289">
      <w:pPr>
        <w:spacing w:after="80"/>
        <w:ind w:left="360" w:hanging="360"/>
        <w:jc w:val="left"/>
      </w:pPr>
      <w:r>
        <w:rPr>
          <w:rFonts w:ascii="Times New Roman" w:hAnsi="Times New Roman"/>
          <w:b w:val="0"/>
          <w:i w:val="0"/>
          <w:sz w:val="22"/>
        </w:rPr>
        <w:t>Demšar, J. (2006). Statistical comparisons of classifiers over multiple data sets. Journal of Machine Learning Research, 7, 1–30.</w:t>
      </w:r>
    </w:p>
    <w:p w14:paraId="038C5279">
      <w:pPr>
        <w:spacing w:after="80"/>
        <w:ind w:left="360" w:hanging="360"/>
        <w:jc w:val="left"/>
      </w:pPr>
      <w:r>
        <w:rPr>
          <w:rFonts w:ascii="Times New Roman" w:hAnsi="Times New Roman"/>
          <w:b w:val="0"/>
          <w:i w:val="0"/>
          <w:sz w:val="22"/>
        </w:rPr>
        <w:t>Deng, S., Wang, S., Rangwala, H., Wang, L., &amp; Ning, Y. (2020). Cola-GNN: Cross-location attention based graph neural networks for long-term ILI prediction. In Proceedings of the 29th ACM International Conference on Information and Knowledge Management (CIKM). https://doi.org/10.1145/3340531.3411975</w:t>
      </w:r>
    </w:p>
    <w:p w14:paraId="3FB5642B">
      <w:pPr>
        <w:spacing w:after="80"/>
        <w:ind w:left="360" w:hanging="360"/>
        <w:jc w:val="left"/>
      </w:pPr>
      <w:r>
        <w:rPr>
          <w:rFonts w:ascii="Times New Roman" w:hAnsi="Times New Roman"/>
          <w:b w:val="0"/>
          <w:i w:val="0"/>
          <w:sz w:val="22"/>
        </w:rPr>
        <w:t>Diebold, F. X., &amp; Mariano, R. S. (1995). Comparing predictive accuracy. Journal of Business &amp; Economic Statistics, 13(3), 253–263.</w:t>
      </w:r>
    </w:p>
    <w:p w14:paraId="103B7840">
      <w:pPr>
        <w:spacing w:after="80"/>
        <w:ind w:left="360" w:hanging="360"/>
        <w:jc w:val="left"/>
      </w:pPr>
      <w:r>
        <w:rPr>
          <w:rFonts w:ascii="Times New Roman" w:hAnsi="Times New Roman"/>
          <w:b w:val="0"/>
          <w:i w:val="0"/>
          <w:sz w:val="22"/>
        </w:rPr>
        <w:t>Ezzat, M., Malek, Y. M., AbdelKader, T., &amp; Badr, N. (2026). Spatio-temporal epidemic forecasting with graph-based transformer. International Journal of Health Geographics, 25, 33. https://doi.org/10.1186/s12942-026-00476-4</w:t>
      </w:r>
    </w:p>
    <w:p w14:paraId="3BD7AB27">
      <w:pPr>
        <w:spacing w:after="80"/>
        <w:ind w:left="360" w:hanging="360"/>
        <w:jc w:val="left"/>
      </w:pPr>
      <w:r>
        <w:rPr>
          <w:rFonts w:ascii="Times New Roman" w:hAnsi="Times New Roman"/>
          <w:b w:val="0"/>
          <w:i w:val="0"/>
          <w:sz w:val="22"/>
        </w:rPr>
        <w:t>Finn, C., Abbeel, P., &amp; Levine, S. (2017). Model-agnostic meta-learning for fast adaptation of deep networks. In Proceedings of the 34th International Conference on Machine Learning (ICML), 1126–1135.</w:t>
      </w:r>
    </w:p>
    <w:p w14:paraId="234CF8EC">
      <w:pPr>
        <w:spacing w:after="80"/>
        <w:ind w:left="360" w:hanging="360"/>
        <w:jc w:val="left"/>
      </w:pPr>
      <w:r>
        <w:rPr>
          <w:rFonts w:ascii="Times New Roman" w:hAnsi="Times New Roman"/>
          <w:b w:val="0"/>
          <w:i w:val="0"/>
          <w:sz w:val="22"/>
        </w:rPr>
        <w:t>Gao, J., Sharma, R., Qian, C., Glass, L. M., Spaeder, J., Romberg, J., Sun, J., &amp; Xiao, C. (2021). STAN: Spatio-temporal attention network for pandemic prediction using real-world evidence. Journal of the American Medical Informatics Association, 28(4), 733–743.</w:t>
      </w:r>
    </w:p>
    <w:p w14:paraId="5E1C0D2D">
      <w:pPr>
        <w:spacing w:after="80"/>
        <w:ind w:left="360" w:hanging="360"/>
        <w:jc w:val="left"/>
      </w:pPr>
      <w:r>
        <w:rPr>
          <w:rFonts w:ascii="Times New Roman" w:hAnsi="Times New Roman"/>
          <w:b w:val="0"/>
          <w:i w:val="0"/>
          <w:sz w:val="22"/>
        </w:rPr>
        <w:t>Giacomini, R., &amp; White, H. (2006). Tests of conditional predictive ability. Econometrica, 74(6), 1545–1578.</w:t>
      </w:r>
    </w:p>
    <w:p w14:paraId="0173A325">
      <w:pPr>
        <w:spacing w:after="80"/>
        <w:ind w:left="360" w:hanging="360"/>
        <w:jc w:val="left"/>
      </w:pPr>
      <w:r>
        <w:rPr>
          <w:rFonts w:ascii="Times New Roman" w:hAnsi="Times New Roman"/>
          <w:b w:val="0"/>
          <w:i w:val="0"/>
          <w:sz w:val="22"/>
        </w:rPr>
        <w:t>Gibbs, I., &amp; Candès, E. (2021). Adaptive conformal inference under distribution shift. In Advances in Neural Information Processing Systems (NeurIPS).</w:t>
      </w:r>
    </w:p>
    <w:p w14:paraId="6C00B933">
      <w:pPr>
        <w:spacing w:after="80"/>
        <w:ind w:left="360" w:hanging="360"/>
        <w:jc w:val="left"/>
      </w:pPr>
      <w:r>
        <w:rPr>
          <w:rFonts w:ascii="Times New Roman" w:hAnsi="Times New Roman"/>
          <w:b w:val="0"/>
          <w:i w:val="0"/>
          <w:sz w:val="22"/>
        </w:rPr>
        <w:t>Global Administrative Areas (GADM). (2022). GADM database of global administrative areas, version 4.1. https://gadm.org</w:t>
      </w:r>
    </w:p>
    <w:p w14:paraId="7D36927E">
      <w:pPr>
        <w:spacing w:after="80"/>
        <w:ind w:left="360" w:hanging="360"/>
        <w:jc w:val="left"/>
      </w:pPr>
      <w:r>
        <w:rPr>
          <w:rFonts w:ascii="Times New Roman" w:hAnsi="Times New Roman"/>
          <w:b w:val="0"/>
          <w:i w:val="0"/>
          <w:sz w:val="22"/>
        </w:rPr>
        <w:t>Harvey, D., Leybourne, S., &amp; Newbold, P. (1997). Testing the equality of prediction mean squared errors. International Journal of Forecasting, 13(2), 281–291.</w:t>
      </w:r>
    </w:p>
    <w:p w14:paraId="3E153104">
      <w:pPr>
        <w:spacing w:after="80"/>
        <w:ind w:left="360" w:hanging="360"/>
        <w:jc w:val="left"/>
      </w:pPr>
      <w:r>
        <w:rPr>
          <w:rFonts w:ascii="Times New Roman" w:hAnsi="Times New Roman"/>
          <w:b w:val="0"/>
          <w:i w:val="0"/>
          <w:sz w:val="22"/>
        </w:rPr>
        <w:t>Jiao, S., Wang, Y., Ye, X., Nagahara, L., &amp; Sakurai, T. (2025). Spatio-temporal epidemic forecasting using mobility data with LSTM networks and attention mechanism. Scientific Reports, 15, 9603. https://doi.org/10.1038/s41598-025-94089-9</w:t>
      </w:r>
    </w:p>
    <w:p w14:paraId="7A074BF3">
      <w:pPr>
        <w:spacing w:after="80"/>
        <w:ind w:left="360" w:hanging="360"/>
        <w:jc w:val="left"/>
      </w:pPr>
      <w:r>
        <w:rPr>
          <w:rFonts w:ascii="Times New Roman" w:hAnsi="Times New Roman"/>
          <w:b w:val="0"/>
          <w:i w:val="0"/>
          <w:sz w:val="22"/>
        </w:rPr>
        <w:t>Jin, M., Koh, H. Y., Wen, Q., Zambon, D., Alippi, C., Webb, G. I., King, I., &amp; Pan, S. (2024). A survey on graph neural networks for time series: Forecasting, classification, imputation, and anomaly detection. IEEE Transactions on Pattern Analysis and Machine Intelligence, 46(12), 10466–10485.</w:t>
      </w:r>
    </w:p>
    <w:p w14:paraId="601633B6">
      <w:pPr>
        <w:spacing w:after="80"/>
        <w:ind w:left="360" w:hanging="360"/>
        <w:jc w:val="left"/>
      </w:pPr>
      <w:r>
        <w:rPr>
          <w:rFonts w:ascii="Times New Roman" w:hAnsi="Times New Roman"/>
          <w:b w:val="0"/>
          <w:i w:val="0"/>
          <w:sz w:val="22"/>
        </w:rPr>
        <w:t>Li, Y., Yu, R., Shahabi, C., &amp; Liu, Y. (2018). Diffusion convolutional recurrent neural network: Data-driven traffic forecasting. In International Conference on Learning Representations (ICLR).</w:t>
      </w:r>
    </w:p>
    <w:p w14:paraId="0D956E50">
      <w:pPr>
        <w:spacing w:after="80"/>
        <w:ind w:left="360" w:hanging="360"/>
        <w:jc w:val="left"/>
      </w:pPr>
      <w:r>
        <w:rPr>
          <w:rFonts w:ascii="Times New Roman" w:hAnsi="Times New Roman"/>
          <w:b w:val="0"/>
          <w:i w:val="0"/>
          <w:sz w:val="22"/>
        </w:rPr>
        <w:t>Liu, S., &amp; Cao, L. (2026). Dynamic spatiotemporal graph attention networks for cross-regional multi-disease forecasting and intervention optimization. Frontiers in Public Health, 14, 1720620. https://doi.org/10.3389/fpubh.2026.1720620</w:t>
      </w:r>
    </w:p>
    <w:p w14:paraId="061445DE">
      <w:pPr>
        <w:spacing w:after="80"/>
        <w:ind w:left="360" w:hanging="360"/>
        <w:jc w:val="left"/>
      </w:pPr>
      <w:r>
        <w:rPr>
          <w:rFonts w:ascii="Times New Roman" w:hAnsi="Times New Roman"/>
          <w:b w:val="0"/>
          <w:i w:val="0"/>
          <w:sz w:val="22"/>
        </w:rPr>
        <w:t>Liu, Z., Wan, G., Prakash, B. A., Lau, M. S. Y., &amp; Jin, W. (2024). A review of graph neural networks in epidemic modeling. arXiv:2403.19852.</w:t>
      </w:r>
    </w:p>
    <w:p w14:paraId="2CA8AFB6">
      <w:pPr>
        <w:spacing w:after="80"/>
        <w:ind w:left="360" w:hanging="360"/>
        <w:jc w:val="left"/>
      </w:pPr>
      <w:r>
        <w:rPr>
          <w:rFonts w:ascii="Times New Roman" w:hAnsi="Times New Roman"/>
          <w:b w:val="0"/>
          <w:i w:val="0"/>
          <w:sz w:val="22"/>
        </w:rPr>
        <w:t>Lundberg, S. M., &amp; Lee, S.-I. (2017). A unified approach to interpreting model predictions. In Advances in Neural Information Processing Systems (NeurIPS), 4765–4774.</w:t>
      </w:r>
    </w:p>
    <w:p w14:paraId="20573C44">
      <w:pPr>
        <w:spacing w:after="80"/>
        <w:ind w:left="360" w:hanging="360"/>
        <w:jc w:val="left"/>
      </w:pPr>
      <w:r>
        <w:rPr>
          <w:rFonts w:ascii="Times New Roman" w:hAnsi="Times New Roman"/>
          <w:b w:val="0"/>
          <w:i w:val="0"/>
          <w:sz w:val="22"/>
        </w:rPr>
        <w:t>Mao, J., Han, Y., Tanaka, G., &amp; Wang, B. (2023). Backbone-based dynamic graph spatio-temporal network for epidemic forecasting. arXiv:2312.00485.</w:t>
      </w:r>
    </w:p>
    <w:p w14:paraId="083314AC">
      <w:pPr>
        <w:spacing w:after="80"/>
        <w:ind w:left="360" w:hanging="360"/>
        <w:jc w:val="left"/>
      </w:pPr>
      <w:r>
        <w:rPr>
          <w:rFonts w:ascii="Times New Roman" w:hAnsi="Times New Roman"/>
          <w:b w:val="0"/>
          <w:i w:val="0"/>
          <w:sz w:val="22"/>
        </w:rPr>
        <w:t>Muñoz-Organero, M. (2022). Space-distributed traffic-enhanced LSTM-based machine learning model for COVID-19 incidence forecasting. Computational Intelligence and Neuroscience, 2022, 4307708. https://doi.org/10.1155/2022/4307708</w:t>
      </w:r>
    </w:p>
    <w:p w14:paraId="1F547B80">
      <w:pPr>
        <w:spacing w:after="80"/>
        <w:ind w:left="360" w:hanging="360"/>
        <w:jc w:val="left"/>
      </w:pPr>
      <w:r>
        <w:rPr>
          <w:rFonts w:ascii="Times New Roman" w:hAnsi="Times New Roman"/>
          <w:b w:val="0"/>
          <w:i w:val="0"/>
          <w:sz w:val="22"/>
        </w:rPr>
        <w:t>Nguyen, V. B., Hy, T. S., Tran-Thanh, L., &amp; Nghiem, N. (2023). Predicting COVID-19 pandemic by spatio-temporal graph neural networks: A New Zealand's study. arXiv:2305.07731.</w:t>
      </w:r>
    </w:p>
    <w:p w14:paraId="0A82B4E1">
      <w:pPr>
        <w:spacing w:after="80"/>
        <w:ind w:left="360" w:hanging="360"/>
        <w:jc w:val="left"/>
      </w:pPr>
      <w:r>
        <w:rPr>
          <w:rFonts w:ascii="Times New Roman" w:hAnsi="Times New Roman"/>
          <w:b w:val="0"/>
          <w:i w:val="0"/>
          <w:sz w:val="22"/>
        </w:rPr>
        <w:t>Panagopoulos, G., Nikolentzos, G., &amp; Vazirgiannis, M. (2021). Transfer graph neural networks for pandemic forecasting. In Proceedings of the AAAI Conference on Artificial Intelligence, 35(6), 4838–4845.</w:t>
      </w:r>
    </w:p>
    <w:p w14:paraId="44EFA0F9">
      <w:pPr>
        <w:spacing w:after="80"/>
        <w:ind w:left="360" w:hanging="360"/>
        <w:jc w:val="left"/>
      </w:pPr>
      <w:r>
        <w:rPr>
          <w:rFonts w:ascii="Times New Roman" w:hAnsi="Times New Roman"/>
          <w:b w:val="0"/>
          <w:i w:val="0"/>
          <w:sz w:val="22"/>
        </w:rPr>
        <w:t>Ruan, S., Li, J., Wei, J., Xu, Z., Bao, J., Xu, J., Qiu, J., Wang, S., Wang, X., &amp; Yuan, H. (2026). Prior knowledge-enhanced spatio-temporal epidemic forecasting (STOEP). arXiv:2602.22270.</w:t>
      </w:r>
    </w:p>
    <w:p w14:paraId="0C9855E4">
      <w:pPr>
        <w:spacing w:after="80"/>
        <w:ind w:left="360" w:hanging="360"/>
        <w:jc w:val="left"/>
      </w:pPr>
      <w:r>
        <w:rPr>
          <w:rFonts w:ascii="Times New Roman" w:hAnsi="Times New Roman"/>
          <w:b w:val="0"/>
          <w:i w:val="0"/>
          <w:sz w:val="22"/>
        </w:rPr>
        <w:t>Wang, L., Adiga, A., Chen, J., Sadilek, A., Venkatramanan, S., &amp; Marathe, M. (2022). CausalGNN: Causal-based graph neural networks for spatio-temporal epidemic forecasting. In Proceedings of the AAAI Conference on Artificial Intelligence, 36(11), 12191–12199.</w:t>
      </w:r>
    </w:p>
    <w:p w14:paraId="177F4994">
      <w:pPr>
        <w:spacing w:after="80"/>
        <w:ind w:left="360" w:hanging="360"/>
        <w:jc w:val="left"/>
      </w:pPr>
      <w:r>
        <w:rPr>
          <w:rFonts w:ascii="Times New Roman" w:hAnsi="Times New Roman"/>
          <w:b w:val="0"/>
          <w:i w:val="0"/>
          <w:sz w:val="22"/>
        </w:rPr>
        <w:t>World Health Organization. (2016). Ebola situation reports: 2014–2016 West African outbreak — district-level weekly case incidence for Guinea, Liberia, and Sierra Leone. Geneva: WHO. Distributed via the Humanitarian Data Exchange (HDX). https://data.humdata.org</w:t>
      </w:r>
    </w:p>
    <w:p w14:paraId="10C8A082">
      <w:pPr>
        <w:spacing w:after="80"/>
        <w:ind w:left="360" w:hanging="360"/>
        <w:jc w:val="left"/>
      </w:pPr>
      <w:r>
        <w:rPr>
          <w:rFonts w:ascii="Times New Roman" w:hAnsi="Times New Roman"/>
          <w:b w:val="0"/>
          <w:i w:val="0"/>
          <w:sz w:val="22"/>
        </w:rPr>
        <w:t>WHO Ebola Response Team. (2014). Ebola virus disease in West Africa — the first nine months of the epidemic and forward projections. New England Journal of Medicine, 371(16), 1481–1495.</w:t>
      </w:r>
    </w:p>
    <w:p w14:paraId="264E0CFB">
      <w:pPr>
        <w:spacing w:after="80"/>
        <w:ind w:left="360" w:hanging="360"/>
        <w:jc w:val="left"/>
      </w:pPr>
      <w:r>
        <w:rPr>
          <w:rFonts w:ascii="Times New Roman" w:hAnsi="Times New Roman"/>
          <w:b w:val="0"/>
          <w:i w:val="0"/>
          <w:sz w:val="22"/>
        </w:rPr>
        <w:t>Wu, Z., Pan, S., Long, G., Jiang, J., Chang, X., &amp; Zhang, C. (2020). Connecting the dots: Multivariate time series forecasting with graph neural networks. In Proceedings of the 26th ACM SIGKDD International Conference on Knowledge Discovery &amp; Data Mining (KDD).</w:t>
      </w:r>
    </w:p>
    <w:p w14:paraId="46A832E8">
      <w:pPr>
        <w:spacing w:after="80"/>
        <w:ind w:left="360" w:hanging="360"/>
        <w:jc w:val="left"/>
      </w:pPr>
      <w:r>
        <w:rPr>
          <w:rFonts w:ascii="Times New Roman" w:hAnsi="Times New Roman"/>
          <w:b w:val="0"/>
          <w:i w:val="0"/>
          <w:sz w:val="22"/>
        </w:rPr>
        <w:t>Wu, Z., Pan, S., Long, G., Jiang, J., &amp; Zhang, C. (2019). Graph WaveNet for deep spatial-temporal graph modeling. In Proceedings of the 28th International Joint Conference on Artificial Intelligence (IJCAI), 1907–1913.</w:t>
      </w:r>
    </w:p>
    <w:p w14:paraId="41C7901E">
      <w:pPr>
        <w:spacing w:after="80"/>
        <w:ind w:left="360" w:hanging="360"/>
        <w:jc w:val="left"/>
      </w:pPr>
      <w:r>
        <w:rPr>
          <w:rFonts w:ascii="Times New Roman" w:hAnsi="Times New Roman"/>
          <w:b w:val="0"/>
          <w:i w:val="0"/>
          <w:sz w:val="22"/>
        </w:rPr>
        <w:t>Xie, F., Zhang, Z., Li, L., Zhou, B., &amp; Tan, Y. (2022). EpiGNN: Exploring spatial transmission with graph neural network for regional epidemic forecasting. In Machine Learning and Knowledge Discovery in Databases (ECML-PKDD), LNCS 13718. Springer. https://doi.org/10.1007/978-3-031-26422-1_29</w:t>
      </w:r>
    </w:p>
    <w:p w14:paraId="4789BC0D">
      <w:pPr>
        <w:spacing w:after="80"/>
        <w:ind w:left="360" w:hanging="360"/>
        <w:jc w:val="left"/>
      </w:pPr>
      <w:r>
        <w:rPr>
          <w:rFonts w:ascii="Times New Roman" w:hAnsi="Times New Roman"/>
          <w:b w:val="0"/>
          <w:i w:val="0"/>
          <w:sz w:val="22"/>
        </w:rPr>
        <w:t>Xu, C., &amp; Xie, Y. (2021). Conformal prediction interval for dynamic time-series. In Proceedings of the 38th International Conference on Machine Learning (ICML), PMLR 139.</w:t>
      </w:r>
    </w:p>
    <w:p w14:paraId="3FA38FCF">
      <w:pPr>
        <w:spacing w:after="80"/>
        <w:ind w:left="360" w:hanging="360"/>
        <w:jc w:val="left"/>
      </w:pPr>
      <w:r>
        <w:rPr>
          <w:rFonts w:ascii="Times New Roman" w:hAnsi="Times New Roman"/>
          <w:b w:val="0"/>
          <w:i w:val="0"/>
          <w:sz w:val="22"/>
        </w:rPr>
        <w:t>Yu, B., Yin, H., &amp; Zhu, Z. (2018). Spatio-temporal graph convolutional networks: A deep learning framework for traffic forecasting. In Proceedings of the 27th International Joint Conference on Artificial Intelligence (IJCAI).</w:t>
      </w:r>
    </w:p>
    <w:p w14:paraId="330F6C75">
      <w:pPr>
        <w:spacing w:after="80"/>
        <w:ind w:left="360" w:hanging="360"/>
        <w:jc w:val="left"/>
      </w:pPr>
      <w:r>
        <w:rPr>
          <w:rFonts w:ascii="Times New Roman" w:hAnsi="Times New Roman"/>
          <w:b w:val="0"/>
          <w:i w:val="0"/>
          <w:sz w:val="22"/>
        </w:rPr>
        <w:t>Zheng, Y., Jiang, W., Chen, T., Zhou, A., Zhan, C., Nguyen, Q. V. H., &amp; Yin, H. (2024). Epidemiology-informed graph neural network for heterogeneity-aware epidemic forecasting (HeatGNN). arXiv:2411.17372.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A871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0" w:line="276" w:lineRule="auto"/>
    </w:pPr>
    <w:rPr>
      <w:rFonts w:ascii="Times New Roman" w:hAnsi="Times New Roman" w:cs="Times New Roman" w:eastAsiaTheme="minorEastAsia"/>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2581</Words>
  <Characters>15933</Characters>
  <Lines>0</Lines>
  <Paragraphs>0</Paragraphs>
  <TotalTime>0</TotalTime>
  <ScaleCrop>false</ScaleCrop>
  <LinksUpToDate>false</LinksUpToDate>
  <CharactersWithSpaces>18465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2026-07-10T08:59:03Z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FFE7BFA876F747EC98E9C0B8507724DF_13</vt:lpwstr>
  </property>
</Properties>
</file>