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89888">
      <w:pPr>
        <w:pStyle w:val="36"/>
        <w:rPr>
          <w:rFonts w:hint="default"/>
          <w:lang w:val="en-US"/>
        </w:rPr>
      </w:pPr>
      <w:r>
        <w:rPr>
          <w:rFonts w:hint="default"/>
          <w:lang w:val="en-US"/>
        </w:rPr>
        <w:t>Encoder Results</w:t>
      </w:r>
    </w:p>
    <w:p w14:paraId="697D2CAB">
      <w:pPr>
        <w:spacing w:after="120"/>
      </w:pPr>
      <w:r>
        <w:rPr>
          <w:b/>
          <w:i w:val="0"/>
        </w:rPr>
        <w:t>30 July 2026 · Phase 3, Week 4</w:t>
      </w:r>
    </w:p>
    <w:p w14:paraId="579E5D8D">
      <w:pPr>
        <w:pStyle w:val="3"/>
      </w:pPr>
      <w:r>
        <w:t>1. What was wrong with the old number</w:t>
      </w:r>
    </w:p>
    <w:p w14:paraId="0CE5A38B">
      <w:pPr>
        <w:spacing w:after="120"/>
      </w:pPr>
      <w:r>
        <w:rPr>
          <w:b w:val="0"/>
          <w:i w:val="0"/>
        </w:rPr>
        <w:t>We had two tables that used different comparison points without saying so.</w:t>
      </w:r>
    </w:p>
    <w:p w14:paraId="48D7F21C">
      <w:pPr>
        <w:spacing w:after="120"/>
        <w:rPr>
          <w:b w:val="0"/>
          <w:i w:val="0"/>
        </w:rPr>
      </w:pPr>
      <w:r>
        <w:rPr>
          <w:b w:val="0"/>
          <w:i w:val="0"/>
        </w:rPr>
        <w:t xml:space="preserve">Our model runs five times with different random starts ("seeds"), giving five slightly different results. The transfer table compared against </w:t>
      </w:r>
      <w:r>
        <w:rPr>
          <w:b/>
          <w:i w:val="0"/>
        </w:rPr>
        <w:t>one specific run</w:t>
      </w:r>
      <w:r>
        <w:rPr>
          <w:b w:val="0"/>
          <w:i w:val="0"/>
        </w:rPr>
        <w:t xml:space="preserve">. The accuracy table reported the </w:t>
      </w:r>
      <w:r>
        <w:rPr>
          <w:b/>
          <w:i w:val="0"/>
        </w:rPr>
        <w:t>average of all five</w:t>
      </w:r>
      <w:r>
        <w:rPr>
          <w:b w:val="0"/>
          <w:i w:val="0"/>
        </w:rPr>
        <w:t xml:space="preserve">. </w:t>
      </w:r>
    </w:p>
    <w:p w14:paraId="2B141524">
      <w:pPr>
        <w:spacing w:after="120"/>
      </w:pPr>
      <w:r>
        <w:rPr>
          <w:b/>
          <w:i w:val="0"/>
        </w:rPr>
        <w:t>The dengue case</w:t>
      </w:r>
      <w:r>
        <w:rPr>
          <w:rFonts w:hint="default"/>
          <w:b w:val="0"/>
          <w:bCs/>
          <w:i w:val="0"/>
          <w:lang w:val="en-US"/>
        </w:rPr>
        <w:t xml:space="preserve"> that is r</w:t>
      </w:r>
      <w:r>
        <w:rPr>
          <w:b w:val="0"/>
          <w:i w:val="0"/>
        </w:rPr>
        <w:t xml:space="preserve">eported as 2.9% </w:t>
      </w:r>
      <w:r>
        <w:rPr>
          <w:b w:val="0"/>
          <w:i/>
        </w:rPr>
        <w:t>better</w:t>
      </w:r>
      <w:r>
        <w:rPr>
          <w:b w:val="0"/>
          <w:i w:val="0"/>
        </w:rPr>
        <w:t xml:space="preserve">, it is actually </w:t>
      </w:r>
      <w:r>
        <w:rPr>
          <w:b/>
          <w:i w:val="0"/>
        </w:rPr>
        <w:t>15.4% worse</w:t>
      </w:r>
      <w:r>
        <w:rPr>
          <w:b w:val="0"/>
          <w:i w:val="0"/>
        </w:rPr>
        <w:t xml:space="preserve"> once compared against the five-run average. The cause is the single-disease dengue run we happened to compare against was an unusually bad one (50.0 against roughly 37–47 for the other four). Measuring against a weak opponent made transfer look good.</w:t>
      </w:r>
    </w:p>
    <w:p w14:paraId="3C8E4237">
      <w:pPr>
        <w:spacing w:after="120"/>
        <w:rPr>
          <w:rFonts w:hint="default"/>
          <w:lang w:val="en-US"/>
        </w:rPr>
      </w:pPr>
      <w:r>
        <w:rPr>
          <w:b/>
          <w:i w:val="0"/>
        </w:rPr>
        <w:t>Fixed going forward.</w:t>
      </w:r>
      <w:r>
        <w:rPr>
          <w:b w:val="0"/>
          <w:i w:val="0"/>
        </w:rPr>
        <w:t xml:space="preserve"> Every comparison table we produce now states its comparison point on the table itself</w:t>
      </w:r>
      <w:r>
        <w:rPr>
          <w:rFonts w:hint="default"/>
          <w:b w:val="0"/>
          <w:i w:val="0"/>
          <w:lang w:val="en-US"/>
        </w:rPr>
        <w:t>.</w:t>
      </w:r>
    </w:p>
    <w:p w14:paraId="6B7E36AD">
      <w:pPr>
        <w:pStyle w:val="3"/>
      </w:pPr>
      <w:r>
        <w:t>2. The fold problem, and what the honest number looks like</w:t>
      </w:r>
    </w:p>
    <w:p w14:paraId="2DA6C5E2">
      <w:pPr>
        <w:spacing w:after="120"/>
      </w:pPr>
      <w:r>
        <w:rPr>
          <w:b w:val="0"/>
          <w:i w:val="0"/>
        </w:rPr>
        <w:t xml:space="preserve">Three of our four datasets are influenza. Holding out flu-Japan still left the model trained on flu-US-regions and flu-US-states — so it had seen the disease, just not that population. That is </w:t>
      </w:r>
      <w:r>
        <w:rPr>
          <w:b/>
          <w:i w:val="0"/>
        </w:rPr>
        <w:t>population transfer</w:t>
      </w:r>
      <w:r>
        <w:rPr>
          <w:b w:val="0"/>
          <w:i w:val="0"/>
        </w:rPr>
        <w:t>, and it is a real but much smaller claim than the one the paper needs.</w:t>
      </w:r>
    </w:p>
    <w:p w14:paraId="786C1A98">
      <w:pPr>
        <w:spacing w:after="120"/>
      </w:pPr>
      <w:r>
        <w:rPr>
          <w:b w:val="0"/>
          <w:i w:val="0"/>
        </w:rPr>
        <w:t xml:space="preserve">We rebuilt the experiment to hold out the </w:t>
      </w:r>
      <w:r>
        <w:rPr>
          <w:b w:val="0"/>
          <w:i/>
        </w:rPr>
        <w:t>disease</w:t>
      </w:r>
      <w:r>
        <w:rPr>
          <w:b w:val="0"/>
          <w:i w:val="0"/>
        </w:rPr>
        <w:t xml:space="preserve">: all three influenza sets together on one side, dengue on the other. That is </w:t>
      </w:r>
      <w:r>
        <w:rPr>
          <w:b/>
          <w:i w:val="0"/>
        </w:rPr>
        <w:t>cross-disease transfer</w:t>
      </w:r>
      <w:r>
        <w:rPr>
          <w:b w:val="0"/>
          <w:i w:val="0"/>
        </w:rPr>
        <w:t>, and it is the number the paper rests on.</w:t>
      </w:r>
    </w:p>
    <w:p w14:paraId="76308AAC">
      <w:pPr>
        <w:pStyle w:val="4"/>
      </w:pPr>
      <w:r>
        <w:t>Side by side (forecast error, positive = transfer helps)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5130EF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2160" w:type="dxa"/>
          </w:tcPr>
          <w:p w14:paraId="14B99E91">
            <w:pPr>
              <w:spacing w:after="0" w:line="240" w:lineRule="auto"/>
            </w:pPr>
            <w:r>
              <w:rPr>
                <w:b/>
                <w:i w:val="0"/>
                <w:sz w:val="18"/>
              </w:rPr>
              <w:t>dataset</w:t>
            </w:r>
          </w:p>
        </w:tc>
        <w:tc>
          <w:tcPr>
            <w:tcW w:w="2160" w:type="dxa"/>
          </w:tcPr>
          <w:p w14:paraId="40BDDF45">
            <w:pPr>
              <w:spacing w:after="0" w:line="240" w:lineRule="auto"/>
            </w:pPr>
            <w:r>
              <w:rPr>
                <w:b/>
                <w:i w:val="0"/>
                <w:sz w:val="18"/>
              </w:rPr>
              <w:t>weeks ahead</w:t>
            </w:r>
          </w:p>
        </w:tc>
        <w:tc>
          <w:tcPr>
            <w:tcW w:w="2160" w:type="dxa"/>
          </w:tcPr>
          <w:p w14:paraId="4B47CE99">
            <w:pPr>
              <w:spacing w:after="0" w:line="240" w:lineRule="auto"/>
            </w:pPr>
            <w:r>
              <w:rPr>
                <w:b/>
                <w:i w:val="0"/>
                <w:sz w:val="18"/>
              </w:rPr>
              <w:t>old fold (population)</w:t>
            </w:r>
          </w:p>
        </w:tc>
        <w:tc>
          <w:tcPr>
            <w:tcW w:w="2160" w:type="dxa"/>
          </w:tcPr>
          <w:p w14:paraId="799D16D7">
            <w:pPr>
              <w:spacing w:after="0" w:line="240" w:lineRule="auto"/>
            </w:pPr>
            <w:r>
              <w:rPr>
                <w:b/>
                <w:i w:val="0"/>
                <w:sz w:val="18"/>
              </w:rPr>
              <w:t>corrected fold (disease)</w:t>
            </w:r>
          </w:p>
        </w:tc>
      </w:tr>
      <w:tr w14:paraId="2048A2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2AC0001">
            <w:pPr>
              <w:spacing w:after="0" w:line="240" w:lineRule="auto"/>
            </w:pPr>
            <w:r>
              <w:rPr>
                <w:b w:val="0"/>
                <w:i w:val="0"/>
                <w:sz w:val="18"/>
              </w:rPr>
              <w:t>flu Japan</w:t>
            </w:r>
          </w:p>
        </w:tc>
        <w:tc>
          <w:tcPr>
            <w:tcW w:w="2160" w:type="dxa"/>
          </w:tcPr>
          <w:p w14:paraId="085F70DD">
            <w:pPr>
              <w:spacing w:after="0" w:line="240" w:lineRule="auto"/>
            </w:pPr>
            <w:r>
              <w:rPr>
                <w:b w:val="0"/>
                <w:i w:val="0"/>
                <w:sz w:val="18"/>
              </w:rPr>
              <w:t>3</w:t>
            </w:r>
          </w:p>
        </w:tc>
        <w:tc>
          <w:tcPr>
            <w:tcW w:w="2160" w:type="dxa"/>
          </w:tcPr>
          <w:p w14:paraId="479A5F97">
            <w:pPr>
              <w:spacing w:after="0" w:line="240" w:lineRule="auto"/>
            </w:pPr>
            <w:r>
              <w:rPr>
                <w:b w:val="0"/>
                <w:i w:val="0"/>
                <w:sz w:val="18"/>
              </w:rPr>
              <w:t>+24.0%</w:t>
            </w:r>
          </w:p>
        </w:tc>
        <w:tc>
          <w:tcPr>
            <w:tcW w:w="2160" w:type="dxa"/>
          </w:tcPr>
          <w:p w14:paraId="6984876C">
            <w:pPr>
              <w:spacing w:after="0" w:line="240" w:lineRule="auto"/>
            </w:pPr>
            <w:r>
              <w:rPr>
                <w:b w:val="0"/>
                <w:i w:val="0"/>
                <w:sz w:val="18"/>
              </w:rPr>
              <w:t>no measurable effect</w:t>
            </w:r>
          </w:p>
        </w:tc>
      </w:tr>
      <w:tr w14:paraId="44D889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46CA9AB1">
            <w:pPr>
              <w:spacing w:after="0" w:line="240" w:lineRule="auto"/>
            </w:pPr>
            <w:r>
              <w:rPr>
                <w:b w:val="0"/>
                <w:i w:val="0"/>
                <w:sz w:val="18"/>
              </w:rPr>
              <w:t>flu Japan</w:t>
            </w:r>
          </w:p>
        </w:tc>
        <w:tc>
          <w:tcPr>
            <w:tcW w:w="2160" w:type="dxa"/>
          </w:tcPr>
          <w:p w14:paraId="60990403">
            <w:pPr>
              <w:spacing w:after="0" w:line="240" w:lineRule="auto"/>
            </w:pPr>
            <w:r>
              <w:rPr>
                <w:b w:val="0"/>
                <w:i w:val="0"/>
                <w:sz w:val="18"/>
              </w:rPr>
              <w:t>15</w:t>
            </w:r>
          </w:p>
        </w:tc>
        <w:tc>
          <w:tcPr>
            <w:tcW w:w="2160" w:type="dxa"/>
          </w:tcPr>
          <w:p w14:paraId="32C197EB">
            <w:pPr>
              <w:spacing w:after="0" w:line="240" w:lineRule="auto"/>
            </w:pPr>
            <w:r>
              <w:rPr>
                <w:b w:val="0"/>
                <w:i w:val="0"/>
                <w:sz w:val="18"/>
              </w:rPr>
              <w:t>−22.6%</w:t>
            </w:r>
          </w:p>
        </w:tc>
        <w:tc>
          <w:tcPr>
            <w:tcW w:w="2160" w:type="dxa"/>
          </w:tcPr>
          <w:p w14:paraId="36279199">
            <w:pPr>
              <w:spacing w:after="0" w:line="240" w:lineRule="auto"/>
            </w:pPr>
            <w:r>
              <w:rPr>
                <w:b/>
                <w:i w:val="0"/>
                <w:sz w:val="18"/>
              </w:rPr>
              <w:t>−51.3% worse</w:t>
            </w:r>
          </w:p>
        </w:tc>
      </w:tr>
      <w:tr w14:paraId="63E528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B59B443">
            <w:pPr>
              <w:spacing w:after="0" w:line="240" w:lineRule="auto"/>
            </w:pPr>
            <w:r>
              <w:rPr>
                <w:b w:val="0"/>
                <w:i w:val="0"/>
                <w:sz w:val="18"/>
              </w:rPr>
              <w:t>flu US-regions</w:t>
            </w:r>
          </w:p>
        </w:tc>
        <w:tc>
          <w:tcPr>
            <w:tcW w:w="2160" w:type="dxa"/>
          </w:tcPr>
          <w:p w14:paraId="317BF1F9">
            <w:pPr>
              <w:spacing w:after="0" w:line="240" w:lineRule="auto"/>
            </w:pPr>
            <w:r>
              <w:rPr>
                <w:b w:val="0"/>
                <w:i w:val="0"/>
                <w:sz w:val="18"/>
              </w:rPr>
              <w:t>5</w:t>
            </w:r>
          </w:p>
        </w:tc>
        <w:tc>
          <w:tcPr>
            <w:tcW w:w="2160" w:type="dxa"/>
          </w:tcPr>
          <w:p w14:paraId="72D0C8D5">
            <w:pPr>
              <w:spacing w:after="0" w:line="240" w:lineRule="auto"/>
            </w:pPr>
            <w:r>
              <w:rPr>
                <w:b w:val="0"/>
                <w:i w:val="0"/>
                <w:sz w:val="18"/>
              </w:rPr>
              <w:t>+28.0%</w:t>
            </w:r>
          </w:p>
        </w:tc>
        <w:tc>
          <w:tcPr>
            <w:tcW w:w="2160" w:type="dxa"/>
          </w:tcPr>
          <w:p w14:paraId="05DD306F">
            <w:pPr>
              <w:spacing w:after="0" w:line="240" w:lineRule="auto"/>
            </w:pPr>
            <w:r>
              <w:rPr>
                <w:b/>
                <w:i w:val="0"/>
                <w:sz w:val="18"/>
              </w:rPr>
              <w:t>−10.0% worse</w:t>
            </w:r>
          </w:p>
        </w:tc>
      </w:tr>
      <w:tr w14:paraId="4F99D7A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07579299">
            <w:pPr>
              <w:spacing w:after="0" w:line="240" w:lineRule="auto"/>
            </w:pPr>
            <w:r>
              <w:rPr>
                <w:b w:val="0"/>
                <w:i w:val="0"/>
                <w:sz w:val="18"/>
              </w:rPr>
              <w:t>flu US-regions</w:t>
            </w:r>
          </w:p>
        </w:tc>
        <w:tc>
          <w:tcPr>
            <w:tcW w:w="2160" w:type="dxa"/>
          </w:tcPr>
          <w:p w14:paraId="0DD67D21">
            <w:pPr>
              <w:spacing w:after="0" w:line="240" w:lineRule="auto"/>
            </w:pPr>
            <w:r>
              <w:rPr>
                <w:b w:val="0"/>
                <w:i w:val="0"/>
                <w:sz w:val="18"/>
              </w:rPr>
              <w:t>15</w:t>
            </w:r>
          </w:p>
        </w:tc>
        <w:tc>
          <w:tcPr>
            <w:tcW w:w="2160" w:type="dxa"/>
          </w:tcPr>
          <w:p w14:paraId="7E2722EB">
            <w:pPr>
              <w:spacing w:after="0" w:line="240" w:lineRule="auto"/>
            </w:pPr>
            <w:r>
              <w:rPr>
                <w:b w:val="0"/>
                <w:i w:val="0"/>
                <w:sz w:val="18"/>
              </w:rPr>
              <w:t>−0.5%</w:t>
            </w:r>
          </w:p>
        </w:tc>
        <w:tc>
          <w:tcPr>
            <w:tcW w:w="2160" w:type="dxa"/>
          </w:tcPr>
          <w:p w14:paraId="1C699DB0">
            <w:pPr>
              <w:spacing w:after="0" w:line="240" w:lineRule="auto"/>
            </w:pPr>
            <w:r>
              <w:rPr>
                <w:b/>
                <w:i w:val="0"/>
                <w:sz w:val="18"/>
              </w:rPr>
              <w:t>−51.2% worse</w:t>
            </w:r>
          </w:p>
        </w:tc>
      </w:tr>
      <w:tr w14:paraId="32A6D9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1113E805">
            <w:pPr>
              <w:spacing w:after="0" w:line="240" w:lineRule="auto"/>
            </w:pPr>
            <w:r>
              <w:rPr>
                <w:b w:val="0"/>
                <w:i w:val="0"/>
                <w:sz w:val="18"/>
              </w:rPr>
              <w:t>flu US-states</w:t>
            </w:r>
          </w:p>
        </w:tc>
        <w:tc>
          <w:tcPr>
            <w:tcW w:w="2160" w:type="dxa"/>
          </w:tcPr>
          <w:p w14:paraId="2929AA80">
            <w:pPr>
              <w:spacing w:after="0" w:line="240" w:lineRule="auto"/>
            </w:pPr>
            <w:r>
              <w:rPr>
                <w:b w:val="0"/>
                <w:i w:val="0"/>
                <w:sz w:val="18"/>
              </w:rPr>
              <w:t>3</w:t>
            </w:r>
          </w:p>
        </w:tc>
        <w:tc>
          <w:tcPr>
            <w:tcW w:w="2160" w:type="dxa"/>
          </w:tcPr>
          <w:p w14:paraId="0F340DCA">
            <w:pPr>
              <w:spacing w:after="0" w:line="240" w:lineRule="auto"/>
            </w:pPr>
            <w:r>
              <w:rPr>
                <w:b w:val="0"/>
                <w:i w:val="0"/>
                <w:sz w:val="18"/>
              </w:rPr>
              <w:t>+5.8%</w:t>
            </w:r>
          </w:p>
        </w:tc>
        <w:tc>
          <w:tcPr>
            <w:tcW w:w="2160" w:type="dxa"/>
          </w:tcPr>
          <w:p w14:paraId="2FC6011D">
            <w:pPr>
              <w:spacing w:after="0" w:line="240" w:lineRule="auto"/>
            </w:pPr>
            <w:r>
              <w:rPr>
                <w:b/>
                <w:i w:val="0"/>
                <w:sz w:val="18"/>
              </w:rPr>
              <w:t>−4.4% worse</w:t>
            </w:r>
          </w:p>
        </w:tc>
      </w:tr>
      <w:tr w14:paraId="7E59355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276BAED4">
            <w:pPr>
              <w:spacing w:after="0" w:line="240" w:lineRule="auto"/>
            </w:pPr>
            <w:r>
              <w:rPr>
                <w:b w:val="0"/>
                <w:i w:val="0"/>
                <w:sz w:val="18"/>
              </w:rPr>
              <w:t>dengue</w:t>
            </w:r>
          </w:p>
        </w:tc>
        <w:tc>
          <w:tcPr>
            <w:tcW w:w="2160" w:type="dxa"/>
          </w:tcPr>
          <w:p w14:paraId="359B1AC3">
            <w:pPr>
              <w:spacing w:after="0" w:line="240" w:lineRule="auto"/>
            </w:pPr>
            <w:r>
              <w:rPr>
                <w:b w:val="0"/>
                <w:i w:val="0"/>
                <w:sz w:val="18"/>
              </w:rPr>
              <w:t>3</w:t>
            </w:r>
          </w:p>
        </w:tc>
        <w:tc>
          <w:tcPr>
            <w:tcW w:w="2160" w:type="dxa"/>
          </w:tcPr>
          <w:p w14:paraId="3C5E36DE">
            <w:pPr>
              <w:spacing w:after="0" w:line="240" w:lineRule="auto"/>
            </w:pPr>
            <w:r>
              <w:rPr>
                <w:b w:val="0"/>
                <w:i w:val="0"/>
                <w:sz w:val="18"/>
              </w:rPr>
              <w:t>+2.9%</w:t>
            </w:r>
          </w:p>
        </w:tc>
        <w:tc>
          <w:tcPr>
            <w:tcW w:w="2160" w:type="dxa"/>
          </w:tcPr>
          <w:p w14:paraId="5F4FFD35">
            <w:pPr>
              <w:spacing w:after="0" w:line="240" w:lineRule="auto"/>
            </w:pPr>
            <w:r>
              <w:rPr>
                <w:b w:val="0"/>
                <w:i w:val="0"/>
                <w:sz w:val="18"/>
              </w:rPr>
              <w:t>no measurable effect</w:t>
            </w:r>
          </w:p>
        </w:tc>
      </w:tr>
      <w:tr w14:paraId="150AB6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Pr>
          <w:p w14:paraId="3F630D6E">
            <w:pPr>
              <w:spacing w:after="0" w:line="240" w:lineRule="auto"/>
            </w:pPr>
            <w:r>
              <w:rPr>
                <w:b w:val="0"/>
                <w:i w:val="0"/>
                <w:sz w:val="18"/>
              </w:rPr>
              <w:t>dengue</w:t>
            </w:r>
          </w:p>
        </w:tc>
        <w:tc>
          <w:tcPr>
            <w:tcW w:w="2160" w:type="dxa"/>
          </w:tcPr>
          <w:p w14:paraId="0BD656FD">
            <w:pPr>
              <w:spacing w:after="0" w:line="240" w:lineRule="auto"/>
            </w:pPr>
            <w:r>
              <w:rPr>
                <w:b w:val="0"/>
                <w:i w:val="0"/>
                <w:sz w:val="18"/>
              </w:rPr>
              <w:t>15</w:t>
            </w:r>
          </w:p>
        </w:tc>
        <w:tc>
          <w:tcPr>
            <w:tcW w:w="2160" w:type="dxa"/>
          </w:tcPr>
          <w:p w14:paraId="37ED3F50">
            <w:pPr>
              <w:spacing w:after="0" w:line="240" w:lineRule="auto"/>
            </w:pPr>
            <w:r>
              <w:rPr>
                <w:b w:val="0"/>
                <w:i w:val="0"/>
                <w:sz w:val="18"/>
              </w:rPr>
              <w:t>−1.7%</w:t>
            </w:r>
          </w:p>
        </w:tc>
        <w:tc>
          <w:tcPr>
            <w:tcW w:w="2160" w:type="dxa"/>
          </w:tcPr>
          <w:p w14:paraId="5C137746">
            <w:pPr>
              <w:spacing w:after="0" w:line="240" w:lineRule="auto"/>
            </w:pPr>
            <w:r>
              <w:rPr>
                <w:b/>
                <w:i w:val="0"/>
                <w:sz w:val="18"/>
              </w:rPr>
              <w:t>−1.5% worse</w:t>
            </w:r>
          </w:p>
        </w:tc>
      </w:tr>
    </w:tbl>
    <w:p w14:paraId="6E56867F">
      <w:pPr>
        <w:spacing w:after="40"/>
      </w:pPr>
    </w:p>
    <w:p w14:paraId="053A4444">
      <w:pPr>
        <w:spacing w:after="120"/>
      </w:pPr>
      <w:r>
        <w:rPr>
          <w:b w:val="0"/>
          <w:i w:val="0"/>
        </w:rPr>
        <w:t xml:space="preserve">Across all 16 combinations of dataset and forecast horizon: </w:t>
      </w:r>
      <w:r>
        <w:rPr>
          <w:b/>
          <w:i w:val="0"/>
        </w:rPr>
        <w:t>12 are significantly worse, 4 show no measurable effect, and none is better.</w:t>
      </w:r>
    </w:p>
    <w:p w14:paraId="504F9FD4">
      <w:pPr>
        <w:spacing w:after="120"/>
      </w:pPr>
      <w:r>
        <w:rPr>
          <w:b w:val="0"/>
          <w:i w:val="0"/>
        </w:rPr>
        <w:t xml:space="preserve">Note which results collapsed most. The three largest apparent wins under the old fold — </w:t>
      </w:r>
      <w:r>
        <w:rPr>
          <w:b/>
          <w:i w:val="0"/>
        </w:rPr>
        <w:t>+28.0%, +24.0% and +19.9%</w:t>
      </w:r>
      <w:r>
        <w:rPr>
          <w:b w:val="0"/>
          <w:i w:val="0"/>
        </w:rPr>
        <w:t xml:space="preserve"> — were all on influenza panels where other influenza data stayed in training. Exactly the pattern you flagged.</w:t>
      </w:r>
    </w:p>
    <w:p w14:paraId="3595383A">
      <w:pPr>
        <w:spacing w:after="120"/>
      </w:pPr>
      <w:r>
        <w:rPr>
          <w:b/>
          <w:i w:val="0"/>
        </w:rPr>
        <w:t>"No measurable effect" is not the same as "no difference."</w:t>
      </w:r>
      <w:r>
        <w:rPr>
          <w:b w:val="0"/>
          <w:i w:val="0"/>
        </w:rPr>
        <w:t xml:space="preserve"> It means the result is too unsteady across runs to call a direction. On flu US-regions, which has only ten regions, our margin of error is wide enough that a real effect could hide inside it.</w:t>
      </w:r>
    </w:p>
    <w:p w14:paraId="62D87A9D">
      <w:pPr>
        <w:pStyle w:val="3"/>
      </w:pPr>
      <w:r>
        <w:t>3. The pattern that matters most for Ebola</w:t>
      </w:r>
    </w:p>
    <w:p w14:paraId="75E13D80">
      <w:pPr>
        <w:spacing w:after="120"/>
      </w:pPr>
      <w:r>
        <w:rPr>
          <w:b w:val="0"/>
          <w:i w:val="0"/>
        </w:rPr>
        <w:t>Transfer performs worst at the longest forecast horizons — and gets steadily worse the further out you look, on every dataset. At 15 weeks the corrected figures are around 50% worse on two of the three influenza panels.</w:t>
      </w:r>
    </w:p>
    <w:p w14:paraId="28602B69">
      <w:pPr>
        <w:spacing w:after="120"/>
      </w:pPr>
      <w:r>
        <w:rPr>
          <w:b w:val="0"/>
          <w:i w:val="0"/>
        </w:rPr>
        <w:t xml:space="preserve">This collides directly with the Ebola audit. At 10 and 15 weeks ahead, Ebola has </w:t>
      </w:r>
      <w:r>
        <w:rPr>
          <w:b/>
          <w:i w:val="0"/>
        </w:rPr>
        <w:t>no adaptation data at all</w:t>
      </w:r>
      <w:r>
        <w:rPr>
          <w:b w:val="0"/>
          <w:i w:val="0"/>
        </w:rPr>
        <w:t xml:space="preserve"> — the model would have to work with no Ebola-specific tuning whatsoever. We tested that mode, and on influenza it fails badly: errors several times worse than a normally trained model.</w:t>
      </w:r>
    </w:p>
    <w:p w14:paraId="51BCE6DA">
      <w:pPr>
        <w:spacing w:after="120"/>
      </w:pPr>
      <w:r>
        <w:rPr>
          <w:b w:val="0"/>
          <w:i w:val="0"/>
        </w:rPr>
        <w:t xml:space="preserve">Put plainly: </w:t>
      </w:r>
      <w:r>
        <w:rPr>
          <w:b/>
          <w:i w:val="0"/>
        </w:rPr>
        <w:t>the long-horizon Ebola forecasts land in the one setting where we have the least evidence the method works.</w:t>
      </w:r>
      <w:r>
        <w:rPr>
          <w:b w:val="0"/>
          <w:i w:val="0"/>
        </w:rPr>
        <w:t xml:space="preserve"> Practical tuning is available only at the 3-week horizon, and only from 16 data points across 8 districts.</w:t>
      </w:r>
    </w:p>
    <w:p w14:paraId="06BFEE92">
      <w:pPr>
        <w:spacing w:after="120"/>
      </w:pPr>
      <w:r>
        <w:rPr>
          <w:b w:val="0"/>
          <w:i w:val="0"/>
        </w:rPr>
        <w:t>We are not recommending abandoning the Ebola case study. We are flagging, before it runs, that a weak result will be impossible to separate from "there was not enough Ebola data to adapt on." Since we score Ebola exactly once against a locked configuration, that ambiguity cannot be resolved afterwards. Your instinct to narrow the horizon deliberately looks correct on this evidence.</w:t>
      </w:r>
    </w:p>
    <w:p w14:paraId="1AD951E8">
      <w:pPr>
        <w:pStyle w:val="3"/>
      </w:pPr>
      <w:r>
        <w:t>4. The epidemiology metrics</w:t>
      </w:r>
    </w:p>
    <w:p w14:paraId="393A2B25">
      <w:pPr>
        <w:spacing w:after="120"/>
      </w:pPr>
      <w:r>
        <w:rPr>
          <w:b w:val="0"/>
          <w:i w:val="0"/>
        </w:rPr>
        <w:t xml:space="preserve"> peak timing error, peak intensity error, and an error measure are now computed and reported.</w:t>
      </w:r>
    </w:p>
    <w:p w14:paraId="514130D0">
      <w:pPr>
        <w:spacing w:after="120"/>
        <w:rPr>
          <w:rFonts w:hint="default"/>
          <w:b w:val="0"/>
          <w:i w:val="0"/>
          <w:lang w:val="en-US"/>
        </w:rPr>
      </w:pPr>
      <w:r>
        <w:rPr>
          <w:b/>
          <w:i w:val="0"/>
        </w:rPr>
        <w:t>Scale-normalised error changes the ranking.</w:t>
      </w:r>
      <w:r>
        <w:rPr>
          <w:b w:val="0"/>
          <w:i w:val="0"/>
        </w:rPr>
        <w:t xml:space="preserve"> By raw error dengue looks easiest (smallest numbers), but that is only because dengue case counts are small. Adjusted for scale, </w:t>
      </w:r>
      <w:r>
        <w:rPr>
          <w:b/>
          <w:i w:val="0"/>
        </w:rPr>
        <w:t>dengue is the hardest dataset we have</w:t>
      </w:r>
      <w:r>
        <w:rPr>
          <w:b w:val="0"/>
          <w:i w:val="0"/>
        </w:rPr>
        <w:t xml:space="preserve"> and US-regions the easiest</w:t>
      </w:r>
      <w:r>
        <w:rPr>
          <w:rFonts w:hint="default"/>
          <w:b w:val="0"/>
          <w:i w:val="0"/>
          <w:lang w:val="en-US"/>
        </w:rPr>
        <w:t>.</w:t>
      </w:r>
    </w:p>
    <w:p w14:paraId="6E33DE42">
      <w:pPr>
        <w:spacing w:after="120"/>
      </w:pPr>
      <w:r>
        <w:rPr>
          <w:b/>
          <w:i w:val="0"/>
        </w:rPr>
        <w:t>Peak timing is poor.</w:t>
      </w:r>
      <w:r>
        <w:rPr>
          <w:b w:val="0"/>
          <w:i w:val="0"/>
        </w:rPr>
        <w:t xml:space="preserve"> How close the model gets to the true peak week:</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0EBFF6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blHeader/>
        </w:trPr>
        <w:tc>
          <w:tcPr>
            <w:tcW w:w="2880" w:type="dxa"/>
          </w:tcPr>
          <w:p w14:paraId="2FF9CBD4">
            <w:pPr>
              <w:spacing w:after="0" w:line="240" w:lineRule="auto"/>
            </w:pPr>
            <w:r>
              <w:rPr>
                <w:b/>
                <w:i w:val="0"/>
                <w:sz w:val="18"/>
              </w:rPr>
              <w:t>dataset</w:t>
            </w:r>
          </w:p>
        </w:tc>
        <w:tc>
          <w:tcPr>
            <w:tcW w:w="2880" w:type="dxa"/>
          </w:tcPr>
          <w:p w14:paraId="06B27EA8">
            <w:pPr>
              <w:spacing w:after="0" w:line="240" w:lineRule="auto"/>
            </w:pPr>
            <w:r>
              <w:rPr>
                <w:b/>
                <w:i w:val="0"/>
                <w:sz w:val="18"/>
              </w:rPr>
              <w:t>3 weeks ahead</w:t>
            </w:r>
          </w:p>
        </w:tc>
        <w:tc>
          <w:tcPr>
            <w:tcW w:w="2880" w:type="dxa"/>
          </w:tcPr>
          <w:p w14:paraId="6913134D">
            <w:pPr>
              <w:spacing w:after="0" w:line="240" w:lineRule="auto"/>
            </w:pPr>
            <w:r>
              <w:rPr>
                <w:b/>
                <w:i w:val="0"/>
                <w:sz w:val="18"/>
              </w:rPr>
              <w:t>15 weeks ahead</w:t>
            </w:r>
          </w:p>
        </w:tc>
      </w:tr>
      <w:tr w14:paraId="1C043B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77C722AF">
            <w:pPr>
              <w:spacing w:after="0" w:line="240" w:lineRule="auto"/>
            </w:pPr>
            <w:r>
              <w:rPr>
                <w:b w:val="0"/>
                <w:i w:val="0"/>
                <w:sz w:val="18"/>
              </w:rPr>
              <w:t>flu Japan</w:t>
            </w:r>
          </w:p>
        </w:tc>
        <w:tc>
          <w:tcPr>
            <w:tcW w:w="2880" w:type="dxa"/>
          </w:tcPr>
          <w:p w14:paraId="54E48838">
            <w:pPr>
              <w:spacing w:after="0" w:line="240" w:lineRule="auto"/>
            </w:pPr>
            <w:r>
              <w:rPr>
                <w:b w:val="0"/>
                <w:i w:val="0"/>
                <w:sz w:val="18"/>
              </w:rPr>
              <w:t>4.9 weeks off</w:t>
            </w:r>
          </w:p>
        </w:tc>
        <w:tc>
          <w:tcPr>
            <w:tcW w:w="2880" w:type="dxa"/>
          </w:tcPr>
          <w:p w14:paraId="316F677C">
            <w:pPr>
              <w:spacing w:after="0" w:line="240" w:lineRule="auto"/>
            </w:pPr>
            <w:r>
              <w:rPr>
                <w:b w:val="0"/>
                <w:i w:val="0"/>
                <w:sz w:val="18"/>
              </w:rPr>
              <w:t>26.7 weeks off</w:t>
            </w:r>
          </w:p>
        </w:tc>
      </w:tr>
      <w:tr w14:paraId="120571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3403A6C">
            <w:pPr>
              <w:spacing w:after="0" w:line="240" w:lineRule="auto"/>
            </w:pPr>
            <w:r>
              <w:rPr>
                <w:b w:val="0"/>
                <w:i w:val="0"/>
                <w:sz w:val="18"/>
              </w:rPr>
              <w:t>flu US-regions</w:t>
            </w:r>
          </w:p>
        </w:tc>
        <w:tc>
          <w:tcPr>
            <w:tcW w:w="2880" w:type="dxa"/>
          </w:tcPr>
          <w:p w14:paraId="74E4B455">
            <w:pPr>
              <w:spacing w:after="0" w:line="240" w:lineRule="auto"/>
            </w:pPr>
            <w:r>
              <w:rPr>
                <w:b w:val="0"/>
                <w:i w:val="0"/>
                <w:sz w:val="18"/>
              </w:rPr>
              <w:t>43.3 weeks off</w:t>
            </w:r>
          </w:p>
        </w:tc>
        <w:tc>
          <w:tcPr>
            <w:tcW w:w="2880" w:type="dxa"/>
          </w:tcPr>
          <w:p w14:paraId="7FA4B1EB">
            <w:pPr>
              <w:spacing w:after="0" w:line="240" w:lineRule="auto"/>
            </w:pPr>
            <w:r>
              <w:rPr>
                <w:b w:val="0"/>
                <w:i w:val="0"/>
                <w:sz w:val="18"/>
              </w:rPr>
              <w:t>67.8 weeks off</w:t>
            </w:r>
          </w:p>
        </w:tc>
      </w:tr>
      <w:tr w14:paraId="61EB53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431D5D0">
            <w:pPr>
              <w:spacing w:after="0" w:line="240" w:lineRule="auto"/>
            </w:pPr>
            <w:r>
              <w:rPr>
                <w:b w:val="0"/>
                <w:i w:val="0"/>
                <w:sz w:val="18"/>
              </w:rPr>
              <w:t>flu US-states</w:t>
            </w:r>
          </w:p>
        </w:tc>
        <w:tc>
          <w:tcPr>
            <w:tcW w:w="2880" w:type="dxa"/>
          </w:tcPr>
          <w:p w14:paraId="26EEF985">
            <w:pPr>
              <w:spacing w:after="0" w:line="240" w:lineRule="auto"/>
            </w:pPr>
            <w:r>
              <w:rPr>
                <w:b w:val="0"/>
                <w:i w:val="0"/>
                <w:sz w:val="18"/>
              </w:rPr>
              <w:t>10.6 weeks off</w:t>
            </w:r>
          </w:p>
        </w:tc>
        <w:tc>
          <w:tcPr>
            <w:tcW w:w="2880" w:type="dxa"/>
          </w:tcPr>
          <w:p w14:paraId="3AD94436">
            <w:pPr>
              <w:spacing w:after="0" w:line="240" w:lineRule="auto"/>
            </w:pPr>
            <w:r>
              <w:rPr>
                <w:b w:val="0"/>
                <w:i w:val="0"/>
                <w:sz w:val="18"/>
              </w:rPr>
              <w:t>27.7 weeks off</w:t>
            </w:r>
          </w:p>
        </w:tc>
      </w:tr>
      <w:tr w14:paraId="797861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C4E1EA0">
            <w:pPr>
              <w:spacing w:after="0" w:line="240" w:lineRule="auto"/>
            </w:pPr>
            <w:r>
              <w:rPr>
                <w:b w:val="0"/>
                <w:i w:val="0"/>
                <w:sz w:val="18"/>
              </w:rPr>
              <w:t>dengue</w:t>
            </w:r>
          </w:p>
        </w:tc>
        <w:tc>
          <w:tcPr>
            <w:tcW w:w="2880" w:type="dxa"/>
          </w:tcPr>
          <w:p w14:paraId="417A0FD6">
            <w:pPr>
              <w:spacing w:after="0" w:line="240" w:lineRule="auto"/>
            </w:pPr>
            <w:r>
              <w:rPr>
                <w:b w:val="0"/>
                <w:i w:val="0"/>
                <w:sz w:val="18"/>
              </w:rPr>
              <w:t>10.9 weeks off</w:t>
            </w:r>
          </w:p>
        </w:tc>
        <w:tc>
          <w:tcPr>
            <w:tcW w:w="2880" w:type="dxa"/>
          </w:tcPr>
          <w:p w14:paraId="15FA7607">
            <w:pPr>
              <w:spacing w:after="0" w:line="240" w:lineRule="auto"/>
            </w:pPr>
            <w:r>
              <w:rPr>
                <w:b w:val="0"/>
                <w:i w:val="0"/>
                <w:sz w:val="18"/>
              </w:rPr>
              <w:t>32.0 weeks off</w:t>
            </w:r>
          </w:p>
        </w:tc>
      </w:tr>
    </w:tbl>
    <w:p w14:paraId="2B3E7BAA">
      <w:pPr>
        <w:spacing w:after="40"/>
      </w:pPr>
    </w:p>
    <w:p w14:paraId="51590A82">
      <w:pPr>
        <w:spacing w:after="120"/>
        <w:rPr>
          <w:b w:val="0"/>
          <w:i w:val="0"/>
        </w:rPr>
      </w:pPr>
      <w:r>
        <w:rPr>
          <w:b w:val="0"/>
          <w:i w:val="0"/>
        </w:rPr>
        <w:t xml:space="preserve">Only flu-Japan at 3 weeks is anywhere near operationally useful. On US-regions the model is not locating the peak at all. </w:t>
      </w:r>
    </w:p>
    <w:p w14:paraId="43E6FACE">
      <w:pPr>
        <w:spacing w:after="120"/>
      </w:pPr>
      <w:r>
        <w:rPr>
          <w:b/>
          <w:i w:val="0"/>
        </w:rPr>
        <w:t>One honest caveat in the other direction.</w:t>
      </w:r>
      <w:r>
        <w:rPr>
          <w:b w:val="0"/>
          <w:i w:val="0"/>
        </w:rPr>
        <w:t xml:space="preserve"> Two of these peak measurements </w:t>
      </w:r>
      <w:r>
        <w:rPr>
          <w:b w:val="0"/>
          <w:i/>
        </w:rPr>
        <w:t>do</w:t>
      </w:r>
      <w:r>
        <w:rPr>
          <w:b w:val="0"/>
          <w:i w:val="0"/>
        </w:rPr>
        <w:t xml:space="preserve"> show cross-disease transfer helping (flu-Japan and dengue peak timing at particular horizons). But they sit among 32 such tests, 28 of which show nothing. Two hits out of 32 is roughly what pure chance produces. We are recording them rather than hiding them, but we are not counting them as a win — and we would push back if they appeared in a draft as evidence.</w:t>
      </w:r>
    </w:p>
    <w:p w14:paraId="56427D29">
      <w:pPr>
        <w:pStyle w:val="3"/>
      </w:pPr>
      <w:r>
        <w:t>5. Also confirmed</w:t>
      </w:r>
    </w:p>
    <w:p w14:paraId="0BDBC072">
      <w:pPr>
        <w:spacing w:after="120"/>
      </w:pPr>
      <w:r>
        <w:rPr>
          <w:b/>
          <w:i w:val="0"/>
        </w:rPr>
        <w:t>Joint training does nothing.</w:t>
      </w:r>
      <w:r>
        <w:rPr>
          <w:b w:val="0"/>
          <w:i w:val="0"/>
        </w:rPr>
        <w:t xml:space="preserve"> Training on everything at once performs the same as training on each disease separately. This is a clean negative result and it is the motivation for the freeze-then-adapt design, rather than an unfinished experiment.</w:t>
      </w:r>
    </w:p>
    <w:p w14:paraId="4687776F">
      <w:pPr>
        <w:spacing w:after="120"/>
      </w:pPr>
      <w:r>
        <w:rPr>
          <w:b/>
          <w:i w:val="0"/>
        </w:rPr>
        <w:t>A quality check we ran on ourselves.</w:t>
      </w:r>
      <w:r>
        <w:rPr>
          <w:b w:val="0"/>
          <w:i w:val="0"/>
        </w:rPr>
        <w:t xml:space="preserve"> A comparison is only fair if both sides are scored on the same regions. We now verify this automatically rather than assuming it, because an unfair comparison has already produced a misleading figure elsewhere in this project. </w:t>
      </w:r>
      <w:r>
        <w:rPr>
          <w:b/>
          <w:i w:val="0"/>
        </w:rPr>
        <w:t>All comparisons in this document passed.</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A53D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1588</Words>
  <Characters>8004</Characters>
  <Lines>0</Lines>
  <Paragraphs>0</Paragraphs>
  <TotalTime>6</TotalTime>
  <ScaleCrop>false</ScaleCrop>
  <LinksUpToDate>false</LinksUpToDate>
  <CharactersWithSpaces>9474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2026-07-30T20:26:05Z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eyJoZGlkIjoiNmNkZjJlOTgzZGIzMjY0NTFkNzc1NTA2NGNkNjZkM2EifQ==</vt:lpwstr>
  </property>
  <property fmtid="{D5CDD505-2E9C-101B-9397-08002B2CF9AE}" pid="3" name="KSOProductBuildVer">
    <vt:lpwstr>1033-12.1.0.28032</vt:lpwstr>
  </property>
  <property fmtid="{D5CDD505-2E9C-101B-9397-08002B2CF9AE}" pid="4" name="ICV">
    <vt:lpwstr>06C39BDE60904CE7B10377A39DC9B9DF_12</vt:lpwstr>
  </property>
</Properties>
</file>