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33F8A">
      <w:pPr>
        <w:pBdr>
          <w:bottom w:val="single" w:color="2E75B6" w:sz="6" w:space="6"/>
        </w:pBdr>
        <w:spacing w:after="4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Internal Project Brief</w:t>
      </w:r>
    </w:p>
    <w:p w14:paraId="3596115A">
      <w:pPr>
        <w:spacing w:after="60"/>
      </w:pPr>
      <w:r>
        <w:rPr>
          <w:i/>
          <w:iCs/>
          <w:color w:val="595959"/>
          <w:sz w:val="24"/>
          <w:szCs w:val="24"/>
        </w:rPr>
        <w:t>A Generalizable Spatio-Temporal Framework for Emerging Infectious Disease Forecasting</w:t>
      </w:r>
    </w:p>
    <w:p w14:paraId="14CB2209">
      <w:pPr>
        <w:spacing w:after="200"/>
      </w:pPr>
      <w:r>
        <w:rPr>
          <w:color w:val="595959"/>
          <w:sz w:val="18"/>
          <w:szCs w:val="18"/>
        </w:rPr>
        <w:t>Engineering scope · research goals · milestones · deliverables · deadlines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1C85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B02C4">
            <w:pPr>
              <w:spacing w:after="0" w:line="262" w:lineRule="auto"/>
            </w:pPr>
            <w:r>
              <w:rPr>
                <w:b w:val="0"/>
                <w:bCs w:val="0"/>
              </w:rPr>
              <w:t>Audience</w:t>
            </w:r>
          </w:p>
        </w:tc>
        <w:tc>
          <w:tcPr>
            <w:tcW w:w="7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BB010">
            <w:pPr>
              <w:spacing w:after="0" w:line="262" w:lineRule="auto"/>
            </w:pPr>
            <w:r>
              <w:rPr>
                <w:b w:val="0"/>
                <w:bCs w:val="0"/>
              </w:rPr>
              <w:t>Internal — engineering team (implementation lead)</w:t>
            </w:r>
          </w:p>
        </w:tc>
      </w:tr>
      <w:tr w14:paraId="5519A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3F3ED">
            <w:pPr>
              <w:spacing w:after="0" w:line="262" w:lineRule="auto"/>
            </w:pPr>
            <w:r>
              <w:rPr>
                <w:b w:val="0"/>
                <w:bCs w:val="0"/>
              </w:rPr>
              <w:t>Purpose</w:t>
            </w:r>
          </w:p>
        </w:tc>
        <w:tc>
          <w:tcPr>
            <w:tcW w:w="7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34E93">
            <w:pPr>
              <w:spacing w:after="0" w:line="262" w:lineRule="auto"/>
            </w:pPr>
            <w:r>
              <w:rPr>
                <w:b w:val="0"/>
                <w:bCs w:val="0"/>
              </w:rPr>
              <w:t>Single reference for what we have decided, what needs to be built, who does what, and by when</w:t>
            </w:r>
          </w:p>
        </w:tc>
      </w:tr>
      <w:tr w14:paraId="5E34B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88F39">
            <w:pPr>
              <w:spacing w:after="0" w:line="262" w:lineRule="auto"/>
            </w:pPr>
            <w:r>
              <w:rPr>
                <w:b w:val="0"/>
                <w:bCs w:val="0"/>
              </w:rPr>
              <w:t>Duration</w:t>
            </w:r>
          </w:p>
        </w:tc>
        <w:tc>
          <w:tcPr>
            <w:tcW w:w="7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F8482">
            <w:pPr>
              <w:spacing w:after="0" w:line="262" w:lineRule="auto"/>
            </w:pPr>
            <w:r>
              <w:rPr>
                <w:b w:val="0"/>
                <w:bCs w:val="0"/>
              </w:rPr>
              <w:t>6 weeks, full-time (assume 5 working days/week → 30 working days). Start date: __________</w:t>
            </w:r>
          </w:p>
        </w:tc>
      </w:tr>
      <w:tr w14:paraId="312EE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81BD2">
            <w:pPr>
              <w:spacing w:after="0" w:line="262" w:lineRule="auto"/>
            </w:pPr>
            <w:r>
              <w:rPr>
                <w:b w:val="0"/>
                <w:bCs w:val="0"/>
              </w:rPr>
              <w:t>Pricing</w:t>
            </w:r>
          </w:p>
        </w:tc>
        <w:tc>
          <w:tcPr>
            <w:tcW w:w="7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40EE8">
            <w:pPr>
              <w:spacing w:after="0" w:line="262" w:lineRule="auto"/>
            </w:pPr>
            <w:r>
              <w:rPr>
                <w:b w:val="0"/>
                <w:bCs w:val="0"/>
              </w:rPr>
              <w:t>Not included — this is an internal working document</w:t>
            </w:r>
          </w:p>
        </w:tc>
      </w:tr>
      <w:tr w14:paraId="5ACA5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E1552">
            <w:pPr>
              <w:spacing w:after="0" w:line="262" w:lineRule="auto"/>
            </w:pPr>
            <w:r>
              <w:rPr>
                <w:b w:val="0"/>
                <w:bCs w:val="0"/>
              </w:rPr>
              <w:t>Target outcome</w:t>
            </w:r>
          </w:p>
        </w:tc>
        <w:tc>
          <w:tcPr>
            <w:tcW w:w="7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A261C">
            <w:pPr>
              <w:spacing w:after="0" w:line="262" w:lineRule="auto"/>
            </w:pPr>
            <w:r>
              <w:rPr>
                <w:b w:val="0"/>
                <w:bCs w:val="0"/>
              </w:rPr>
              <w:t>A reproducible, novel methodological contribution suitable for a high-impact (ISI) journal</w:t>
            </w:r>
          </w:p>
        </w:tc>
      </w:tr>
    </w:tbl>
    <w:p w14:paraId="6EA0B549">
      <w:pPr>
        <w:spacing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89BB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4F7FB" w:sz="0" w:space="0"/>
              <w:left w:val="single" w:color="2E75B6" w:sz="24" w:space="0"/>
              <w:bottom w:val="single" w:color="F4F7FB" w:sz="0" w:space="0"/>
              <w:right w:val="single" w:color="F4F7FB" w:sz="0" w:space="0"/>
            </w:tcBorders>
            <w:shd w:val="clear" w:color="auto" w:fill="F4F7FB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6B4C7A8E">
            <w:pPr>
              <w:spacing w:after="60"/>
            </w:pPr>
            <w:r>
              <w:rPr>
                <w:b/>
                <w:bCs/>
                <w:color w:val="2E75B6"/>
              </w:rPr>
              <w:t>How to read the tags in this document</w:t>
            </w:r>
          </w:p>
          <w:p w14:paraId="6E8FA0A0">
            <w:pPr>
              <w:spacing w:after="60" w:line="264" w:lineRule="auto"/>
            </w:pPr>
            <w:r>
              <w:t>Items are labelled so priorities are unambiguous:</w:t>
            </w:r>
          </w:p>
          <w:p w14:paraId="22A8DCC8">
            <w:pPr>
              <w:spacing w:after="60" w:line="264" w:lineRule="auto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  <w:r>
              <w:rPr>
                <w:sz w:val="18"/>
                <w:szCs w:val="18"/>
              </w:rPr>
              <w:t xml:space="preserve">  — a decided, must-deliver requirement (client need or agreed scope).</w:t>
            </w:r>
          </w:p>
          <w:p w14:paraId="1ED1CA72">
            <w:pPr>
              <w:spacing w:after="60" w:line="264" w:lineRule="auto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 [SUGGESTION]</w:t>
            </w:r>
            <w:r>
              <w:rPr>
                <w:sz w:val="18"/>
                <w:szCs w:val="18"/>
              </w:rPr>
              <w:t xml:space="preserve">  — our recommendation to strengthen the work; follow unless told otherwise, but it is our proposal rather than a fixed client requirement.</w:t>
            </w:r>
          </w:p>
          <w:p w14:paraId="637D7B47">
            <w:pPr>
              <w:spacing w:after="0" w:line="264" w:lineRule="auto"/>
            </w:pPr>
            <w:r>
              <w:rPr>
                <w:b/>
                <w:bCs/>
                <w:color w:val="B00020"/>
                <w:sz w:val="16"/>
                <w:szCs w:val="16"/>
              </w:rPr>
              <w:t xml:space="preserve"> [OUT OF SCOPE]</w:t>
            </w:r>
            <w:r>
              <w:rPr>
                <w:sz w:val="18"/>
                <w:szCs w:val="18"/>
              </w:rPr>
              <w:t xml:space="preserve">  — deliberately excluded from this engagement.</w:t>
            </w:r>
          </w:p>
        </w:tc>
      </w:tr>
    </w:tbl>
    <w:p w14:paraId="373DB1E0">
      <w:pPr>
        <w:spacing w:after="120"/>
      </w:pPr>
    </w:p>
    <w:p w14:paraId="6BA89F64">
      <w:pPr>
        <w:pStyle w:val="2"/>
      </w:pPr>
      <w:r>
        <w:t>1. Project overview</w:t>
      </w:r>
    </w:p>
    <w:p w14:paraId="369F9D25">
      <w:pPr>
        <w:spacing w:after="130" w:line="276" w:lineRule="auto"/>
      </w:pPr>
      <w:r>
        <w:t xml:space="preserve">We are building a </w:t>
      </w:r>
      <w:r>
        <w:rPr>
          <w:b/>
          <w:bCs/>
        </w:rPr>
        <w:t>general, disease-agnostic framework for emerging infectious disease forecasting</w:t>
      </w:r>
      <w:r>
        <w:t xml:space="preserve">. The architecture is not specialised to any single disease; it learns </w:t>
      </w:r>
      <w:r>
        <w:rPr>
          <w:b/>
          <w:bCs/>
        </w:rPr>
        <w:t>transferable spatio-temporal representations</w:t>
      </w:r>
      <w:r>
        <w:t xml:space="preserve"> from data-rich diseases and adapts, with minimal modification, to a data-scarce emerging disease. Data-rich diseases are used to develop and validate the methodology; </w:t>
      </w:r>
      <w:r>
        <w:rPr>
          <w:b/>
          <w:bCs/>
        </w:rPr>
        <w:t>Ebola is the headline case study</w:t>
      </w:r>
      <w:r>
        <w:t xml:space="preserve"> demonstrating generalisation to a scarce, real-world emerging disease.</w:t>
      </w:r>
    </w:p>
    <w:p w14:paraId="5E9153B0">
      <w:pPr>
        <w:spacing w:after="130" w:line="276" w:lineRule="auto"/>
      </w:pPr>
      <w:r>
        <w:rPr>
          <w:b/>
          <w:bCs/>
        </w:rPr>
        <w:t xml:space="preserve">Why it is novel: </w:t>
      </w:r>
      <w:r>
        <w:t>recent state-of-the-art models are largely single-disease or stay within one disease family, and several explicitly flag cross-disease transferability as open future work. A framework that is disease-agnostic by construction, transfers across diseases, adapts few-shot to a scarce disease, and reports calibrated uncertainty addresses a clear, identifiable research gap.</w:t>
      </w:r>
    </w:p>
    <w:p w14:paraId="4167355B">
      <w:pPr>
        <w:pStyle w:val="2"/>
      </w:pPr>
      <w:r>
        <w:t>2. Research goals &amp; objectives</w:t>
      </w:r>
    </w:p>
    <w:p w14:paraId="3D3AD504">
      <w:pPr>
        <w:spacing w:after="130" w:line="276" w:lineRule="auto"/>
      </w:pPr>
      <w:r>
        <w:t>The work is judged against these goals:</w:t>
      </w:r>
    </w:p>
    <w:p w14:paraId="2D95C3CB">
      <w:pPr>
        <w:pStyle w:val="16"/>
        <w:numPr>
          <w:ilvl w:val="0"/>
          <w:numId w:val="1"/>
        </w:numPr>
        <w:spacing w:after="70" w:line="270" w:lineRule="auto"/>
      </w:pPr>
      <w:r>
        <w:t>G1 — A disease-agnostic spatio-temporal forecasting architecture operating on a standardised input schema.</w:t>
      </w:r>
      <w:r>
        <w:rPr>
          <w:b/>
          <w:bCs/>
          <w:color w:val="2E7D32"/>
          <w:sz w:val="16"/>
          <w:szCs w:val="16"/>
        </w:rPr>
        <w:t xml:space="preserve"> [REQUIRED]</w:t>
      </w:r>
    </w:p>
    <w:p w14:paraId="17ED1B49">
      <w:pPr>
        <w:pStyle w:val="16"/>
        <w:numPr>
          <w:ilvl w:val="0"/>
          <w:numId w:val="1"/>
        </w:numPr>
        <w:spacing w:after="70" w:line="270" w:lineRule="auto"/>
      </w:pPr>
      <w:r>
        <w:t>G2 — Transferable representations learned across multiple data-rich diseases.</w:t>
      </w:r>
      <w:r>
        <w:rPr>
          <w:b/>
          <w:bCs/>
          <w:color w:val="2E7D32"/>
          <w:sz w:val="16"/>
          <w:szCs w:val="16"/>
        </w:rPr>
        <w:t xml:space="preserve"> [REQUIRED]</w:t>
      </w:r>
    </w:p>
    <w:p w14:paraId="594F5BE3">
      <w:pPr>
        <w:pStyle w:val="16"/>
        <w:numPr>
          <w:ilvl w:val="0"/>
          <w:numId w:val="1"/>
        </w:numPr>
        <w:spacing w:after="70" w:line="270" w:lineRule="auto"/>
      </w:pPr>
      <w:r>
        <w:t>G3 — Demonstrated generalisation to a data-scarce emerging disease (Ebola) via few-shot adaptation.</w:t>
      </w:r>
      <w:r>
        <w:rPr>
          <w:b/>
          <w:bCs/>
          <w:color w:val="2E7D32"/>
          <w:sz w:val="16"/>
          <w:szCs w:val="16"/>
        </w:rPr>
        <w:t xml:space="preserve"> [REQUIRED]</w:t>
      </w:r>
    </w:p>
    <w:p w14:paraId="167AFD16">
      <w:pPr>
        <w:pStyle w:val="16"/>
        <w:numPr>
          <w:ilvl w:val="0"/>
          <w:numId w:val="1"/>
        </w:numPr>
        <w:spacing w:after="70" w:line="270" w:lineRule="auto"/>
      </w:pPr>
      <w:r>
        <w:t>G4 — Calibrated uncertainty quantification on all forecasts.</w:t>
      </w:r>
      <w:r>
        <w:rPr>
          <w:b/>
          <w:bCs/>
          <w:color w:val="2E7D32"/>
          <w:sz w:val="16"/>
          <w:szCs w:val="16"/>
        </w:rPr>
        <w:t xml:space="preserve"> [REQUIRED]</w:t>
      </w:r>
    </w:p>
    <w:p w14:paraId="2D1790B0">
      <w:pPr>
        <w:pStyle w:val="16"/>
        <w:numPr>
          <w:ilvl w:val="0"/>
          <w:numId w:val="1"/>
        </w:numPr>
        <w:spacing w:after="70" w:line="270" w:lineRule="auto"/>
      </w:pPr>
      <w:r>
        <w:t>G5 — Explainability of forecasts.</w:t>
      </w:r>
      <w:r>
        <w:rPr>
          <w:b/>
          <w:bCs/>
          <w:color w:val="2E7D32"/>
          <w:sz w:val="16"/>
          <w:szCs w:val="16"/>
        </w:rPr>
        <w:t xml:space="preserve"> [REQUIRED]</w:t>
      </w:r>
    </w:p>
    <w:p w14:paraId="2066AD29">
      <w:pPr>
        <w:pStyle w:val="16"/>
        <w:numPr>
          <w:ilvl w:val="0"/>
          <w:numId w:val="1"/>
        </w:numPr>
        <w:spacing w:after="70" w:line="270" w:lineRule="auto"/>
      </w:pPr>
      <w:r>
        <w:t>G6 — Competitive-or-better performance vs. recent SOTA baselines, re-run under identical conditions.</w:t>
      </w:r>
      <w:r>
        <w:rPr>
          <w:b/>
          <w:bCs/>
          <w:color w:val="2E7D32"/>
          <w:sz w:val="16"/>
          <w:szCs w:val="16"/>
        </w:rPr>
        <w:t xml:space="preserve"> [REQUIRED]</w:t>
      </w:r>
    </w:p>
    <w:p w14:paraId="5B7622C6">
      <w:pPr>
        <w:pStyle w:val="16"/>
        <w:numPr>
          <w:ilvl w:val="0"/>
          <w:numId w:val="1"/>
        </w:numPr>
        <w:spacing w:after="70" w:line="270" w:lineRule="auto"/>
      </w:pPr>
      <w:r>
        <w:t>G7 — A reproducible, submission-ready contribution (code + manuscript).</w:t>
      </w:r>
      <w:r>
        <w:rPr>
          <w:b/>
          <w:bCs/>
          <w:color w:val="2E7D32"/>
          <w:sz w:val="16"/>
          <w:szCs w:val="16"/>
        </w:rPr>
        <w:t xml:space="preserve"> [REQUIRED]</w:t>
      </w:r>
    </w:p>
    <w:p w14:paraId="62C5363F">
      <w:pPr>
        <w:pStyle w:val="2"/>
      </w:pPr>
      <w:r>
        <w:t>3. Scope — in and out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5CA1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F98F6">
            <w:pPr>
              <w:spacing w:after="0" w:line="262" w:lineRule="auto"/>
            </w:pPr>
            <w:r>
              <w:rPr>
                <w:b/>
                <w:bCs/>
                <w:color w:val="FFFFFF"/>
              </w:rPr>
              <w:t>In scope</w:t>
            </w:r>
          </w:p>
        </w:tc>
        <w:tc>
          <w:tcPr>
            <w:tcW w:w="4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B000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B3650">
            <w:pPr>
              <w:spacing w:after="0" w:line="262" w:lineRule="auto"/>
            </w:pPr>
            <w:r>
              <w:rPr>
                <w:b/>
                <w:bCs/>
                <w:color w:val="FFFFFF"/>
              </w:rPr>
              <w:t>Out of scope</w:t>
            </w:r>
          </w:p>
        </w:tc>
      </w:tr>
      <w:tr w14:paraId="45F9A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90E9C">
            <w:pPr>
              <w:pStyle w:val="16"/>
              <w:numPr>
                <w:ilvl w:val="0"/>
                <w:numId w:val="2"/>
              </w:numPr>
              <w:spacing w:after="50"/>
            </w:pPr>
            <w:r>
              <w:t>Spatio-temporal forecasting (cases / deaths)</w:t>
            </w:r>
          </w:p>
          <w:p w14:paraId="0C6CCBBF">
            <w:pPr>
              <w:pStyle w:val="16"/>
              <w:numPr>
                <w:ilvl w:val="0"/>
                <w:numId w:val="2"/>
              </w:numPr>
              <w:spacing w:after="50"/>
            </w:pPr>
            <w:r>
              <w:t>Calibrated uncertainty quantification</w:t>
            </w:r>
          </w:p>
          <w:p w14:paraId="3C7145E0">
            <w:pPr>
              <w:pStyle w:val="16"/>
              <w:numPr>
                <w:ilvl w:val="0"/>
                <w:numId w:val="2"/>
              </w:numPr>
              <w:spacing w:after="50"/>
            </w:pPr>
            <w:r>
              <w:t>Explainability of forecasts</w:t>
            </w:r>
          </w:p>
          <w:p w14:paraId="6282FD1A">
            <w:pPr>
              <w:pStyle w:val="16"/>
              <w:numPr>
                <w:ilvl w:val="0"/>
                <w:numId w:val="2"/>
              </w:numPr>
              <w:spacing w:after="50"/>
            </w:pPr>
            <w:r>
              <w:t>Cross-disease transfer &amp; few-shot adaptation</w:t>
            </w:r>
          </w:p>
          <w:p w14:paraId="7408C457">
            <w:pPr>
              <w:pStyle w:val="16"/>
              <w:numPr>
                <w:ilvl w:val="0"/>
                <w:numId w:val="2"/>
              </w:numPr>
              <w:spacing w:after="0"/>
            </w:pPr>
            <w:r>
              <w:t>Empirical benchmark + full literature review</w:t>
            </w:r>
          </w:p>
        </w:tc>
        <w:tc>
          <w:tcPr>
            <w:tcW w:w="4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00E84">
            <w:pPr>
              <w:spacing w:after="50"/>
            </w:pPr>
            <w:r>
              <w:rPr>
                <w:color w:val="595959"/>
              </w:rPr>
              <w:t>✕  Regional risk stratification</w:t>
            </w:r>
          </w:p>
          <w:p w14:paraId="6D678623">
            <w:pPr>
              <w:spacing w:after="50"/>
            </w:pPr>
            <w:r>
              <w:rPr>
                <w:color w:val="595959"/>
              </w:rPr>
              <w:t>✕  Intervention priority ranking</w:t>
            </w:r>
          </w:p>
          <w:p w14:paraId="05C3B4BD">
            <w:pPr>
              <w:spacing w:after="0"/>
            </w:pPr>
            <w:r>
              <w:rPr>
                <w:i/>
                <w:iCs/>
                <w:color w:val="595959"/>
                <w:sz w:val="18"/>
                <w:szCs w:val="18"/>
              </w:rPr>
              <w:t>Reason: no agreed ground-truth labels, so they cannot be trained or validated rigorously and would weaken the paper. Natural future extension.</w:t>
            </w:r>
          </w:p>
        </w:tc>
      </w:tr>
    </w:tbl>
    <w:p w14:paraId="55C0B444">
      <w:pPr>
        <w:pStyle w:val="2"/>
      </w:pPr>
      <w:r>
        <w:t>4. Methodology — what to build</w:t>
      </w:r>
    </w:p>
    <w:p w14:paraId="2F07DD5C">
      <w:pPr>
        <w:spacing w:after="130" w:line="276" w:lineRule="auto"/>
      </w:pPr>
      <w:r>
        <w:rPr>
          <w:rFonts w:hint="default"/>
          <w:lang w:val="en-US"/>
        </w:rPr>
        <w:t>Displaybarcode”</w:t>
      </w:r>
      <w:r>
        <w:t>Four design pillars, none specific to one disease:</w:t>
      </w:r>
    </w:p>
    <w:p w14:paraId="27962C92">
      <w:pPr>
        <w:pStyle w:val="16"/>
        <w:numPr>
          <w:ilvl w:val="0"/>
          <w:numId w:val="1"/>
        </w:numPr>
        <w:spacing w:after="70" w:line="270" w:lineRule="auto"/>
      </w:pPr>
      <w:r>
        <w:rPr>
          <w:b/>
          <w:bCs/>
        </w:rPr>
        <w:t>Disease-agnostic spatio-temporal encoder</w:t>
      </w:r>
      <w:r>
        <w:t xml:space="preserve"> — temporal + graph components over a standardised schema (normalised incidence, spatial adjacency, generic covariates).</w:t>
      </w:r>
      <w:r>
        <w:rPr>
          <w:b/>
          <w:bCs/>
          <w:color w:val="2E7D32"/>
          <w:sz w:val="16"/>
          <w:szCs w:val="16"/>
        </w:rPr>
        <w:t xml:space="preserve"> [REQUIRED]</w:t>
      </w:r>
    </w:p>
    <w:p w14:paraId="06BD08FD">
      <w:pPr>
        <w:pStyle w:val="16"/>
        <w:numPr>
          <w:ilvl w:val="0"/>
          <w:numId w:val="1"/>
        </w:numPr>
        <w:spacing w:after="70" w:line="270" w:lineRule="auto"/>
      </w:pPr>
      <w:r>
        <w:rPr>
          <w:b/>
          <w:bCs/>
        </w:rPr>
        <w:t>Epidemiology-informed inductive bias</w:t>
      </w:r>
      <w:r>
        <w:t xml:space="preserve"> — a metapopulation / compartmental-aware component (or physics-informed loss) for data efficiency and generalisation.</w:t>
      </w:r>
      <w:r>
        <w:rPr>
          <w:b/>
          <w:bCs/>
          <w:color w:val="B8860B"/>
          <w:sz w:val="16"/>
          <w:szCs w:val="16"/>
        </w:rPr>
        <w:t xml:space="preserve"> [SUGGESTION]</w:t>
      </w:r>
    </w:p>
    <w:p w14:paraId="1881501D">
      <w:pPr>
        <w:pStyle w:val="16"/>
        <w:numPr>
          <w:ilvl w:val="0"/>
          <w:numId w:val="1"/>
        </w:numPr>
        <w:spacing w:after="70" w:line="270" w:lineRule="auto"/>
      </w:pPr>
      <w:r>
        <w:rPr>
          <w:b/>
          <w:bCs/>
        </w:rPr>
        <w:t>Transferable representation learning with few-shot adaptation</w:t>
      </w:r>
      <w:r>
        <w:t xml:space="preserve"> — meta-learning / domain-generalisation so the encoder captures disease-invariant dynamics and adapts with minimal data.</w:t>
      </w:r>
      <w:r>
        <w:rPr>
          <w:b/>
          <w:bCs/>
          <w:color w:val="2E7D32"/>
          <w:sz w:val="16"/>
          <w:szCs w:val="16"/>
        </w:rPr>
        <w:t xml:space="preserve"> [REQUIRED]</w:t>
      </w:r>
    </w:p>
    <w:p w14:paraId="4D680BEE">
      <w:pPr>
        <w:pStyle w:val="16"/>
        <w:numPr>
          <w:ilvl w:val="0"/>
          <w:numId w:val="1"/>
        </w:numPr>
        <w:spacing w:after="70" w:line="270" w:lineRule="auto"/>
      </w:pPr>
      <w:r>
        <w:rPr>
          <w:b/>
          <w:bCs/>
        </w:rPr>
        <w:t>Calibrated uncertainty</w:t>
      </w:r>
      <w:r>
        <w:t xml:space="preserve"> — conformal prediction is recommended (model-agnostic, post-hoc); a Bayesian approach is an alternative but would move UQ into the model build in Week 3.</w:t>
      </w:r>
      <w:r>
        <w:rPr>
          <w:b/>
          <w:bCs/>
          <w:color w:val="B8860B"/>
          <w:sz w:val="16"/>
          <w:szCs w:val="16"/>
        </w:rPr>
        <w:t xml:space="preserve"> [SUGGESTION]</w:t>
      </w:r>
      <w:r>
        <w:rPr>
          <w:rFonts w:hint="default"/>
          <w:b/>
          <w:bCs/>
          <w:color w:val="B8860B"/>
          <w:sz w:val="16"/>
          <w:szCs w:val="16"/>
          <w:lang w:val="en-US"/>
        </w:rPr>
        <w:t>”qr</w:t>
      </w:r>
      <w:bookmarkStart w:id="0" w:name="_GoBack"/>
      <w:bookmarkEnd w:id="0"/>
    </w:p>
    <w:p w14:paraId="58803C08">
      <w:pPr>
        <w:pStyle w:val="2"/>
      </w:pPr>
      <w:r>
        <w:t>5. Datasets</w:t>
      </w:r>
    </w:p>
    <w:p w14:paraId="367FC51D">
      <w:pPr>
        <w:pStyle w:val="16"/>
        <w:numPr>
          <w:ilvl w:val="0"/>
          <w:numId w:val="1"/>
        </w:numPr>
        <w:spacing w:after="70" w:line="270" w:lineRule="auto"/>
      </w:pPr>
      <w:r>
        <w:rPr>
          <w:b/>
          <w:bCs/>
        </w:rPr>
        <w:t>Dengue</w:t>
      </w:r>
      <w:r>
        <w:t xml:space="preserve"> — primary development disease (large, dense, spatially-resolved).</w:t>
      </w:r>
      <w:r>
        <w:rPr>
          <w:b/>
          <w:bCs/>
          <w:color w:val="2E7D32"/>
          <w:sz w:val="16"/>
          <w:szCs w:val="16"/>
        </w:rPr>
        <w:t xml:space="preserve"> [REQUIRED]</w:t>
      </w:r>
    </w:p>
    <w:p w14:paraId="5C2C90E4">
      <w:pPr>
        <w:pStyle w:val="16"/>
        <w:numPr>
          <w:ilvl w:val="0"/>
          <w:numId w:val="1"/>
        </w:numPr>
        <w:spacing w:after="70" w:line="270" w:lineRule="auto"/>
      </w:pPr>
      <w:r>
        <w:rPr>
          <w:b/>
          <w:bCs/>
        </w:rPr>
        <w:t>Influenza</w:t>
      </w:r>
      <w:r>
        <w:t xml:space="preserve"> — second development disease, to make the “general framework” claim credible (avoids a dengue-only model).</w:t>
      </w:r>
      <w:r>
        <w:rPr>
          <w:b/>
          <w:bCs/>
          <w:color w:val="B8860B"/>
          <w:sz w:val="16"/>
          <w:szCs w:val="16"/>
        </w:rPr>
        <w:t xml:space="preserve"> [SUGGESTION]</w:t>
      </w:r>
    </w:p>
    <w:p w14:paraId="0D2EC8AE">
      <w:pPr>
        <w:pStyle w:val="16"/>
        <w:numPr>
          <w:ilvl w:val="0"/>
          <w:numId w:val="1"/>
        </w:numPr>
        <w:spacing w:after="70" w:line="270" w:lineRule="auto"/>
      </w:pPr>
      <w:r>
        <w:rPr>
          <w:b/>
          <w:bCs/>
        </w:rPr>
        <w:t>COVID-19</w:t>
      </w:r>
      <w:r>
        <w:t xml:space="preserve"> — optional third development disease for added diversity.</w:t>
      </w:r>
      <w:r>
        <w:rPr>
          <w:b/>
          <w:bCs/>
          <w:color w:val="B8860B"/>
          <w:sz w:val="16"/>
          <w:szCs w:val="16"/>
        </w:rPr>
        <w:t xml:space="preserve"> [SUGGESTION]</w:t>
      </w:r>
    </w:p>
    <w:p w14:paraId="0D0A33E9">
      <w:pPr>
        <w:pStyle w:val="16"/>
        <w:numPr>
          <w:ilvl w:val="0"/>
          <w:numId w:val="1"/>
        </w:numPr>
        <w:spacing w:after="70" w:line="270" w:lineRule="auto"/>
      </w:pPr>
      <w:r>
        <w:rPr>
          <w:b/>
          <w:bCs/>
        </w:rPr>
        <w:t>Ebola</w:t>
      </w:r>
      <w:r>
        <w:t xml:space="preserve"> — held-out, data-scarce case study for the few-shot generalisation test; assembled from outbreak situation reports.</w:t>
      </w:r>
      <w:r>
        <w:rPr>
          <w:b/>
          <w:bCs/>
          <w:color w:val="2E7D32"/>
          <w:sz w:val="16"/>
          <w:szCs w:val="16"/>
        </w:rPr>
        <w:t xml:space="preserve"> [REQUIRED]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AF12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BF7EE" w:sz="0" w:space="0"/>
              <w:left w:val="single" w:color="B8860B" w:sz="24" w:space="0"/>
              <w:bottom w:val="single" w:color="FBF7EE" w:sz="0" w:space="0"/>
              <w:right w:val="single" w:color="FBF7EE" w:sz="0" w:space="0"/>
            </w:tcBorders>
            <w:shd w:val="clear" w:color="auto" w:fill="FBF7EE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0B37CEE5">
            <w:pPr>
              <w:spacing w:after="60"/>
            </w:pPr>
            <w:r>
              <w:rPr>
                <w:b/>
                <w:bCs/>
                <w:color w:val="B8860B"/>
              </w:rPr>
              <w:t>Note for the engineer</w:t>
            </w:r>
          </w:p>
          <w:p w14:paraId="476B544C">
            <w:pPr>
              <w:spacing w:after="0" w:line="264" w:lineRule="auto"/>
            </w:pPr>
            <w:r>
              <w:t xml:space="preserve">All diseases must be mapped onto one </w:t>
            </w:r>
            <w:r>
              <w:rPr>
                <w:b/>
                <w:bCs/>
              </w:rPr>
              <w:t>standardised input schema</w:t>
            </w:r>
            <w:r>
              <w:t xml:space="preserve"> so the architecture stays disease-agnostic. Run a data audit early (coverage, resolution, missingness) — Ebola data is small, so confirm the usable signal before relying on it.</w:t>
            </w:r>
          </w:p>
        </w:tc>
      </w:tr>
    </w:tbl>
    <w:p w14:paraId="04142667">
      <w:pPr>
        <w:pStyle w:val="2"/>
      </w:pPr>
      <w:r>
        <w:t>6. Deliverables (what the client needs)</w:t>
      </w:r>
    </w:p>
    <w:p w14:paraId="0F0BF79D">
      <w:pPr>
        <w:spacing w:after="130" w:line="276" w:lineRule="auto"/>
      </w:pPr>
      <w:r>
        <w:t xml:space="preserve">All deliverables below are </w:t>
      </w:r>
      <w:r>
        <w:rPr>
          <w:b/>
          <w:bCs/>
          <w:color w:val="2E7D32"/>
        </w:rPr>
        <w:t>required</w:t>
      </w:r>
      <w:r>
        <w:t xml:space="preserve"> unless tagged otherwise:</w:t>
      </w:r>
    </w:p>
    <w:p w14:paraId="4D3B09C4">
      <w:pPr>
        <w:pStyle w:val="16"/>
        <w:numPr>
          <w:ilvl w:val="0"/>
          <w:numId w:val="2"/>
        </w:numPr>
        <w:spacing w:after="60" w:line="264" w:lineRule="auto"/>
      </w:pPr>
      <w:r>
        <w:t>Working, documented framework (source code) operating on the standardised schema</w:t>
      </w:r>
    </w:p>
    <w:p w14:paraId="1F469950">
      <w:pPr>
        <w:pStyle w:val="16"/>
        <w:numPr>
          <w:ilvl w:val="0"/>
          <w:numId w:val="2"/>
        </w:numPr>
        <w:spacing w:after="60" w:line="264" w:lineRule="auto"/>
      </w:pPr>
      <w:r>
        <w:t>Benchmark report: reproduced SOTA baselines vs. our framework on identical data</w:t>
      </w:r>
    </w:p>
    <w:p w14:paraId="0CEBE3D3">
      <w:pPr>
        <w:pStyle w:val="16"/>
        <w:numPr>
          <w:ilvl w:val="0"/>
          <w:numId w:val="2"/>
        </w:numPr>
        <w:spacing w:after="60" w:line="264" w:lineRule="auto"/>
      </w:pPr>
      <w:r>
        <w:t>Literature review / related-work section (structured SOTA comparison, research gap, how our method addresses limitations) — now fully owned by us</w:t>
      </w:r>
    </w:p>
    <w:p w14:paraId="65B2EE8E">
      <w:pPr>
        <w:pStyle w:val="16"/>
        <w:numPr>
          <w:ilvl w:val="0"/>
          <w:numId w:val="2"/>
        </w:numPr>
        <w:spacing w:after="60" w:line="264" w:lineRule="auto"/>
      </w:pPr>
      <w:r>
        <w:t>Cross-disease transfer results (leave-one-disease-out)</w:t>
      </w:r>
    </w:p>
    <w:p w14:paraId="0DD85A48">
      <w:pPr>
        <w:pStyle w:val="16"/>
        <w:numPr>
          <w:ilvl w:val="0"/>
          <w:numId w:val="2"/>
        </w:numPr>
        <w:spacing w:after="60" w:line="264" w:lineRule="auto"/>
      </w:pPr>
      <w:r>
        <w:t>Ebola few-shot case study results, with prediction intervals</w:t>
      </w:r>
    </w:p>
    <w:p w14:paraId="0C0B8B96">
      <w:pPr>
        <w:pStyle w:val="16"/>
        <w:numPr>
          <w:ilvl w:val="0"/>
          <w:numId w:val="2"/>
        </w:numPr>
        <w:spacing w:after="60" w:line="264" w:lineRule="auto"/>
      </w:pPr>
      <w:r>
        <w:t>Ablation studies + robustness / sensitivity analysis</w:t>
      </w:r>
    </w:p>
    <w:p w14:paraId="40EE746E">
      <w:pPr>
        <w:pStyle w:val="16"/>
        <w:numPr>
          <w:ilvl w:val="0"/>
          <w:numId w:val="2"/>
        </w:numPr>
        <w:spacing w:after="60" w:line="264" w:lineRule="auto"/>
      </w:pPr>
      <w:r>
        <w:t>Explainability outputs (e.g. SHAP, global + local)</w:t>
      </w:r>
    </w:p>
    <w:p w14:paraId="74812F5E">
      <w:pPr>
        <w:pStyle w:val="16"/>
        <w:numPr>
          <w:ilvl w:val="0"/>
          <w:numId w:val="2"/>
        </w:numPr>
        <w:spacing w:after="60" w:line="264" w:lineRule="auto"/>
      </w:pPr>
      <w:r>
        <w:t>Submission-ready manuscript (methods, experiments, results, discussion)</w:t>
      </w:r>
    </w:p>
    <w:p w14:paraId="32C35BA7">
      <w:pPr>
        <w:pStyle w:val="16"/>
        <w:numPr>
          <w:ilvl w:val="0"/>
          <w:numId w:val="2"/>
        </w:numPr>
        <w:spacing w:after="60" w:line="264" w:lineRule="auto"/>
      </w:pPr>
      <w:r>
        <w:t>Reproducibility package: code, configs, README, instructions</w:t>
      </w:r>
    </w:p>
    <w:p w14:paraId="56A8D3BD">
      <w:pPr>
        <w:pageBreakBefore/>
      </w:pPr>
    </w:p>
    <w:p w14:paraId="3328658F">
      <w:pPr>
        <w:pStyle w:val="2"/>
      </w:pPr>
      <w:r>
        <w:t>7. Milestones, tasks &amp; deadlines</w:t>
      </w:r>
    </w:p>
    <w:p w14:paraId="4AD9DEFC">
      <w:pPr>
        <w:spacing w:after="130" w:line="276" w:lineRule="auto"/>
      </w:pPr>
      <w:r>
        <w:t>Six weekly milestones, full-time. “Target” shows working-day ranges from the agreed start date.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7710"/>
      </w:tblGrid>
      <w:tr w14:paraId="5D501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A3EE3B">
            <w:r>
              <w:rPr>
                <w:b/>
                <w:bCs/>
                <w:color w:val="FFFFFF"/>
                <w:sz w:val="23"/>
                <w:szCs w:val="23"/>
              </w:rPr>
              <w:t>Week 1  —  Benchmark, literature review &amp; problem setup</w:t>
            </w:r>
          </w:p>
        </w:tc>
      </w:tr>
      <w:tr w14:paraId="557FC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D51C">
            <w:pPr>
              <w:spacing w:after="0" w:line="262" w:lineRule="auto"/>
            </w:pPr>
            <w:r>
              <w:rPr>
                <w:b w:val="0"/>
                <w:bCs w:val="0"/>
              </w:rPr>
              <w:t>Target</w:t>
            </w:r>
          </w:p>
        </w:tc>
        <w:tc>
          <w:tcPr>
            <w:tcW w:w="77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4C78C">
            <w:r>
              <w:rPr>
                <w:b/>
                <w:bCs/>
              </w:rPr>
              <w:t>Days 1–5</w:t>
            </w:r>
          </w:p>
        </w:tc>
      </w:tr>
      <w:tr w14:paraId="712CE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8E651">
            <w:pPr>
              <w:spacing w:after="0" w:line="262" w:lineRule="auto"/>
            </w:pPr>
            <w:r>
              <w:rPr>
                <w:b w:val="0"/>
                <w:bCs w:val="0"/>
              </w:rPr>
              <w:t>Objective</w:t>
            </w:r>
          </w:p>
        </w:tc>
        <w:tc>
          <w:tcPr>
            <w:tcW w:w="77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339CD">
            <w:r>
              <w:t>Establish the research gap, the formal problem, and reproducible baselines.</w:t>
            </w:r>
          </w:p>
        </w:tc>
      </w:tr>
      <w:tr w14:paraId="6A828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019DE">
            <w:pPr>
              <w:spacing w:after="0" w:line="262" w:lineRule="auto"/>
            </w:pPr>
            <w:r>
              <w:rPr>
                <w:b w:val="0"/>
                <w:bCs w:val="0"/>
              </w:rPr>
              <w:t>Engineer tasks</w:t>
            </w:r>
          </w:p>
        </w:tc>
        <w:tc>
          <w:tcPr>
            <w:tcW w:w="77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6897A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 xml:space="preserve">Write the full literature review &amp; structured SOTA comparison </w:t>
            </w:r>
            <w:r>
              <w:rPr>
                <w:i/>
                <w:iCs/>
              </w:rPr>
              <w:t>(now fully ours)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</w:p>
          <w:p w14:paraId="123F31D5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Select 4–6 baselines (relevance, recency/impact, method-family coverage, public code, comparability); share shortlist with client before locking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</w:p>
          <w:p w14:paraId="19605979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Reproduce baselines using official public implementations where available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</w:p>
          <w:p w14:paraId="67F4D492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Define the formal problem, evaluation metrics &amp; validation protocol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</w:p>
          <w:p w14:paraId="76CD6FEA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Specify the standardised, disease-agnostic input schema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</w:p>
        </w:tc>
      </w:tr>
      <w:tr w14:paraId="5E6B2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FCD94">
            <w:pPr>
              <w:spacing w:after="0" w:line="262" w:lineRule="auto"/>
            </w:pPr>
            <w:r>
              <w:rPr>
                <w:b w:val="0"/>
                <w:bCs w:val="0"/>
              </w:rPr>
              <w:t>Deliverables</w:t>
            </w:r>
          </w:p>
        </w:tc>
        <w:tc>
          <w:tcPr>
            <w:tcW w:w="77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643AC">
            <w:pPr>
              <w:pStyle w:val="16"/>
              <w:numPr>
                <w:ilvl w:val="0"/>
                <w:numId w:val="2"/>
              </w:numPr>
              <w:spacing w:after="40" w:line="262" w:lineRule="auto"/>
            </w:pPr>
            <w:r>
              <w:t>Literature-review / related-work draft</w:t>
            </w:r>
          </w:p>
          <w:p w14:paraId="37B00525">
            <w:pPr>
              <w:pStyle w:val="16"/>
              <w:numPr>
                <w:ilvl w:val="0"/>
                <w:numId w:val="2"/>
              </w:numPr>
              <w:spacing w:after="40" w:line="262" w:lineRule="auto"/>
            </w:pPr>
            <w:r>
              <w:t>Baseline shortlist + selection rationale</w:t>
            </w:r>
          </w:p>
          <w:p w14:paraId="3883BB6F">
            <w:pPr>
              <w:pStyle w:val="16"/>
              <w:numPr>
                <w:ilvl w:val="0"/>
                <w:numId w:val="2"/>
              </w:numPr>
              <w:spacing w:after="40" w:line="262" w:lineRule="auto"/>
            </w:pPr>
            <w:r>
              <w:t>Problem definition &amp; evaluation protocol</w:t>
            </w:r>
          </w:p>
          <w:p w14:paraId="480D8754">
            <w:pPr>
              <w:pStyle w:val="16"/>
              <w:numPr>
                <w:ilvl w:val="0"/>
                <w:numId w:val="2"/>
              </w:numPr>
              <w:spacing w:after="40" w:line="262" w:lineRule="auto"/>
            </w:pPr>
            <w:r>
              <w:t>Input schema specification</w:t>
            </w:r>
          </w:p>
        </w:tc>
      </w:tr>
    </w:tbl>
    <w:p w14:paraId="1D88124E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7710"/>
      </w:tblGrid>
      <w:tr w14:paraId="6A8A6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B48591">
            <w:r>
              <w:rPr>
                <w:b/>
                <w:bCs/>
                <w:color w:val="FFFFFF"/>
                <w:sz w:val="23"/>
                <w:szCs w:val="23"/>
              </w:rPr>
              <w:t>Week 2  —  Multi-disease data engineering &amp; harmonisation</w:t>
            </w:r>
          </w:p>
        </w:tc>
      </w:tr>
      <w:tr w14:paraId="7687B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C488B">
            <w:pPr>
              <w:spacing w:after="0" w:line="262" w:lineRule="auto"/>
            </w:pPr>
            <w:r>
              <w:rPr>
                <w:b w:val="0"/>
                <w:bCs w:val="0"/>
              </w:rPr>
              <w:t>Target</w:t>
            </w:r>
          </w:p>
        </w:tc>
        <w:tc>
          <w:tcPr>
            <w:tcW w:w="77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0B7F3">
            <w:r>
              <w:rPr>
                <w:b/>
                <w:bCs/>
              </w:rPr>
              <w:t>Days 6–10</w:t>
            </w:r>
          </w:p>
        </w:tc>
      </w:tr>
      <w:tr w14:paraId="6F15E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D3F8">
            <w:pPr>
              <w:spacing w:after="0" w:line="262" w:lineRule="auto"/>
            </w:pPr>
            <w:r>
              <w:rPr>
                <w:b w:val="0"/>
                <w:bCs w:val="0"/>
              </w:rPr>
              <w:t>Objective</w:t>
            </w:r>
          </w:p>
        </w:tc>
        <w:tc>
          <w:tcPr>
            <w:tcW w:w="77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553CB">
            <w:r>
              <w:t>Build clean, harmonised, leak-free datasets.</w:t>
            </w:r>
          </w:p>
        </w:tc>
      </w:tr>
      <w:tr w14:paraId="49945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2FF1C">
            <w:pPr>
              <w:spacing w:after="0" w:line="262" w:lineRule="auto"/>
            </w:pPr>
            <w:r>
              <w:rPr>
                <w:b w:val="0"/>
                <w:bCs w:val="0"/>
              </w:rPr>
              <w:t>Engineer tasks</w:t>
            </w:r>
          </w:p>
        </w:tc>
        <w:tc>
          <w:tcPr>
            <w:tcW w:w="77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5B9A9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Acquire, parse &amp; clean dengue data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</w:p>
          <w:p w14:paraId="4E9D4505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Add influenza (and optionally COVID-19) development data</w:t>
            </w:r>
            <w:r>
              <w:rPr>
                <w:b/>
                <w:bCs/>
                <w:color w:val="B8860B"/>
                <w:sz w:val="16"/>
                <w:szCs w:val="16"/>
              </w:rPr>
              <w:t xml:space="preserve"> [SUGGESTION]</w:t>
            </w:r>
          </w:p>
          <w:p w14:paraId="6953EA9B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Assemble the Ebola case-study dataset from outbreak situation reports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</w:p>
          <w:p w14:paraId="6C0D856E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Map all diseases onto the standardised schema; build preprocessing + train/val/test splits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</w:p>
          <w:p w14:paraId="2272BB63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Run a data audit (coverage, resolution, missingness) — confirm usable Ebola signal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</w:p>
        </w:tc>
      </w:tr>
      <w:tr w14:paraId="4D05F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FA359">
            <w:pPr>
              <w:spacing w:after="0" w:line="262" w:lineRule="auto"/>
            </w:pPr>
            <w:r>
              <w:rPr>
                <w:b w:val="0"/>
                <w:bCs w:val="0"/>
              </w:rPr>
              <w:t>Deliverables</w:t>
            </w:r>
          </w:p>
        </w:tc>
        <w:tc>
          <w:tcPr>
            <w:tcW w:w="77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3A35C">
            <w:pPr>
              <w:pStyle w:val="16"/>
              <w:numPr>
                <w:ilvl w:val="0"/>
                <w:numId w:val="2"/>
              </w:numPr>
              <w:spacing w:after="40" w:line="262" w:lineRule="auto"/>
            </w:pPr>
            <w:r>
              <w:t>Harmonised multi-disease datasets</w:t>
            </w:r>
          </w:p>
          <w:p w14:paraId="7B2A8A95">
            <w:pPr>
              <w:pStyle w:val="16"/>
              <w:numPr>
                <w:ilvl w:val="0"/>
                <w:numId w:val="2"/>
              </w:numPr>
              <w:spacing w:after="40" w:line="262" w:lineRule="auto"/>
            </w:pPr>
            <w:r>
              <w:t>Reproducible data pipeline + documentation</w:t>
            </w:r>
          </w:p>
          <w:p w14:paraId="1E83CD3A">
            <w:pPr>
              <w:pStyle w:val="16"/>
              <w:numPr>
                <w:ilvl w:val="0"/>
                <w:numId w:val="2"/>
              </w:numPr>
              <w:spacing w:after="40" w:line="262" w:lineRule="auto"/>
            </w:pPr>
            <w:r>
              <w:t>Data audit note</w:t>
            </w:r>
          </w:p>
        </w:tc>
      </w:tr>
    </w:tbl>
    <w:p w14:paraId="3AF9394A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7710"/>
      </w:tblGrid>
      <w:tr w14:paraId="0CE27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7D1D15">
            <w:r>
              <w:rPr>
                <w:b/>
                <w:bCs/>
                <w:color w:val="FFFFFF"/>
                <w:sz w:val="23"/>
                <w:szCs w:val="23"/>
              </w:rPr>
              <w:t>Week 3  —  Core framework build &amp; development training</w:t>
            </w:r>
          </w:p>
        </w:tc>
      </w:tr>
      <w:tr w14:paraId="62BC1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0CDD5">
            <w:pPr>
              <w:spacing w:after="0" w:line="262" w:lineRule="auto"/>
            </w:pPr>
            <w:r>
              <w:rPr>
                <w:b w:val="0"/>
                <w:bCs w:val="0"/>
              </w:rPr>
              <w:t>Target</w:t>
            </w:r>
          </w:p>
        </w:tc>
        <w:tc>
          <w:tcPr>
            <w:tcW w:w="77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D004">
            <w:r>
              <w:rPr>
                <w:b/>
                <w:bCs/>
              </w:rPr>
              <w:t>Days 11–15</w:t>
            </w:r>
          </w:p>
        </w:tc>
      </w:tr>
      <w:tr w14:paraId="024AE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61E5A">
            <w:pPr>
              <w:spacing w:after="0" w:line="262" w:lineRule="auto"/>
            </w:pPr>
            <w:r>
              <w:rPr>
                <w:b w:val="0"/>
                <w:bCs w:val="0"/>
              </w:rPr>
              <w:t>Objective</w:t>
            </w:r>
          </w:p>
        </w:tc>
        <w:tc>
          <w:tcPr>
            <w:tcW w:w="77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D3B0B">
            <w:r>
              <w:t>Implement and validate the core model on the data-rich diseases.</w:t>
            </w:r>
          </w:p>
        </w:tc>
      </w:tr>
      <w:tr w14:paraId="7E6DA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44E84">
            <w:pPr>
              <w:spacing w:after="0" w:line="262" w:lineRule="auto"/>
            </w:pPr>
            <w:r>
              <w:rPr>
                <w:b w:val="0"/>
                <w:bCs w:val="0"/>
              </w:rPr>
              <w:t>Engineer tasks</w:t>
            </w:r>
          </w:p>
        </w:tc>
        <w:tc>
          <w:tcPr>
            <w:tcW w:w="77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7886F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Implement the disease-agnostic spatio-temporal encoder (temporal + graph)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</w:p>
          <w:p w14:paraId="7611C6F7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Integrate the epidemiology-informed component</w:t>
            </w:r>
            <w:r>
              <w:rPr>
                <w:b/>
                <w:bCs/>
                <w:color w:val="B8860B"/>
                <w:sz w:val="16"/>
                <w:szCs w:val="16"/>
              </w:rPr>
              <w:t xml:space="preserve"> [SUGGESTION]</w:t>
            </w:r>
          </w:p>
          <w:p w14:paraId="13E94E63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Train on the data-rich diseases + hyperparameter tuning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</w:p>
          <w:p w14:paraId="4DF2818E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Re-run the selected baselines on the harmonised data; benchmark vs. our framework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</w:p>
        </w:tc>
      </w:tr>
      <w:tr w14:paraId="7FBFE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E3FA">
            <w:pPr>
              <w:spacing w:after="0" w:line="262" w:lineRule="auto"/>
            </w:pPr>
            <w:r>
              <w:rPr>
                <w:b w:val="0"/>
                <w:bCs w:val="0"/>
              </w:rPr>
              <w:t>Deliverables</w:t>
            </w:r>
          </w:p>
        </w:tc>
        <w:tc>
          <w:tcPr>
            <w:tcW w:w="77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35C46">
            <w:pPr>
              <w:pStyle w:val="16"/>
              <w:numPr>
                <w:ilvl w:val="0"/>
                <w:numId w:val="2"/>
              </w:numPr>
              <w:spacing w:after="40" w:line="262" w:lineRule="auto"/>
            </w:pPr>
            <w:r>
              <w:t>Working framework (v1) + training code</w:t>
            </w:r>
          </w:p>
          <w:p w14:paraId="083F5F2D">
            <w:pPr>
              <w:pStyle w:val="16"/>
              <w:numPr>
                <w:ilvl w:val="0"/>
                <w:numId w:val="2"/>
              </w:numPr>
              <w:spacing w:after="40" w:line="262" w:lineRule="auto"/>
            </w:pPr>
            <w:r>
              <w:t>Benchmark results vs. baselines on development diseases</w:t>
            </w:r>
          </w:p>
          <w:p w14:paraId="18E8EA57">
            <w:pPr>
              <w:pStyle w:val="16"/>
              <w:numPr>
                <w:ilvl w:val="0"/>
                <w:numId w:val="2"/>
              </w:numPr>
              <w:spacing w:after="40" w:line="262" w:lineRule="auto"/>
            </w:pPr>
            <w:r>
              <w:t>Technical design note</w:t>
            </w:r>
          </w:p>
        </w:tc>
      </w:tr>
    </w:tbl>
    <w:p w14:paraId="7579A64F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7710"/>
      </w:tblGrid>
      <w:tr w14:paraId="0DE61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111527">
            <w:r>
              <w:rPr>
                <w:b/>
                <w:bCs/>
                <w:color w:val="FFFFFF"/>
                <w:sz w:val="23"/>
                <w:szCs w:val="23"/>
              </w:rPr>
              <w:t>Week 4  —  Transferable representations, meta-learning &amp; few-shot adaptation</w:t>
            </w:r>
          </w:p>
        </w:tc>
      </w:tr>
      <w:tr w14:paraId="04A36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38663">
            <w:pPr>
              <w:spacing w:after="0" w:line="262" w:lineRule="auto"/>
            </w:pPr>
            <w:r>
              <w:rPr>
                <w:b w:val="0"/>
                <w:bCs w:val="0"/>
              </w:rPr>
              <w:t>Target</w:t>
            </w:r>
          </w:p>
        </w:tc>
        <w:tc>
          <w:tcPr>
            <w:tcW w:w="77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2E1C4">
            <w:r>
              <w:rPr>
                <w:b/>
                <w:bCs/>
              </w:rPr>
              <w:t>Days 16–20</w:t>
            </w:r>
          </w:p>
        </w:tc>
      </w:tr>
      <w:tr w14:paraId="75579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4ACD1">
            <w:pPr>
              <w:spacing w:after="0" w:line="262" w:lineRule="auto"/>
            </w:pPr>
            <w:r>
              <w:rPr>
                <w:b w:val="0"/>
                <w:bCs w:val="0"/>
              </w:rPr>
              <w:t>Objective</w:t>
            </w:r>
          </w:p>
        </w:tc>
        <w:tc>
          <w:tcPr>
            <w:tcW w:w="77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8E40E">
            <w:r>
              <w:t>Add the core methodological contribution: transfer + few-shot adaptation.</w:t>
            </w:r>
          </w:p>
        </w:tc>
      </w:tr>
      <w:tr w14:paraId="74CC5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30A87">
            <w:pPr>
              <w:spacing w:after="0" w:line="262" w:lineRule="auto"/>
            </w:pPr>
            <w:r>
              <w:rPr>
                <w:b w:val="0"/>
                <w:bCs w:val="0"/>
              </w:rPr>
              <w:t>Engineer tasks</w:t>
            </w:r>
          </w:p>
        </w:tc>
        <w:tc>
          <w:tcPr>
            <w:tcW w:w="77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94F08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Implement meta-learning / domain-generalisation training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</w:p>
          <w:p w14:paraId="24732525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Disease-invariant representation learning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</w:p>
          <w:p w14:paraId="2C3F8943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Leave-one-disease-out transfer evaluation across development diseases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</w:p>
          <w:p w14:paraId="495C127C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Build the few-shot adaptation protocol for an unseen disease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</w:p>
        </w:tc>
      </w:tr>
      <w:tr w14:paraId="3FA01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D211D">
            <w:pPr>
              <w:spacing w:after="0" w:line="262" w:lineRule="auto"/>
            </w:pPr>
            <w:r>
              <w:rPr>
                <w:b w:val="0"/>
                <w:bCs w:val="0"/>
              </w:rPr>
              <w:t>Deliverables</w:t>
            </w:r>
          </w:p>
        </w:tc>
        <w:tc>
          <w:tcPr>
            <w:tcW w:w="77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811F5">
            <w:pPr>
              <w:pStyle w:val="16"/>
              <w:numPr>
                <w:ilvl w:val="0"/>
                <w:numId w:val="2"/>
              </w:numPr>
              <w:spacing w:after="40" w:line="262" w:lineRule="auto"/>
            </w:pPr>
            <w:r>
              <w:t>Framework (v2) with transfer module</w:t>
            </w:r>
          </w:p>
          <w:p w14:paraId="7C8F9915">
            <w:pPr>
              <w:pStyle w:val="16"/>
              <w:numPr>
                <w:ilvl w:val="0"/>
                <w:numId w:val="2"/>
              </w:numPr>
              <w:spacing w:after="40" w:line="262" w:lineRule="auto"/>
            </w:pPr>
            <w:r>
              <w:t>Leave-one-disease-out transfer results</w:t>
            </w:r>
          </w:p>
          <w:p w14:paraId="40AF8B12">
            <w:pPr>
              <w:pStyle w:val="16"/>
              <w:numPr>
                <w:ilvl w:val="0"/>
                <w:numId w:val="2"/>
              </w:numPr>
              <w:spacing w:after="40" w:line="262" w:lineRule="auto"/>
            </w:pPr>
            <w:r>
              <w:t>Few-shot adaptation protocol</w:t>
            </w:r>
          </w:p>
        </w:tc>
      </w:tr>
    </w:tbl>
    <w:p w14:paraId="3A9D19E2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7710"/>
      </w:tblGrid>
      <w:tr w14:paraId="4DC52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3C1F50">
            <w:r>
              <w:rPr>
                <w:b/>
                <w:bCs/>
                <w:color w:val="FFFFFF"/>
                <w:sz w:val="23"/>
                <w:szCs w:val="23"/>
              </w:rPr>
              <w:t>Week 5  —  Ebola case study, uncertainty &amp; explainability</w:t>
            </w:r>
          </w:p>
        </w:tc>
      </w:tr>
      <w:tr w14:paraId="3AA2C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A2B37">
            <w:pPr>
              <w:spacing w:after="0" w:line="262" w:lineRule="auto"/>
            </w:pPr>
            <w:r>
              <w:rPr>
                <w:b w:val="0"/>
                <w:bCs w:val="0"/>
              </w:rPr>
              <w:t>Target</w:t>
            </w:r>
          </w:p>
        </w:tc>
        <w:tc>
          <w:tcPr>
            <w:tcW w:w="77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17AC0">
            <w:r>
              <w:rPr>
                <w:b/>
                <w:bCs/>
              </w:rPr>
              <w:t>Days 21–25</w:t>
            </w:r>
          </w:p>
        </w:tc>
      </w:tr>
      <w:tr w14:paraId="08B87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0B375">
            <w:pPr>
              <w:spacing w:after="0" w:line="262" w:lineRule="auto"/>
            </w:pPr>
            <w:r>
              <w:rPr>
                <w:b w:val="0"/>
                <w:bCs w:val="0"/>
              </w:rPr>
              <w:t>Objective</w:t>
            </w:r>
          </w:p>
        </w:tc>
        <w:tc>
          <w:tcPr>
            <w:tcW w:w="77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43F3B">
            <w:r>
              <w:t>Demonstrate generalisation to a data-scarce disease, with calibrated uncertainty and explanations.</w:t>
            </w:r>
          </w:p>
        </w:tc>
      </w:tr>
      <w:tr w14:paraId="737AE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CC9A1">
            <w:pPr>
              <w:spacing w:after="0" w:line="262" w:lineRule="auto"/>
            </w:pPr>
            <w:r>
              <w:rPr>
                <w:b w:val="0"/>
                <w:bCs w:val="0"/>
              </w:rPr>
              <w:t>Engineer tasks</w:t>
            </w:r>
          </w:p>
        </w:tc>
        <w:tc>
          <w:tcPr>
            <w:tcW w:w="77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DB81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Run the Ebola out-of-distribution few-shot case study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</w:p>
          <w:p w14:paraId="005C54E1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Add calibrated uncertainty quantification (conformal recommended) + calibration checks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</w:p>
          <w:p w14:paraId="09A231E6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Produce explainability outputs (SHAP global + local)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</w:p>
          <w:p w14:paraId="0169084E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Compile case-study results with prediction intervals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</w:p>
        </w:tc>
      </w:tr>
      <w:tr w14:paraId="1E2D9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EDEC6">
            <w:pPr>
              <w:spacing w:after="0" w:line="262" w:lineRule="auto"/>
            </w:pPr>
            <w:r>
              <w:rPr>
                <w:b w:val="0"/>
                <w:bCs w:val="0"/>
              </w:rPr>
              <w:t>Deliverables</w:t>
            </w:r>
          </w:p>
        </w:tc>
        <w:tc>
          <w:tcPr>
            <w:tcW w:w="77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78777">
            <w:pPr>
              <w:pStyle w:val="16"/>
              <w:numPr>
                <w:ilvl w:val="0"/>
                <w:numId w:val="2"/>
              </w:numPr>
              <w:spacing w:after="40" w:line="262" w:lineRule="auto"/>
            </w:pPr>
            <w:r>
              <w:t>Ebola case-study results with uncertainty</w:t>
            </w:r>
          </w:p>
          <w:p w14:paraId="7D5EA544">
            <w:pPr>
              <w:pStyle w:val="16"/>
              <w:numPr>
                <w:ilvl w:val="0"/>
                <w:numId w:val="2"/>
              </w:numPr>
              <w:spacing w:after="40" w:line="262" w:lineRule="auto"/>
            </w:pPr>
            <w:r>
              <w:t>Calibration evaluation</w:t>
            </w:r>
          </w:p>
          <w:p w14:paraId="62C84CCB">
            <w:pPr>
              <w:pStyle w:val="16"/>
              <w:numPr>
                <w:ilvl w:val="0"/>
                <w:numId w:val="2"/>
              </w:numPr>
              <w:spacing w:after="40" w:line="262" w:lineRule="auto"/>
            </w:pPr>
            <w:r>
              <w:t>Explainability outputs</w:t>
            </w:r>
          </w:p>
        </w:tc>
      </w:tr>
    </w:tbl>
    <w:p w14:paraId="1A86D64F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7710"/>
      </w:tblGrid>
      <w:tr w14:paraId="4ED4A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53989E">
            <w:r>
              <w:rPr>
                <w:b/>
                <w:bCs/>
                <w:color w:val="FFFFFF"/>
                <w:sz w:val="23"/>
                <w:szCs w:val="23"/>
              </w:rPr>
              <w:t>Week 6  —  Ablations, robustness, writing &amp; documentation</w:t>
            </w:r>
          </w:p>
        </w:tc>
      </w:tr>
      <w:tr w14:paraId="4B84B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2FCC2">
            <w:pPr>
              <w:spacing w:after="0" w:line="262" w:lineRule="auto"/>
            </w:pPr>
            <w:r>
              <w:rPr>
                <w:b w:val="0"/>
                <w:bCs w:val="0"/>
              </w:rPr>
              <w:t>Target</w:t>
            </w:r>
          </w:p>
        </w:tc>
        <w:tc>
          <w:tcPr>
            <w:tcW w:w="77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26F8">
            <w:r>
              <w:rPr>
                <w:b/>
                <w:bCs/>
              </w:rPr>
              <w:t>Days 26–30</w:t>
            </w:r>
          </w:p>
        </w:tc>
      </w:tr>
      <w:tr w14:paraId="14E2E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42E78">
            <w:pPr>
              <w:spacing w:after="0" w:line="262" w:lineRule="auto"/>
            </w:pPr>
            <w:r>
              <w:rPr>
                <w:b w:val="0"/>
                <w:bCs w:val="0"/>
              </w:rPr>
              <w:t>Objective</w:t>
            </w:r>
          </w:p>
        </w:tc>
        <w:tc>
          <w:tcPr>
            <w:tcW w:w="77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23DE">
            <w:r>
              <w:t>Establish robustness, then produce a submission-ready paper and reproducible release.</w:t>
            </w:r>
          </w:p>
        </w:tc>
      </w:tr>
      <w:tr w14:paraId="3876C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E2648">
            <w:pPr>
              <w:spacing w:after="0" w:line="262" w:lineRule="auto"/>
            </w:pPr>
            <w:r>
              <w:rPr>
                <w:b w:val="0"/>
                <w:bCs w:val="0"/>
              </w:rPr>
              <w:t>Engineer tasks</w:t>
            </w:r>
          </w:p>
        </w:tc>
        <w:tc>
          <w:tcPr>
            <w:tcW w:w="77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BB4AF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Ablations: with vs. without epidemiology-informed component; standard vs. meta-learning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</w:p>
          <w:p w14:paraId="2BC31DFC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Robustness / sensitivity analysis; finalise all tables &amp; figures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</w:p>
          <w:p w14:paraId="232F5040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Draft the full manuscript (incl. literature review, methodology, experiments, results, discussion)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</w:p>
          <w:p w14:paraId="4170F1FB">
            <w:pPr>
              <w:pStyle w:val="16"/>
              <w:numPr>
                <w:ilvl w:val="0"/>
                <w:numId w:val="1"/>
              </w:numPr>
              <w:spacing w:after="40" w:line="262" w:lineRule="auto"/>
            </w:pPr>
            <w:r>
              <w:t>Finalise source code + README + reproducibility package; submission support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[REQUIRED]</w:t>
            </w:r>
          </w:p>
        </w:tc>
      </w:tr>
      <w:tr w14:paraId="25D0E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FBEBD">
            <w:pPr>
              <w:spacing w:after="0" w:line="262" w:lineRule="auto"/>
            </w:pPr>
            <w:r>
              <w:rPr>
                <w:b w:val="0"/>
                <w:bCs w:val="0"/>
              </w:rPr>
              <w:t>Deliverables</w:t>
            </w:r>
          </w:p>
        </w:tc>
        <w:tc>
          <w:tcPr>
            <w:tcW w:w="77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21F48">
            <w:pPr>
              <w:pStyle w:val="16"/>
              <w:numPr>
                <w:ilvl w:val="0"/>
                <w:numId w:val="2"/>
              </w:numPr>
              <w:spacing w:after="40" w:line="262" w:lineRule="auto"/>
            </w:pPr>
            <w:r>
              <w:t>Ablation &amp; robustness study</w:t>
            </w:r>
          </w:p>
          <w:p w14:paraId="0FC60509">
            <w:pPr>
              <w:pStyle w:val="16"/>
              <w:numPr>
                <w:ilvl w:val="0"/>
                <w:numId w:val="2"/>
              </w:numPr>
              <w:spacing w:after="40" w:line="262" w:lineRule="auto"/>
            </w:pPr>
            <w:r>
              <w:t>Submission-ready manuscript</w:t>
            </w:r>
          </w:p>
          <w:p w14:paraId="15B71C51">
            <w:pPr>
              <w:pStyle w:val="16"/>
              <w:numPr>
                <w:ilvl w:val="0"/>
                <w:numId w:val="2"/>
              </w:numPr>
              <w:spacing w:after="40" w:line="262" w:lineRule="auto"/>
            </w:pPr>
            <w:r>
              <w:t>Reproducibility package</w:t>
            </w:r>
          </w:p>
        </w:tc>
      </w:tr>
    </w:tbl>
    <w:p w14:paraId="4A5EBD44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A791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4F4F4" w:sz="0" w:space="0"/>
              <w:left w:val="single" w:color="595959" w:sz="24" w:space="0"/>
              <w:bottom w:val="single" w:color="F4F4F4" w:sz="0" w:space="0"/>
              <w:right w:val="single" w:color="F4F4F4" w:sz="0" w:space="0"/>
            </w:tcBorders>
            <w:shd w:val="clear" w:color="auto" w:fill="F4F4F4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1F2FF6D9">
            <w:pPr>
              <w:spacing w:after="60"/>
            </w:pPr>
            <w:r>
              <w:rPr>
                <w:b/>
                <w:bCs/>
                <w:color w:val="595959"/>
              </w:rPr>
              <w:t>Post-submission (separate engagement)</w:t>
            </w:r>
          </w:p>
          <w:p w14:paraId="0E547729">
            <w:pPr>
              <w:spacing w:after="0" w:line="264" w:lineRule="auto"/>
            </w:pPr>
            <w:r>
              <w:t xml:space="preserve">Reviewer response &amp; one revision round (point-by-point response, requested re-runs, updated figures/tables) is handled </w:t>
            </w:r>
            <w:r>
              <w:rPr>
                <w:b/>
                <w:bCs/>
              </w:rPr>
              <w:t>separately</w:t>
            </w:r>
            <w:r>
              <w:t xml:space="preserve"> after submission and is not part of the 6-week core schedule.</w:t>
            </w:r>
          </w:p>
        </w:tc>
      </w:tr>
    </w:tbl>
    <w:p w14:paraId="1933BE5E">
      <w:pPr>
        <w:pageBreakBefore/>
      </w:pPr>
    </w:p>
    <w:p w14:paraId="2F093771">
      <w:pPr>
        <w:pStyle w:val="2"/>
      </w:pPr>
      <w:r>
        <w:t>8. Timeline at a glance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5060"/>
        <w:gridCol w:w="1500"/>
        <w:gridCol w:w="1500"/>
      </w:tblGrid>
      <w:tr w14:paraId="1F3ED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FABF1">
            <w:pPr>
              <w:spacing w:after="0" w:line="262" w:lineRule="auto"/>
            </w:pPr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5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7FE09">
            <w:pPr>
              <w:spacing w:after="0" w:line="262" w:lineRule="auto"/>
            </w:pPr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5D07">
            <w:pPr>
              <w:spacing w:after="0" w:line="262" w:lineRule="auto"/>
            </w:pPr>
            <w:r>
              <w:rPr>
                <w:b/>
                <w:bCs/>
                <w:color w:val="FFFFFF"/>
              </w:rPr>
              <w:t>Days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4399">
            <w:pPr>
              <w:spacing w:after="0" w:line="262" w:lineRule="auto"/>
            </w:pPr>
            <w:r>
              <w:rPr>
                <w:b/>
                <w:bCs/>
                <w:color w:val="FFFFFF"/>
              </w:rPr>
              <w:t>Cumulative</w:t>
            </w:r>
          </w:p>
        </w:tc>
      </w:tr>
      <w:tr w14:paraId="71D5E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F3BF0">
            <w:pPr>
              <w:spacing w:after="0" w:line="262" w:lineRule="auto"/>
            </w:pPr>
            <w:r>
              <w:rPr>
                <w:b w:val="0"/>
                <w:bCs w:val="0"/>
              </w:rPr>
              <w:t>W1</w:t>
            </w:r>
          </w:p>
        </w:tc>
        <w:tc>
          <w:tcPr>
            <w:tcW w:w="5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AE341">
            <w:pPr>
              <w:spacing w:after="0" w:line="262" w:lineRule="auto"/>
            </w:pPr>
            <w:r>
              <w:rPr>
                <w:b w:val="0"/>
                <w:bCs w:val="0"/>
              </w:rPr>
              <w:t>Benchmark, literature review &amp; problem setup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D6907">
            <w:pPr>
              <w:jc w:val="center"/>
            </w:pPr>
            <w:r>
              <w:t>1–5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314D5">
            <w:pPr>
              <w:jc w:val="center"/>
            </w:pPr>
            <w:r>
              <w:t>Day 5</w:t>
            </w:r>
          </w:p>
        </w:tc>
      </w:tr>
      <w:tr w14:paraId="1F4AF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854D9">
            <w:pPr>
              <w:spacing w:after="0" w:line="262" w:lineRule="auto"/>
            </w:pPr>
            <w:r>
              <w:rPr>
                <w:b w:val="0"/>
                <w:bCs w:val="0"/>
              </w:rPr>
              <w:t>W2</w:t>
            </w:r>
          </w:p>
        </w:tc>
        <w:tc>
          <w:tcPr>
            <w:tcW w:w="5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A561D">
            <w:pPr>
              <w:spacing w:after="0" w:line="262" w:lineRule="auto"/>
            </w:pPr>
            <w:r>
              <w:rPr>
                <w:b w:val="0"/>
                <w:bCs w:val="0"/>
              </w:rPr>
              <w:t>Multi-disease data engineering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150D">
            <w:pPr>
              <w:jc w:val="center"/>
            </w:pPr>
            <w:r>
              <w:t>6–10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9EC50">
            <w:pPr>
              <w:jc w:val="center"/>
            </w:pPr>
            <w:r>
              <w:t>Day 10</w:t>
            </w:r>
          </w:p>
        </w:tc>
      </w:tr>
      <w:tr w14:paraId="40C87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0951">
            <w:pPr>
              <w:spacing w:after="0" w:line="262" w:lineRule="auto"/>
            </w:pPr>
            <w:r>
              <w:rPr>
                <w:b w:val="0"/>
                <w:bCs w:val="0"/>
              </w:rPr>
              <w:t>W3</w:t>
            </w:r>
          </w:p>
        </w:tc>
        <w:tc>
          <w:tcPr>
            <w:tcW w:w="5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A4F40">
            <w:pPr>
              <w:spacing w:after="0" w:line="262" w:lineRule="auto"/>
            </w:pPr>
            <w:r>
              <w:rPr>
                <w:b w:val="0"/>
                <w:bCs w:val="0"/>
              </w:rPr>
              <w:t>Core framework build &amp; training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4450">
            <w:pPr>
              <w:jc w:val="center"/>
            </w:pPr>
            <w:r>
              <w:t>11–15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3B543">
            <w:pPr>
              <w:jc w:val="center"/>
            </w:pPr>
            <w:r>
              <w:t>Day 15</w:t>
            </w:r>
          </w:p>
        </w:tc>
      </w:tr>
      <w:tr w14:paraId="68467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AAC95">
            <w:pPr>
              <w:spacing w:after="0" w:line="262" w:lineRule="auto"/>
            </w:pPr>
            <w:r>
              <w:rPr>
                <w:b w:val="0"/>
                <w:bCs w:val="0"/>
              </w:rPr>
              <w:t>W4</w:t>
            </w:r>
          </w:p>
        </w:tc>
        <w:tc>
          <w:tcPr>
            <w:tcW w:w="5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AF77B">
            <w:pPr>
              <w:spacing w:after="0" w:line="262" w:lineRule="auto"/>
            </w:pPr>
            <w:r>
              <w:rPr>
                <w:b w:val="0"/>
                <w:bCs w:val="0"/>
              </w:rPr>
              <w:t>Transfer, meta-learning &amp; few-shot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4C7CC">
            <w:pPr>
              <w:jc w:val="center"/>
            </w:pPr>
            <w:r>
              <w:t>16–20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76DC2">
            <w:pPr>
              <w:jc w:val="center"/>
            </w:pPr>
            <w:r>
              <w:t>Day 20</w:t>
            </w:r>
          </w:p>
        </w:tc>
      </w:tr>
      <w:tr w14:paraId="6CEC5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14BD1">
            <w:pPr>
              <w:spacing w:after="0" w:line="262" w:lineRule="auto"/>
            </w:pPr>
            <w:r>
              <w:rPr>
                <w:b w:val="0"/>
                <w:bCs w:val="0"/>
              </w:rPr>
              <w:t>W5</w:t>
            </w:r>
          </w:p>
        </w:tc>
        <w:tc>
          <w:tcPr>
            <w:tcW w:w="5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40C3">
            <w:pPr>
              <w:spacing w:after="0" w:line="262" w:lineRule="auto"/>
            </w:pPr>
            <w:r>
              <w:rPr>
                <w:b w:val="0"/>
                <w:bCs w:val="0"/>
              </w:rPr>
              <w:t>Ebola case study, uncertainty &amp; explainability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CD8B2">
            <w:pPr>
              <w:jc w:val="center"/>
            </w:pPr>
            <w:r>
              <w:t>21–25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B5595">
            <w:pPr>
              <w:jc w:val="center"/>
            </w:pPr>
            <w:r>
              <w:t>Day 25</w:t>
            </w:r>
          </w:p>
        </w:tc>
      </w:tr>
      <w:tr w14:paraId="4A2C7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2EC98">
            <w:pPr>
              <w:spacing w:after="0" w:line="262" w:lineRule="auto"/>
            </w:pPr>
            <w:r>
              <w:rPr>
                <w:b w:val="0"/>
                <w:bCs w:val="0"/>
              </w:rPr>
              <w:t>W6</w:t>
            </w:r>
          </w:p>
        </w:tc>
        <w:tc>
          <w:tcPr>
            <w:tcW w:w="5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77C9D">
            <w:pPr>
              <w:spacing w:after="0" w:line="262" w:lineRule="auto"/>
            </w:pPr>
            <w:r>
              <w:rPr>
                <w:b w:val="0"/>
                <w:bCs w:val="0"/>
              </w:rPr>
              <w:t>Ablations, robustness, writing &amp; docs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8BFF">
            <w:pPr>
              <w:jc w:val="center"/>
            </w:pPr>
            <w:r>
              <w:t>26–30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9F35B">
            <w:pPr>
              <w:jc w:val="center"/>
            </w:pPr>
            <w:r>
              <w:t>Day 30</w:t>
            </w:r>
          </w:p>
        </w:tc>
      </w:tr>
    </w:tbl>
    <w:p w14:paraId="5F2393D8">
      <w:pPr>
        <w:spacing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7F35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4F7FB" w:sz="0" w:space="0"/>
              <w:left w:val="single" w:color="2E75B6" w:sz="24" w:space="0"/>
              <w:bottom w:val="single" w:color="F4F7FB" w:sz="0" w:space="0"/>
              <w:right w:val="single" w:color="F4F7FB" w:sz="0" w:space="0"/>
            </w:tcBorders>
            <w:shd w:val="clear" w:color="auto" w:fill="F4F7FB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12AE3BA7">
            <w:pPr>
              <w:spacing w:after="60"/>
            </w:pPr>
            <w:r>
              <w:rPr>
                <w:b/>
                <w:bCs/>
                <w:color w:val="2E75B6"/>
              </w:rPr>
              <w:t>Sequencing note</w:t>
            </w:r>
          </w:p>
          <w:p w14:paraId="075F71B7">
            <w:pPr>
              <w:spacing w:after="0" w:line="264" w:lineRule="auto"/>
            </w:pPr>
            <w:r>
              <w:t>Milestones run in dependency order, each building on the previous. Two activities span phases by design: baseline reproduction begins in Week 1 and is re-run on the harmonised data in Week 3 (identical-conditions comparison), and manuscript drafting starts in parallel from Week 4 so Week 6 is assembly and interpretation rather than writing from scratch.</w:t>
            </w:r>
          </w:p>
        </w:tc>
      </w:tr>
    </w:tbl>
    <w:p w14:paraId="3E85942E">
      <w:pPr>
        <w:pStyle w:val="2"/>
      </w:pPr>
      <w:r>
        <w:t>9. Roles &amp; responsibilities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6D886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A9A3">
            <w:pPr>
              <w:spacing w:after="0" w:line="262" w:lineRule="auto"/>
            </w:pPr>
            <w:r>
              <w:rPr>
                <w:b/>
                <w:bCs/>
                <w:color w:val="FFFFFF"/>
              </w:rPr>
              <w:t>Party</w:t>
            </w:r>
          </w:p>
        </w:tc>
        <w:tc>
          <w:tcPr>
            <w:tcW w:w="6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BFEC7">
            <w:pPr>
              <w:spacing w:after="0" w:line="262" w:lineRule="auto"/>
            </w:pPr>
            <w:r>
              <w:rPr>
                <w:b/>
                <w:bCs/>
                <w:color w:val="FFFFFF"/>
              </w:rPr>
              <w:t>Responsible for</w:t>
            </w:r>
          </w:p>
        </w:tc>
      </w:tr>
      <w:tr w14:paraId="040A8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5673C">
            <w:r>
              <w:rPr>
                <w:b/>
                <w:bCs/>
              </w:rPr>
              <w:t>Our team (engineering)</w:t>
            </w:r>
          </w:p>
        </w:tc>
        <w:tc>
          <w:tcPr>
            <w:tcW w:w="6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A83E2">
            <w:r>
              <w:t>All implementation, data engineering, experiments, the full literature review &amp; benchmark, manuscript drafting, and the reproducibility package.</w:t>
            </w:r>
          </w:p>
        </w:tc>
      </w:tr>
      <w:tr w14:paraId="3A9A5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60423">
            <w:r>
              <w:rPr>
                <w:b/>
                <w:bCs/>
              </w:rPr>
              <w:t>Client (Nora)</w:t>
            </w:r>
          </w:p>
        </w:tc>
        <w:tc>
          <w:tcPr>
            <w:tcW w:w="6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7CEC3">
            <w:r>
              <w:t>Direction &amp; feedback, milestone-gate review and sign-off, decisions on target journal and authorship. Note: the client is no longer running a separate benchmark — the full literature review is now ours.</w:t>
            </w:r>
          </w:p>
        </w:tc>
      </w:tr>
    </w:tbl>
    <w:p w14:paraId="67CD6640">
      <w:pPr>
        <w:pStyle w:val="2"/>
      </w:pPr>
      <w:r>
        <w:t>10. Evaluation &amp; validation protocol</w:t>
      </w:r>
    </w:p>
    <w:p w14:paraId="1F47259B">
      <w:pPr>
        <w:pStyle w:val="16"/>
        <w:numPr>
          <w:ilvl w:val="0"/>
          <w:numId w:val="1"/>
        </w:numPr>
        <w:spacing w:after="70" w:line="270" w:lineRule="auto"/>
      </w:pPr>
      <w:r>
        <w:rPr>
          <w:b/>
          <w:bCs/>
        </w:rPr>
        <w:t>Baselines re-run under identical conditions</w:t>
      </w:r>
      <w:r>
        <w:t xml:space="preserve"> (same datasets, splits, preprocessing, metrics, horizon) — the basis of any SOTA claim.</w:t>
      </w:r>
    </w:p>
    <w:p w14:paraId="59561F2D">
      <w:pPr>
        <w:pStyle w:val="16"/>
        <w:numPr>
          <w:ilvl w:val="0"/>
          <w:numId w:val="1"/>
        </w:numPr>
        <w:spacing w:after="70" w:line="270" w:lineRule="auto"/>
      </w:pPr>
      <w:r>
        <w:rPr>
          <w:b/>
          <w:bCs/>
        </w:rPr>
        <w:t>Development evaluation</w:t>
      </w:r>
      <w:r>
        <w:t xml:space="preserve"> on the data-rich diseases with standard forecasting metrics.</w:t>
      </w:r>
    </w:p>
    <w:p w14:paraId="22B3505C">
      <w:pPr>
        <w:pStyle w:val="16"/>
        <w:numPr>
          <w:ilvl w:val="0"/>
          <w:numId w:val="1"/>
        </w:numPr>
        <w:spacing w:after="70" w:line="270" w:lineRule="auto"/>
      </w:pPr>
      <w:r>
        <w:rPr>
          <w:b/>
          <w:bCs/>
        </w:rPr>
        <w:t>Generalisation</w:t>
      </w:r>
      <w:r>
        <w:t xml:space="preserve"> via leave-one-disease-out transfer, and few-shot adaptation to held-out Ebola.</w:t>
      </w:r>
    </w:p>
    <w:p w14:paraId="2526E1CC">
      <w:pPr>
        <w:pStyle w:val="16"/>
        <w:numPr>
          <w:ilvl w:val="0"/>
          <w:numId w:val="1"/>
        </w:numPr>
        <w:spacing w:after="70" w:line="270" w:lineRule="auto"/>
      </w:pPr>
      <w:r>
        <w:rPr>
          <w:b/>
          <w:bCs/>
        </w:rPr>
        <w:t>Uncertainty</w:t>
      </w:r>
      <w:r>
        <w:t xml:space="preserve"> reported as calibrated prediction intervals, with calibration checks.</w:t>
      </w:r>
    </w:p>
    <w:p w14:paraId="6196E887">
      <w:pPr>
        <w:pStyle w:val="16"/>
        <w:numPr>
          <w:ilvl w:val="0"/>
          <w:numId w:val="1"/>
        </w:numPr>
        <w:spacing w:after="70" w:line="270" w:lineRule="auto"/>
      </w:pPr>
      <w:r>
        <w:rPr>
          <w:b/>
          <w:bCs/>
        </w:rPr>
        <w:t>Ablations</w:t>
      </w:r>
      <w:r>
        <w:t xml:space="preserve"> isolating the epidemiology-informed component and the meta-learning contribution.</w:t>
      </w:r>
    </w:p>
    <w:p w14:paraId="6963E391">
      <w:pPr>
        <w:pStyle w:val="2"/>
      </w:pPr>
      <w:r>
        <w:t>11. Required vs. suggested — quick reference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60"/>
        <w:gridCol w:w="3000"/>
      </w:tblGrid>
      <w:tr w14:paraId="14BB0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CFB4C">
            <w:pPr>
              <w:spacing w:after="0" w:line="262" w:lineRule="auto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0BF98">
            <w:pPr>
              <w:spacing w:after="0" w:line="262" w:lineRule="auto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14:paraId="479AF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48B6B">
            <w:pPr>
              <w:spacing w:after="0" w:line="262" w:lineRule="auto"/>
            </w:pPr>
            <w:r>
              <w:rPr>
                <w:b w:val="0"/>
                <w:bCs w:val="0"/>
              </w:rPr>
              <w:t>Forecasting + calibrated uncertainty + explainability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1C71E">
            <w:pPr>
              <w:jc w:val="center"/>
            </w:pPr>
            <w:r>
              <w:rPr>
                <w:b/>
                <w:bCs/>
                <w:color w:val="2E7D32"/>
              </w:rPr>
              <w:t>Required</w:t>
            </w:r>
          </w:p>
        </w:tc>
      </w:tr>
      <w:tr w14:paraId="670EE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92C9C">
            <w:pPr>
              <w:spacing w:after="0" w:line="262" w:lineRule="auto"/>
            </w:pPr>
            <w:r>
              <w:rPr>
                <w:b w:val="0"/>
                <w:bCs w:val="0"/>
              </w:rPr>
              <w:t>Disease-agnostic encoder + meta-learning transferable representations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92C92">
            <w:pPr>
              <w:jc w:val="center"/>
            </w:pPr>
            <w:r>
              <w:rPr>
                <w:b/>
                <w:bCs/>
                <w:color w:val="2E7D32"/>
              </w:rPr>
              <w:t>Required</w:t>
            </w:r>
          </w:p>
        </w:tc>
      </w:tr>
      <w:tr w14:paraId="4E26D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F0701">
            <w:pPr>
              <w:spacing w:after="0" w:line="262" w:lineRule="auto"/>
            </w:pPr>
            <w:r>
              <w:rPr>
                <w:b w:val="0"/>
                <w:bCs w:val="0"/>
              </w:rPr>
              <w:t>Ebola few-shot generalisation case study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B29E7">
            <w:pPr>
              <w:jc w:val="center"/>
            </w:pPr>
            <w:r>
              <w:rPr>
                <w:b/>
                <w:bCs/>
                <w:color w:val="2E7D32"/>
              </w:rPr>
              <w:t>Required</w:t>
            </w:r>
          </w:p>
        </w:tc>
      </w:tr>
      <w:tr w14:paraId="274F6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2A06B">
            <w:pPr>
              <w:spacing w:after="0" w:line="262" w:lineRule="auto"/>
            </w:pPr>
            <w:r>
              <w:rPr>
                <w:b w:val="0"/>
                <w:bCs w:val="0"/>
              </w:rPr>
              <w:t>Full literature review + empirical benchmark (re-run baselines)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3B8A">
            <w:pPr>
              <w:jc w:val="center"/>
            </w:pPr>
            <w:r>
              <w:rPr>
                <w:b/>
                <w:bCs/>
                <w:color w:val="2E7D32"/>
              </w:rPr>
              <w:t>Required</w:t>
            </w:r>
          </w:p>
        </w:tc>
      </w:tr>
      <w:tr w14:paraId="44028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E40B6">
            <w:pPr>
              <w:spacing w:after="0" w:line="262" w:lineRule="auto"/>
            </w:pPr>
            <w:r>
              <w:rPr>
                <w:b w:val="0"/>
                <w:bCs w:val="0"/>
              </w:rPr>
              <w:t>Dengue as a development disease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74521">
            <w:pPr>
              <w:jc w:val="center"/>
            </w:pPr>
            <w:r>
              <w:rPr>
                <w:b/>
                <w:bCs/>
                <w:color w:val="2E7D32"/>
              </w:rPr>
              <w:t>Required</w:t>
            </w:r>
          </w:p>
        </w:tc>
      </w:tr>
      <w:tr w14:paraId="485B1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93EF">
            <w:pPr>
              <w:spacing w:after="0" w:line="262" w:lineRule="auto"/>
            </w:pPr>
            <w:r>
              <w:rPr>
                <w:b w:val="0"/>
                <w:bCs w:val="0"/>
              </w:rPr>
              <w:t>Adding influenza (and optionally COVID-19) as further development diseases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68517">
            <w:pPr>
              <w:jc w:val="center"/>
            </w:pPr>
            <w:r>
              <w:rPr>
                <w:b/>
                <w:bCs/>
                <w:color w:val="B8860B"/>
              </w:rPr>
              <w:t>Suggestion</w:t>
            </w:r>
          </w:p>
        </w:tc>
      </w:tr>
      <w:tr w14:paraId="150D6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BAB4D">
            <w:pPr>
              <w:spacing w:after="0" w:line="262" w:lineRule="auto"/>
            </w:pPr>
            <w:r>
              <w:rPr>
                <w:b w:val="0"/>
                <w:bCs w:val="0"/>
              </w:rPr>
              <w:t>Epidemiology-informed component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37575">
            <w:pPr>
              <w:jc w:val="center"/>
            </w:pPr>
            <w:r>
              <w:rPr>
                <w:b/>
                <w:bCs/>
                <w:color w:val="B8860B"/>
              </w:rPr>
              <w:t>Suggestion</w:t>
            </w:r>
          </w:p>
        </w:tc>
      </w:tr>
      <w:tr w14:paraId="2EAF7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9E15F">
            <w:pPr>
              <w:spacing w:after="0" w:line="262" w:lineRule="auto"/>
            </w:pPr>
            <w:r>
              <w:rPr>
                <w:b w:val="0"/>
                <w:bCs w:val="0"/>
              </w:rPr>
              <w:t>Conformal UQ (vs. Bayesian alternative)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8D817">
            <w:pPr>
              <w:jc w:val="center"/>
            </w:pPr>
            <w:r>
              <w:rPr>
                <w:b/>
                <w:bCs/>
                <w:color w:val="B8860B"/>
              </w:rPr>
              <w:t>Suggestion</w:t>
            </w:r>
          </w:p>
        </w:tc>
      </w:tr>
      <w:tr w14:paraId="39ACF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0136B">
            <w:pPr>
              <w:spacing w:after="0" w:line="262" w:lineRule="auto"/>
            </w:pPr>
            <w:r>
              <w:rPr>
                <w:b w:val="0"/>
                <w:bCs w:val="0"/>
              </w:rPr>
              <w:t>Regional risk stratification / intervention priority ranking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585D7">
            <w:pPr>
              <w:jc w:val="center"/>
            </w:pPr>
            <w:r>
              <w:rPr>
                <w:b/>
                <w:bCs/>
                <w:color w:val="B00020"/>
              </w:rPr>
              <w:t>Out of scope</w:t>
            </w:r>
          </w:p>
        </w:tc>
      </w:tr>
    </w:tbl>
    <w:p w14:paraId="184C1365">
      <w:pPr>
        <w:pStyle w:val="2"/>
      </w:pPr>
      <w:r>
        <w:t>12. Risks &amp; mitigations</w:t>
      </w:r>
    </w:p>
    <w:p w14:paraId="06B449F4">
      <w:pPr>
        <w:pStyle w:val="16"/>
        <w:numPr>
          <w:ilvl w:val="0"/>
          <w:numId w:val="1"/>
        </w:numPr>
        <w:spacing w:after="70" w:line="270" w:lineRule="auto"/>
      </w:pPr>
      <w:r>
        <w:rPr>
          <w:b/>
          <w:bCs/>
        </w:rPr>
        <w:t>Ebola data scarcity</w:t>
      </w:r>
      <w:r>
        <w:t xml:space="preserve"> — confirm usable signal in the Week-2 audit; the design treats Ebola as a few-shot test precisely because the data is thin.</w:t>
      </w:r>
    </w:p>
    <w:p w14:paraId="17DC6294">
      <w:pPr>
        <w:pStyle w:val="16"/>
        <w:numPr>
          <w:ilvl w:val="0"/>
          <w:numId w:val="1"/>
        </w:numPr>
        <w:spacing w:after="70" w:line="270" w:lineRule="auto"/>
      </w:pPr>
      <w:r>
        <w:rPr>
          <w:b/>
          <w:bCs/>
        </w:rPr>
        <w:t>Tight 6-week schedule</w:t>
      </w:r>
      <w:r>
        <w:t xml:space="preserve"> — Weeks 3–4 are the densest; protect them by freezing scope and starting the write-up early.</w:t>
      </w:r>
    </w:p>
    <w:p w14:paraId="2505C0F7">
      <w:pPr>
        <w:pStyle w:val="16"/>
        <w:numPr>
          <w:ilvl w:val="0"/>
          <w:numId w:val="1"/>
        </w:numPr>
        <w:spacing w:after="70" w:line="270" w:lineRule="auto"/>
      </w:pPr>
      <w:r>
        <w:rPr>
          <w:b/>
          <w:bCs/>
        </w:rPr>
        <w:t>Baseline reproduction</w:t>
      </w:r>
      <w:r>
        <w:t xml:space="preserve"> — prefer official code; where none exists, validate a from-scratch reimplementation against the paper’s reported numbers before comparing.</w:t>
      </w:r>
    </w:p>
    <w:p w14:paraId="10DC548D">
      <w:pPr>
        <w:pStyle w:val="16"/>
        <w:numPr>
          <w:ilvl w:val="0"/>
          <w:numId w:val="1"/>
        </w:numPr>
        <w:spacing w:after="70" w:line="270" w:lineRule="auto"/>
      </w:pPr>
      <w:r>
        <w:rPr>
          <w:b/>
          <w:bCs/>
        </w:rPr>
        <w:t>UQ method choice</w:t>
      </w:r>
      <w:r>
        <w:t xml:space="preserve"> — decide conformal vs. Bayesian before Week 3, as Bayesian moves UQ into the model build.</w:t>
      </w:r>
    </w:p>
    <w:p w14:paraId="5550848C">
      <w:pPr>
        <w:pStyle w:val="2"/>
      </w:pPr>
      <w:r>
        <w:t>13. Definition of done</w:t>
      </w:r>
    </w:p>
    <w:p w14:paraId="44CEB6D1">
      <w:pPr>
        <w:pStyle w:val="16"/>
        <w:numPr>
          <w:ilvl w:val="0"/>
          <w:numId w:val="2"/>
        </w:numPr>
        <w:spacing w:after="60" w:line="264" w:lineRule="auto"/>
      </w:pPr>
      <w:r>
        <w:t>Framework runs end-to-end on the standardised schema and is documented</w:t>
      </w:r>
    </w:p>
    <w:p w14:paraId="550410C0">
      <w:pPr>
        <w:pStyle w:val="16"/>
        <w:numPr>
          <w:ilvl w:val="0"/>
          <w:numId w:val="2"/>
        </w:numPr>
        <w:spacing w:after="60" w:line="264" w:lineRule="auto"/>
      </w:pPr>
      <w:r>
        <w:t>Our model is benchmarked against the agreed baselines on identical data</w:t>
      </w:r>
    </w:p>
    <w:p w14:paraId="4123D439">
      <w:pPr>
        <w:pStyle w:val="16"/>
        <w:numPr>
          <w:ilvl w:val="0"/>
          <w:numId w:val="2"/>
        </w:numPr>
        <w:spacing w:after="60" w:line="264" w:lineRule="auto"/>
      </w:pPr>
      <w:r>
        <w:t>Transfer + few-shot Ebola results produced with calibrated uncertainty</w:t>
      </w:r>
    </w:p>
    <w:p w14:paraId="184D1EA6">
      <w:pPr>
        <w:pStyle w:val="16"/>
        <w:numPr>
          <w:ilvl w:val="0"/>
          <w:numId w:val="2"/>
        </w:numPr>
        <w:spacing w:after="60" w:line="264" w:lineRule="auto"/>
      </w:pPr>
      <w:r>
        <w:t>Ablations and explainability completed</w:t>
      </w:r>
    </w:p>
    <w:p w14:paraId="6D004E21">
      <w:pPr>
        <w:pStyle w:val="16"/>
        <w:numPr>
          <w:ilvl w:val="0"/>
          <w:numId w:val="2"/>
        </w:numPr>
        <w:spacing w:after="60" w:line="264" w:lineRule="auto"/>
      </w:pPr>
      <w:r>
        <w:t>Manuscript + reproducibility package ready for submission</w:t>
      </w:r>
    </w:p>
    <w:p w14:paraId="555A1719">
      <w:pPr>
        <w:pStyle w:val="2"/>
      </w:pPr>
      <w:r>
        <w:t>14. Open questions to confirm before Week 1</w:t>
      </w:r>
    </w:p>
    <w:p w14:paraId="026F1CCD">
      <w:pPr>
        <w:pStyle w:val="16"/>
        <w:numPr>
          <w:ilvl w:val="0"/>
          <w:numId w:val="1"/>
        </w:numPr>
        <w:spacing w:after="70" w:line="270" w:lineRule="auto"/>
      </w:pPr>
      <w:r>
        <w:t>Final development-disease set: dengue + influenza only, or also COVID-19?</w:t>
      </w:r>
    </w:p>
    <w:p w14:paraId="274E8A1B">
      <w:pPr>
        <w:pStyle w:val="16"/>
        <w:numPr>
          <w:ilvl w:val="0"/>
          <w:numId w:val="1"/>
        </w:numPr>
        <w:spacing w:after="70" w:line="270" w:lineRule="auto"/>
      </w:pPr>
      <w:r>
        <w:t>UQ approach: conformal (recommended) or Bayesian?</w:t>
      </w:r>
    </w:p>
    <w:p w14:paraId="75F8AFB2">
      <w:pPr>
        <w:pStyle w:val="16"/>
        <w:numPr>
          <w:ilvl w:val="0"/>
          <w:numId w:val="1"/>
        </w:numPr>
        <w:spacing w:after="70" w:line="270" w:lineRule="auto"/>
      </w:pPr>
      <w:r>
        <w:t>Start date and target journal.</w:t>
      </w:r>
    </w:p>
    <w:p w14:paraId="29D62DBB">
      <w:pPr>
        <w:pStyle w:val="16"/>
        <w:numPr>
          <w:ilvl w:val="0"/>
          <w:numId w:val="1"/>
        </w:numPr>
        <w:spacing w:after="70" w:line="270" w:lineRule="auto"/>
      </w:pPr>
      <w:r>
        <w:t>Authorship &amp; IP terms.</w:t>
      </w:r>
    </w:p>
    <w:sectPr>
      <w:headerReference r:id="rId3" w:type="default"/>
      <w:footerReference r:id="rId4" w:type="default"/>
      <w:pgSz w:w="12240" w:h="15840"/>
      <w:pgMar w:top="1296" w:right="1440" w:bottom="1296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4510A">
    <w:pPr>
      <w:jc w:val="center"/>
    </w:pPr>
    <w:r>
      <w:rPr>
        <w:color w:val="595959"/>
        <w:sz w:val="16"/>
        <w:szCs w:val="16"/>
      </w:rPr>
      <w:t xml:space="preserve">Internal — not for distribution    | 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NUMPAGES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CAD67">
    <w:pPr>
      <w:pBdr>
        <w:bottom w:val="single" w:color="D9D9D9" w:sz="4" w:space="4"/>
      </w:pBdr>
    </w:pPr>
    <w:r>
      <w:rPr>
        <w:color w:val="595959"/>
        <w:sz w:val="16"/>
        <w:szCs w:val="16"/>
      </w:rPr>
      <w:t>Internal Project Brief — Emerging Disease Forecasting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60" w:hanging="2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✓"/>
      <w:lvlJc w:val="left"/>
      <w:pPr>
        <w:ind w:left="420" w:hanging="24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0CD5F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280" w:after="130"/>
      <w:outlineLvl w:val="0"/>
    </w:pPr>
    <w:rPr>
      <w:rFonts w:ascii="Arial" w:hAnsi="Arial" w:eastAsia="Arial" w:cs="Arial"/>
      <w:b/>
      <w:bCs/>
      <w:color w:val="1F4E79"/>
      <w:sz w:val="27"/>
      <w:szCs w:val="27"/>
    </w:rPr>
  </w:style>
  <w:style w:type="paragraph" w:styleId="3">
    <w:name w:val="heading 2"/>
    <w:next w:val="1"/>
    <w:qFormat/>
    <w:uiPriority w:val="0"/>
    <w:pPr>
      <w:spacing w:before="180" w:after="90"/>
      <w:outlineLvl w:val="1"/>
    </w:pPr>
    <w:rPr>
      <w:rFonts w:ascii="Arial" w:hAnsi="Arial" w:eastAsia="Arial" w:cs="Arial"/>
      <w:b/>
      <w:bCs/>
      <w:color w:val="2E75B6"/>
      <w:sz w:val="23"/>
      <w:szCs w:val="23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1188</Words>
  <Characters>8112</Characters>
  <TotalTime>18</TotalTime>
  <ScaleCrop>false</ScaleCrop>
  <LinksUpToDate>false</LinksUpToDate>
  <CharactersWithSpaces>9166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2026-06-30T16:31:00Z</dcterms:created>
  <dc:creator>Un-named</dc:creator>
  <cp:lastModifiedBy>Administrator</cp:lastModifiedBy>
  <dcterms:modified xsi:type="dcterms:W3CDTF">2026-07-15T11:11:55Z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eyJoZGlkIjoiNmNkZjJlOTgzZGIzMjY0NTFkNzc1NTA2NGNkNjZkM2EifQ==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0B9D98DB58284D78A0A835A88886AC4B_12</vt:lpwstr>
  </property>
</Properties>
</file>