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BEFA6">
      <w:pPr>
        <w:jc w:val="center"/>
      </w:pPr>
      <w:r>
        <w:rPr>
          <w:b/>
          <w:color w:val="595959"/>
          <w:sz w:val="26"/>
        </w:rPr>
        <w:t>Ebola Research Project</w:t>
      </w:r>
    </w:p>
    <w:p w14:paraId="0D72F4F3">
      <w:pPr>
        <w:jc w:val="center"/>
      </w:pPr>
      <w:r>
        <w:rPr>
          <w:b/>
          <w:color w:val="1F3864"/>
          <w:sz w:val="44"/>
        </w:rPr>
        <w:t>Phase 1 — Benchmark &amp; Reproduction Report</w:t>
      </w:r>
    </w:p>
    <w:p w14:paraId="65785EB0">
      <w:pPr>
        <w:jc w:val="center"/>
      </w:pPr>
      <w:r>
        <w:rPr>
          <w:color w:val="595959"/>
          <w:sz w:val="23"/>
        </w:rPr>
        <w:t>Reproducing State-of-the-Art Spatio-Temporal Epidemic Forecasting Models</w:t>
      </w:r>
      <w:r>
        <w:rPr>
          <w:color w:val="595959"/>
          <w:sz w:val="23"/>
        </w:rPr>
        <w:br w:type="textWrapping"/>
      </w:r>
      <w:r>
        <w:rPr>
          <w:color w:val="595959"/>
          <w:sz w:val="23"/>
        </w:rPr>
        <w:t>on Their Own Shipped Datasets</w:t>
      </w:r>
    </w:p>
    <w:tbl>
      <w:tblPr>
        <w:tblStyle w:val="12"/>
        <w:tblW w:w="0" w:type="auto"/>
        <w:jc w:val="center"/>
        <w:tblLayout w:type="autofit"/>
        <w:tblCellMar>
          <w:top w:w="0" w:type="dxa"/>
          <w:left w:w="108" w:type="dxa"/>
          <w:bottom w:w="0" w:type="dxa"/>
          <w:right w:w="108" w:type="dxa"/>
        </w:tblCellMar>
      </w:tblPr>
      <w:tblGrid>
        <w:gridCol w:w="2110"/>
        <w:gridCol w:w="6746"/>
      </w:tblGrid>
      <w:tr w14:paraId="70FFD985">
        <w:tblPrEx>
          <w:tblCellMar>
            <w:top w:w="0" w:type="dxa"/>
            <w:left w:w="108" w:type="dxa"/>
            <w:bottom w:w="0" w:type="dxa"/>
            <w:right w:w="108" w:type="dxa"/>
          </w:tblCellMar>
        </w:tblPrEx>
        <w:trPr>
          <w:jc w:val="center"/>
        </w:trPr>
        <w:tc>
          <w:tcPr>
            <w:tcW w:w="2160" w:type="dxa"/>
          </w:tcPr>
          <w:p w14:paraId="0C6ADBBF">
            <w:pPr>
              <w:jc w:val="right"/>
            </w:pPr>
            <w:r>
              <w:rPr>
                <w:b/>
                <w:color w:val="1F3864"/>
                <w:sz w:val="20"/>
              </w:rPr>
              <w:t>Phase</w:t>
            </w:r>
          </w:p>
        </w:tc>
        <w:tc>
          <w:tcPr>
            <w:tcW w:w="6912" w:type="dxa"/>
          </w:tcPr>
          <w:p w14:paraId="30E9ABC1">
            <w:pPr>
              <w:jc w:val="left"/>
            </w:pPr>
            <w:r>
              <w:rPr>
                <w:b w:val="0"/>
                <w:sz w:val="20"/>
              </w:rPr>
              <w:t>Phase 1 — Baseline reproduction (pre-Ebola adaptation)</w:t>
            </w:r>
          </w:p>
        </w:tc>
      </w:tr>
      <w:tr w14:paraId="31A7A535">
        <w:tblPrEx>
          <w:tblCellMar>
            <w:top w:w="0" w:type="dxa"/>
            <w:left w:w="108" w:type="dxa"/>
            <w:bottom w:w="0" w:type="dxa"/>
            <w:right w:w="108" w:type="dxa"/>
          </w:tblCellMar>
        </w:tblPrEx>
        <w:trPr>
          <w:jc w:val="center"/>
        </w:trPr>
        <w:tc>
          <w:tcPr>
            <w:tcW w:w="2160" w:type="dxa"/>
          </w:tcPr>
          <w:p w14:paraId="1AA2B721">
            <w:pPr>
              <w:jc w:val="right"/>
            </w:pPr>
            <w:r>
              <w:rPr>
                <w:b/>
                <w:color w:val="1F3864"/>
                <w:sz w:val="20"/>
              </w:rPr>
              <w:t>Objective</w:t>
            </w:r>
          </w:p>
        </w:tc>
        <w:tc>
          <w:tcPr>
            <w:tcW w:w="6912" w:type="dxa"/>
          </w:tcPr>
          <w:p w14:paraId="6BE5501C">
            <w:pPr>
              <w:jc w:val="left"/>
            </w:pPr>
            <w:r>
              <w:rPr>
                <w:b w:val="0"/>
                <w:sz w:val="20"/>
              </w:rPr>
              <w:t>Confirm each SOTA model reproduces its published metrics</w:t>
            </w:r>
          </w:p>
        </w:tc>
      </w:tr>
      <w:tr w14:paraId="19C88994">
        <w:tblPrEx>
          <w:tblCellMar>
            <w:top w:w="0" w:type="dxa"/>
            <w:left w:w="108" w:type="dxa"/>
            <w:bottom w:w="0" w:type="dxa"/>
            <w:right w:w="108" w:type="dxa"/>
          </w:tblCellMar>
        </w:tblPrEx>
        <w:trPr>
          <w:jc w:val="center"/>
        </w:trPr>
        <w:tc>
          <w:tcPr>
            <w:tcW w:w="2160" w:type="dxa"/>
          </w:tcPr>
          <w:p w14:paraId="6FE0867F">
            <w:pPr>
              <w:jc w:val="right"/>
            </w:pPr>
            <w:r>
              <w:rPr>
                <w:b/>
                <w:color w:val="1F3864"/>
                <w:sz w:val="20"/>
              </w:rPr>
              <w:t>Prepared by</w:t>
            </w:r>
          </w:p>
        </w:tc>
        <w:tc>
          <w:tcPr>
            <w:tcW w:w="6912" w:type="dxa"/>
          </w:tcPr>
          <w:p w14:paraId="019F97EC">
            <w:pPr>
              <w:jc w:val="left"/>
            </w:pPr>
            <w:r>
              <w:rPr>
                <w:b w:val="0"/>
                <w:sz w:val="20"/>
              </w:rPr>
              <w:t>QuickGen Tech  ·  support@quickgentech.com</w:t>
            </w:r>
          </w:p>
        </w:tc>
      </w:tr>
      <w:tr w14:paraId="5D5087C9">
        <w:tblPrEx>
          <w:tblCellMar>
            <w:top w:w="0" w:type="dxa"/>
            <w:left w:w="108" w:type="dxa"/>
            <w:bottom w:w="0" w:type="dxa"/>
            <w:right w:w="108" w:type="dxa"/>
          </w:tblCellMar>
        </w:tblPrEx>
        <w:trPr>
          <w:jc w:val="center"/>
        </w:trPr>
        <w:tc>
          <w:tcPr>
            <w:tcW w:w="2160" w:type="dxa"/>
          </w:tcPr>
          <w:p w14:paraId="7B57B5D6">
            <w:pPr>
              <w:jc w:val="right"/>
            </w:pPr>
            <w:r>
              <w:rPr>
                <w:b/>
                <w:color w:val="1F3864"/>
                <w:sz w:val="20"/>
              </w:rPr>
              <w:t>Date</w:t>
            </w:r>
          </w:p>
        </w:tc>
        <w:tc>
          <w:tcPr>
            <w:tcW w:w="6912" w:type="dxa"/>
          </w:tcPr>
          <w:p w14:paraId="43E547A9">
            <w:pPr>
              <w:jc w:val="left"/>
            </w:pPr>
            <w:r>
              <w:rPr>
                <w:b w:val="0"/>
                <w:sz w:val="20"/>
              </w:rPr>
              <w:t>07 July 2026</w:t>
            </w:r>
          </w:p>
        </w:tc>
      </w:tr>
      <w:tr w14:paraId="0A541B5E">
        <w:tblPrEx>
          <w:tblCellMar>
            <w:top w:w="0" w:type="dxa"/>
            <w:left w:w="108" w:type="dxa"/>
            <w:bottom w:w="0" w:type="dxa"/>
            <w:right w:w="108" w:type="dxa"/>
          </w:tblCellMar>
        </w:tblPrEx>
        <w:trPr>
          <w:jc w:val="center"/>
        </w:trPr>
        <w:tc>
          <w:tcPr>
            <w:tcW w:w="2160" w:type="dxa"/>
          </w:tcPr>
          <w:p w14:paraId="118B49C0">
            <w:pPr>
              <w:jc w:val="right"/>
            </w:pPr>
            <w:r>
              <w:rPr>
                <w:b/>
                <w:color w:val="1F3864"/>
                <w:sz w:val="20"/>
              </w:rPr>
              <w:t>Status</w:t>
            </w:r>
          </w:p>
        </w:tc>
        <w:tc>
          <w:tcPr>
            <w:tcW w:w="6912" w:type="dxa"/>
          </w:tcPr>
          <w:p w14:paraId="4D650E0B">
            <w:pPr>
              <w:jc w:val="left"/>
            </w:pPr>
            <w:r>
              <w:rPr>
                <w:b w:val="0"/>
                <w:sz w:val="20"/>
              </w:rPr>
              <w:t>In progress — 4 of 8 confirmed, 2 reruns pending, 1 under review</w:t>
            </w:r>
          </w:p>
        </w:tc>
      </w:tr>
    </w:tbl>
    <w:p w14:paraId="3B292B39"/>
    <w:p w14:paraId="0BDDD5F6">
      <w:r>
        <w:rPr>
          <w:b/>
          <w:color w:val="1F3864"/>
          <w:sz w:val="30"/>
        </w:rPr>
        <w:t>1.  Objective &amp; Scope</w:t>
      </w:r>
    </w:p>
    <w:p w14:paraId="0A8394D2">
      <w:r>
        <w:rPr>
          <w:i w:val="0"/>
          <w:sz w:val="21"/>
        </w:rPr>
        <w:t>Phase 1 establishes a trustworthy baseline suite before any Ebola-specific modelling begins. Each candidate state-of-the-art (SOTA) spatio-temporal graph neural network is run on the exact dataset shipped with its original repository, using the authors' intended configuration. The goal is not to forecast Ebola yet, but to verify that our environment reproduces each paper's published results within an acceptable tolerance. Only models that reproduce faithfully can be trusted as baselines once we later swap in Ebola case-count and mobility data (Phase 2).</w:t>
      </w:r>
    </w:p>
    <w:p w14:paraId="03247A55">
      <w:r>
        <w:rPr>
          <w:i w:val="0"/>
          <w:sz w:val="21"/>
        </w:rPr>
        <w:t>A model is treated as reproduced when its measured metrics fall within, or better than, the paper's reported value (including the mean ± standard-deviation band where the paper provides one), evaluated on the same dataset, forecast horizon, and metric definition.</w:t>
      </w:r>
    </w:p>
    <w:p w14:paraId="7C1AA766">
      <w:r>
        <w:rPr>
          <w:b/>
          <w:color w:val="1F3864"/>
          <w:sz w:val="30"/>
        </w:rPr>
        <w:t>2.  Reproduction Criteria</w:t>
      </w:r>
    </w:p>
    <w:p w14:paraId="104C48F4">
      <w:pPr>
        <w:pStyle w:val="24"/>
      </w:pPr>
      <w:r>
        <w:rPr>
          <w:sz w:val="21"/>
        </w:rPr>
        <w:t>Same data: the model is run on the dataset bundled in its own repository (no substitution in Phase 1).</w:t>
      </w:r>
    </w:p>
    <w:p w14:paraId="05275E62">
      <w:pPr>
        <w:pStyle w:val="24"/>
      </w:pPr>
      <w:r>
        <w:rPr>
          <w:sz w:val="21"/>
        </w:rPr>
        <w:t>Same horizon: measured metrics are compared only against the identical forecast lead time reported in the paper.</w:t>
      </w:r>
    </w:p>
    <w:p w14:paraId="6458C817">
      <w:pPr>
        <w:pStyle w:val="24"/>
      </w:pPr>
      <w:r>
        <w:rPr>
          <w:sz w:val="21"/>
        </w:rPr>
        <w:t>Same metric definition: e.g. global RMSE vs per-region RMSE, MAPE (fraction) vs percent-points, MAPE vs SMAPE are reconciled before comparison.</w:t>
      </w:r>
    </w:p>
    <w:p w14:paraId="1442B7C0">
      <w:pPr>
        <w:pStyle w:val="24"/>
      </w:pPr>
      <w:r>
        <w:rPr>
          <w:sz w:val="21"/>
        </w:rPr>
        <w:t>Tolerance: within the paper's mean ± std band, or within roughly ±5% where only a point estimate is published.</w:t>
      </w:r>
    </w:p>
    <w:p w14:paraId="1B463D30">
      <w:pPr>
        <w:pStyle w:val="24"/>
      </w:pPr>
      <w:r>
        <w:rPr>
          <w:sz w:val="21"/>
        </w:rPr>
        <w:t>Validity flag: any mismatch in horizon, metric, or dataset marks the result Not Comparable rather than Pass/Fail.</w:t>
      </w:r>
    </w:p>
    <w:p w14:paraId="61930C02">
      <w:r>
        <w:rPr>
          <w:b/>
          <w:color w:val="1F3864"/>
          <w:sz w:val="30"/>
        </w:rPr>
        <w:t>3.  Model &amp; Environment Inventory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2258"/>
        <w:gridCol w:w="1835"/>
        <w:gridCol w:w="2246"/>
        <w:gridCol w:w="1005"/>
      </w:tblGrid>
      <w:tr w14:paraId="1CF50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3864"/>
          </w:tcPr>
          <w:p w14:paraId="3534A206">
            <w:pPr>
              <w:spacing w:after="0" w:line="240" w:lineRule="auto"/>
              <w:jc w:val="left"/>
            </w:pPr>
            <w:r>
              <w:rPr>
                <w:b/>
                <w:color w:val="FFFFFF"/>
                <w:sz w:val="19"/>
              </w:rPr>
              <w:t>Model</w:t>
            </w:r>
          </w:p>
        </w:tc>
        <w:tc>
          <w:tcPr>
            <w:tcW w:w="2736" w:type="dxa"/>
            <w:shd w:val="clear" w:color="auto" w:fill="1F3864"/>
          </w:tcPr>
          <w:p w14:paraId="4C573186">
            <w:pPr>
              <w:spacing w:after="0" w:line="240" w:lineRule="auto"/>
              <w:jc w:val="center"/>
            </w:pPr>
            <w:r>
              <w:rPr>
                <w:b/>
                <w:color w:val="FFFFFF"/>
                <w:sz w:val="19"/>
              </w:rPr>
              <w:t>Shipped dataset</w:t>
            </w:r>
          </w:p>
        </w:tc>
        <w:tc>
          <w:tcPr>
            <w:tcW w:w="2160" w:type="dxa"/>
            <w:shd w:val="clear" w:color="auto" w:fill="1F3864"/>
          </w:tcPr>
          <w:p w14:paraId="00AFF965">
            <w:pPr>
              <w:spacing w:after="0" w:line="240" w:lineRule="auto"/>
              <w:jc w:val="center"/>
            </w:pPr>
            <w:r>
              <w:rPr>
                <w:b/>
                <w:color w:val="FFFFFF"/>
                <w:sz w:val="19"/>
              </w:rPr>
              <w:t>Framework</w:t>
            </w:r>
          </w:p>
        </w:tc>
        <w:tc>
          <w:tcPr>
            <w:tcW w:w="2736" w:type="dxa"/>
            <w:shd w:val="clear" w:color="auto" w:fill="1F3864"/>
          </w:tcPr>
          <w:p w14:paraId="6B12A1DE">
            <w:pPr>
              <w:spacing w:after="0" w:line="240" w:lineRule="auto"/>
              <w:jc w:val="center"/>
            </w:pPr>
            <w:r>
              <w:rPr>
                <w:b/>
                <w:color w:val="FFFFFF"/>
                <w:sz w:val="19"/>
              </w:rPr>
              <w:t>Task domain</w:t>
            </w:r>
          </w:p>
        </w:tc>
        <w:tc>
          <w:tcPr>
            <w:tcW w:w="1152" w:type="dxa"/>
            <w:shd w:val="clear" w:color="auto" w:fill="1F3864"/>
          </w:tcPr>
          <w:p w14:paraId="7CBAC3B2">
            <w:pPr>
              <w:spacing w:after="0" w:line="240" w:lineRule="auto"/>
              <w:jc w:val="center"/>
            </w:pPr>
            <w:r>
              <w:rPr>
                <w:b/>
                <w:color w:val="FFFFFF"/>
                <w:sz w:val="19"/>
              </w:rPr>
              <w:t>Run?</w:t>
            </w:r>
          </w:p>
        </w:tc>
      </w:tr>
      <w:tr w14:paraId="33E7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07E1DA0">
            <w:pPr>
              <w:spacing w:after="0" w:line="240" w:lineRule="auto"/>
              <w:jc w:val="left"/>
            </w:pPr>
            <w:r>
              <w:rPr>
                <w:b w:val="0"/>
                <w:sz w:val="19"/>
              </w:rPr>
              <w:t>MepoGNN</w:t>
            </w:r>
          </w:p>
        </w:tc>
        <w:tc>
          <w:tcPr>
            <w:tcW w:w="2736" w:type="dxa"/>
          </w:tcPr>
          <w:p w14:paraId="4406F6AE">
            <w:pPr>
              <w:spacing w:after="0" w:line="240" w:lineRule="auto"/>
              <w:jc w:val="center"/>
            </w:pPr>
            <w:r>
              <w:rPr>
                <w:b w:val="0"/>
                <w:sz w:val="19"/>
              </w:rPr>
              <w:t>Japan COVID (47 prefectures)</w:t>
            </w:r>
          </w:p>
        </w:tc>
        <w:tc>
          <w:tcPr>
            <w:tcW w:w="2160" w:type="dxa"/>
          </w:tcPr>
          <w:p w14:paraId="008D64EB">
            <w:pPr>
              <w:spacing w:after="0" w:line="240" w:lineRule="auto"/>
              <w:jc w:val="center"/>
            </w:pPr>
            <w:r>
              <w:rPr>
                <w:b w:val="0"/>
                <w:sz w:val="19"/>
              </w:rPr>
              <w:t>PyTorch</w:t>
            </w:r>
          </w:p>
        </w:tc>
        <w:tc>
          <w:tcPr>
            <w:tcW w:w="2736" w:type="dxa"/>
          </w:tcPr>
          <w:p w14:paraId="103BC293">
            <w:pPr>
              <w:spacing w:after="0" w:line="240" w:lineRule="auto"/>
              <w:jc w:val="center"/>
            </w:pPr>
            <w:r>
              <w:rPr>
                <w:b w:val="0"/>
                <w:sz w:val="19"/>
              </w:rPr>
              <w:t>Epidemic (metapop. SIR + GNN)</w:t>
            </w:r>
          </w:p>
        </w:tc>
        <w:tc>
          <w:tcPr>
            <w:tcW w:w="1152" w:type="dxa"/>
          </w:tcPr>
          <w:p w14:paraId="47B5BB3A">
            <w:pPr>
              <w:spacing w:after="0" w:line="240" w:lineRule="auto"/>
              <w:jc w:val="center"/>
            </w:pPr>
            <w:r>
              <w:rPr>
                <w:b w:val="0"/>
                <w:sz w:val="19"/>
              </w:rPr>
              <w:t>Yes</w:t>
            </w:r>
          </w:p>
        </w:tc>
      </w:tr>
      <w:tr w14:paraId="64F9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EF2F8"/>
          </w:tcPr>
          <w:p w14:paraId="4253B951">
            <w:pPr>
              <w:spacing w:after="0" w:line="240" w:lineRule="auto"/>
              <w:jc w:val="left"/>
            </w:pPr>
            <w:r>
              <w:rPr>
                <w:b w:val="0"/>
                <w:sz w:val="19"/>
              </w:rPr>
              <w:t>STOEP</w:t>
            </w:r>
          </w:p>
        </w:tc>
        <w:tc>
          <w:tcPr>
            <w:tcW w:w="2736" w:type="dxa"/>
            <w:shd w:val="clear" w:color="auto" w:fill="EEF2F8"/>
          </w:tcPr>
          <w:p w14:paraId="646EFC49">
            <w:pPr>
              <w:spacing w:after="0" w:line="240" w:lineRule="auto"/>
              <w:jc w:val="center"/>
            </w:pPr>
            <w:r>
              <w:rPr>
                <w:b w:val="0"/>
                <w:sz w:val="19"/>
              </w:rPr>
              <w:t>Japan COVID (47 prefectures)</w:t>
            </w:r>
          </w:p>
        </w:tc>
        <w:tc>
          <w:tcPr>
            <w:tcW w:w="2160" w:type="dxa"/>
            <w:shd w:val="clear" w:color="auto" w:fill="EEF2F8"/>
          </w:tcPr>
          <w:p w14:paraId="48535D4E">
            <w:pPr>
              <w:spacing w:after="0" w:line="240" w:lineRule="auto"/>
              <w:jc w:val="center"/>
            </w:pPr>
            <w:r>
              <w:rPr>
                <w:b w:val="0"/>
                <w:sz w:val="19"/>
              </w:rPr>
              <w:t>PyTorch 2.9</w:t>
            </w:r>
          </w:p>
        </w:tc>
        <w:tc>
          <w:tcPr>
            <w:tcW w:w="2736" w:type="dxa"/>
            <w:shd w:val="clear" w:color="auto" w:fill="EEF2F8"/>
          </w:tcPr>
          <w:p w14:paraId="6232DD28">
            <w:pPr>
              <w:spacing w:after="0" w:line="240" w:lineRule="auto"/>
              <w:jc w:val="center"/>
            </w:pPr>
            <w:r>
              <w:rPr>
                <w:b w:val="0"/>
                <w:sz w:val="19"/>
              </w:rPr>
              <w:t>Epidemic (prior-aware GNN)</w:t>
            </w:r>
          </w:p>
        </w:tc>
        <w:tc>
          <w:tcPr>
            <w:tcW w:w="1152" w:type="dxa"/>
            <w:shd w:val="clear" w:color="auto" w:fill="EEF2F8"/>
          </w:tcPr>
          <w:p w14:paraId="66F394BB">
            <w:pPr>
              <w:spacing w:after="0" w:line="240" w:lineRule="auto"/>
              <w:jc w:val="center"/>
            </w:pPr>
            <w:r>
              <w:rPr>
                <w:b w:val="0"/>
                <w:sz w:val="19"/>
              </w:rPr>
              <w:t>Yes</w:t>
            </w:r>
          </w:p>
        </w:tc>
      </w:tr>
      <w:tr w14:paraId="38C9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642363D">
            <w:pPr>
              <w:spacing w:after="0" w:line="240" w:lineRule="auto"/>
              <w:jc w:val="left"/>
            </w:pPr>
            <w:r>
              <w:rPr>
                <w:b w:val="0"/>
                <w:sz w:val="19"/>
              </w:rPr>
              <w:t>EpiGNN</w:t>
            </w:r>
          </w:p>
        </w:tc>
        <w:tc>
          <w:tcPr>
            <w:tcW w:w="2736" w:type="dxa"/>
          </w:tcPr>
          <w:p w14:paraId="18E68943">
            <w:pPr>
              <w:spacing w:after="0" w:line="240" w:lineRule="auto"/>
              <w:jc w:val="center"/>
            </w:pPr>
            <w:r>
              <w:rPr>
                <w:b w:val="0"/>
                <w:sz w:val="19"/>
              </w:rPr>
              <w:t>US-Regions (region785)</w:t>
            </w:r>
          </w:p>
        </w:tc>
        <w:tc>
          <w:tcPr>
            <w:tcW w:w="2160" w:type="dxa"/>
          </w:tcPr>
          <w:p w14:paraId="25D21D47">
            <w:pPr>
              <w:spacing w:after="0" w:line="240" w:lineRule="auto"/>
              <w:jc w:val="center"/>
            </w:pPr>
            <w:r>
              <w:rPr>
                <w:b w:val="0"/>
                <w:sz w:val="19"/>
              </w:rPr>
              <w:t>PyTorch 1.11 + PyG</w:t>
            </w:r>
          </w:p>
        </w:tc>
        <w:tc>
          <w:tcPr>
            <w:tcW w:w="2736" w:type="dxa"/>
          </w:tcPr>
          <w:p w14:paraId="30EE312F">
            <w:pPr>
              <w:spacing w:after="0" w:line="240" w:lineRule="auto"/>
              <w:jc w:val="center"/>
            </w:pPr>
            <w:r>
              <w:rPr>
                <w:b w:val="0"/>
                <w:sz w:val="19"/>
              </w:rPr>
              <w:t>Epidemic (spatial GNN)</w:t>
            </w:r>
          </w:p>
        </w:tc>
        <w:tc>
          <w:tcPr>
            <w:tcW w:w="1152" w:type="dxa"/>
          </w:tcPr>
          <w:p w14:paraId="48426585">
            <w:pPr>
              <w:spacing w:after="0" w:line="240" w:lineRule="auto"/>
              <w:jc w:val="center"/>
            </w:pPr>
            <w:r>
              <w:rPr>
                <w:b w:val="0"/>
                <w:sz w:val="19"/>
              </w:rPr>
              <w:t>Yes</w:t>
            </w:r>
          </w:p>
        </w:tc>
      </w:tr>
      <w:tr w14:paraId="638B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EF2F8"/>
          </w:tcPr>
          <w:p w14:paraId="0702DFAC">
            <w:pPr>
              <w:spacing w:after="0" w:line="240" w:lineRule="auto"/>
              <w:jc w:val="left"/>
            </w:pPr>
            <w:r>
              <w:rPr>
                <w:b w:val="0"/>
                <w:sz w:val="19"/>
              </w:rPr>
              <w:t>Cola-GNN</w:t>
            </w:r>
          </w:p>
        </w:tc>
        <w:tc>
          <w:tcPr>
            <w:tcW w:w="2736" w:type="dxa"/>
            <w:shd w:val="clear" w:color="auto" w:fill="EEF2F8"/>
          </w:tcPr>
          <w:p w14:paraId="5624B123">
            <w:pPr>
              <w:spacing w:after="0" w:line="240" w:lineRule="auto"/>
              <w:jc w:val="center"/>
            </w:pPr>
            <w:r>
              <w:rPr>
                <w:b w:val="0"/>
                <w:sz w:val="19"/>
              </w:rPr>
              <w:t>Japan-Prefectures (ILI)</w:t>
            </w:r>
          </w:p>
        </w:tc>
        <w:tc>
          <w:tcPr>
            <w:tcW w:w="2160" w:type="dxa"/>
            <w:shd w:val="clear" w:color="auto" w:fill="EEF2F8"/>
          </w:tcPr>
          <w:p w14:paraId="1CB8B215">
            <w:pPr>
              <w:spacing w:after="0" w:line="240" w:lineRule="auto"/>
              <w:jc w:val="center"/>
            </w:pPr>
            <w:r>
              <w:rPr>
                <w:b w:val="0"/>
                <w:sz w:val="19"/>
              </w:rPr>
              <w:t>PyTorch</w:t>
            </w:r>
          </w:p>
        </w:tc>
        <w:tc>
          <w:tcPr>
            <w:tcW w:w="2736" w:type="dxa"/>
            <w:shd w:val="clear" w:color="auto" w:fill="EEF2F8"/>
          </w:tcPr>
          <w:p w14:paraId="2CC35851">
            <w:pPr>
              <w:spacing w:after="0" w:line="240" w:lineRule="auto"/>
              <w:jc w:val="center"/>
            </w:pPr>
            <w:r>
              <w:rPr>
                <w:b w:val="0"/>
                <w:sz w:val="19"/>
              </w:rPr>
              <w:t>Epidemic (cross-location attn)</w:t>
            </w:r>
          </w:p>
        </w:tc>
        <w:tc>
          <w:tcPr>
            <w:tcW w:w="1152" w:type="dxa"/>
            <w:shd w:val="clear" w:color="auto" w:fill="EEF2F8"/>
          </w:tcPr>
          <w:p w14:paraId="5D5D8499">
            <w:pPr>
              <w:spacing w:after="0" w:line="240" w:lineRule="auto"/>
              <w:jc w:val="center"/>
            </w:pPr>
            <w:r>
              <w:rPr>
                <w:b w:val="0"/>
                <w:sz w:val="19"/>
              </w:rPr>
              <w:t>Yes</w:t>
            </w:r>
          </w:p>
        </w:tc>
      </w:tr>
      <w:tr w14:paraId="1ED1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1391998">
            <w:pPr>
              <w:spacing w:after="0" w:line="240" w:lineRule="auto"/>
              <w:jc w:val="left"/>
            </w:pPr>
            <w:r>
              <w:rPr>
                <w:b w:val="0"/>
                <w:sz w:val="19"/>
              </w:rPr>
              <w:t>HeatGNN</w:t>
            </w:r>
          </w:p>
        </w:tc>
        <w:tc>
          <w:tcPr>
            <w:tcW w:w="2736" w:type="dxa"/>
          </w:tcPr>
          <w:p w14:paraId="2B3EB31A">
            <w:pPr>
              <w:spacing w:after="0" w:line="240" w:lineRule="auto"/>
              <w:jc w:val="center"/>
            </w:pPr>
            <w:r>
              <w:rPr>
                <w:b w:val="0"/>
                <w:sz w:val="19"/>
              </w:rPr>
              <w:t>Japan-Prefectures (ILI)</w:t>
            </w:r>
          </w:p>
        </w:tc>
        <w:tc>
          <w:tcPr>
            <w:tcW w:w="2160" w:type="dxa"/>
          </w:tcPr>
          <w:p w14:paraId="6300B3BF">
            <w:pPr>
              <w:spacing w:after="0" w:line="240" w:lineRule="auto"/>
              <w:jc w:val="center"/>
            </w:pPr>
            <w:r>
              <w:rPr>
                <w:b w:val="0"/>
                <w:sz w:val="19"/>
              </w:rPr>
              <w:t>PyTorch 1.13 + PyG</w:t>
            </w:r>
          </w:p>
        </w:tc>
        <w:tc>
          <w:tcPr>
            <w:tcW w:w="2736" w:type="dxa"/>
          </w:tcPr>
          <w:p w14:paraId="51556F4E">
            <w:pPr>
              <w:spacing w:after="0" w:line="240" w:lineRule="auto"/>
              <w:jc w:val="center"/>
            </w:pPr>
            <w:r>
              <w:rPr>
                <w:b w:val="0"/>
                <w:sz w:val="19"/>
              </w:rPr>
              <w:t>Epidemic (physics-informed)</w:t>
            </w:r>
          </w:p>
        </w:tc>
        <w:tc>
          <w:tcPr>
            <w:tcW w:w="1152" w:type="dxa"/>
          </w:tcPr>
          <w:p w14:paraId="7E6E30AB">
            <w:pPr>
              <w:spacing w:after="0" w:line="240" w:lineRule="auto"/>
              <w:jc w:val="center"/>
            </w:pPr>
            <w:r>
              <w:rPr>
                <w:b w:val="0"/>
                <w:sz w:val="19"/>
              </w:rPr>
              <w:t>Yes</w:t>
            </w:r>
          </w:p>
        </w:tc>
      </w:tr>
      <w:tr w14:paraId="295C7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EF2F8"/>
          </w:tcPr>
          <w:p w14:paraId="0FCDF6D2">
            <w:pPr>
              <w:spacing w:after="0" w:line="240" w:lineRule="auto"/>
              <w:jc w:val="left"/>
            </w:pPr>
            <w:r>
              <w:rPr>
                <w:b w:val="0"/>
                <w:sz w:val="19"/>
              </w:rPr>
              <w:t>MTGNN</w:t>
            </w:r>
          </w:p>
        </w:tc>
        <w:tc>
          <w:tcPr>
            <w:tcW w:w="2736" w:type="dxa"/>
            <w:shd w:val="clear" w:color="auto" w:fill="EEF2F8"/>
          </w:tcPr>
          <w:p w14:paraId="27271C19">
            <w:pPr>
              <w:spacing w:after="0" w:line="240" w:lineRule="auto"/>
              <w:jc w:val="center"/>
            </w:pPr>
            <w:r>
              <w:rPr>
                <w:b w:val="0"/>
                <w:sz w:val="19"/>
              </w:rPr>
              <w:t>METR-LA (traffic)</w:t>
            </w:r>
          </w:p>
        </w:tc>
        <w:tc>
          <w:tcPr>
            <w:tcW w:w="2160" w:type="dxa"/>
            <w:shd w:val="clear" w:color="auto" w:fill="EEF2F8"/>
          </w:tcPr>
          <w:p w14:paraId="27E2FC59">
            <w:pPr>
              <w:spacing w:after="0" w:line="240" w:lineRule="auto"/>
              <w:jc w:val="center"/>
            </w:pPr>
            <w:r>
              <w:rPr>
                <w:b w:val="0"/>
                <w:sz w:val="19"/>
              </w:rPr>
              <w:t>PyTorch</w:t>
            </w:r>
          </w:p>
        </w:tc>
        <w:tc>
          <w:tcPr>
            <w:tcW w:w="2736" w:type="dxa"/>
            <w:shd w:val="clear" w:color="auto" w:fill="EEF2F8"/>
          </w:tcPr>
          <w:p w14:paraId="2C2639C8">
            <w:pPr>
              <w:spacing w:after="0" w:line="240" w:lineRule="auto"/>
              <w:jc w:val="center"/>
            </w:pPr>
            <w:r>
              <w:rPr>
                <w:b w:val="0"/>
                <w:sz w:val="19"/>
              </w:rPr>
              <w:t>Multivariate TS / traffic</w:t>
            </w:r>
          </w:p>
        </w:tc>
        <w:tc>
          <w:tcPr>
            <w:tcW w:w="1152" w:type="dxa"/>
            <w:shd w:val="clear" w:color="auto" w:fill="EEF2F8"/>
          </w:tcPr>
          <w:p w14:paraId="29A19900">
            <w:pPr>
              <w:spacing w:after="0" w:line="240" w:lineRule="auto"/>
              <w:jc w:val="center"/>
            </w:pPr>
            <w:r>
              <w:rPr>
                <w:b w:val="0"/>
                <w:sz w:val="19"/>
              </w:rPr>
              <w:t>Yes</w:t>
            </w:r>
          </w:p>
        </w:tc>
      </w:tr>
      <w:tr w14:paraId="57ED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F6536BD">
            <w:pPr>
              <w:spacing w:after="0" w:line="240" w:lineRule="auto"/>
              <w:jc w:val="left"/>
            </w:pPr>
            <w:r>
              <w:rPr>
                <w:b w:val="0"/>
                <w:sz w:val="19"/>
              </w:rPr>
              <w:t>LTGCN-GTGCN</w:t>
            </w:r>
          </w:p>
        </w:tc>
        <w:tc>
          <w:tcPr>
            <w:tcW w:w="2736" w:type="dxa"/>
          </w:tcPr>
          <w:p w14:paraId="48CBC403">
            <w:pPr>
              <w:spacing w:after="0" w:line="240" w:lineRule="auto"/>
              <w:jc w:val="center"/>
            </w:pPr>
            <w:r>
              <w:rPr>
                <w:b w:val="0"/>
                <w:sz w:val="19"/>
              </w:rPr>
              <w:t>Brazil / Spain COVID (own)</w:t>
            </w:r>
          </w:p>
        </w:tc>
        <w:tc>
          <w:tcPr>
            <w:tcW w:w="2160" w:type="dxa"/>
          </w:tcPr>
          <w:p w14:paraId="22BB5B94">
            <w:pPr>
              <w:spacing w:after="0" w:line="240" w:lineRule="auto"/>
              <w:jc w:val="center"/>
            </w:pPr>
            <w:r>
              <w:rPr>
                <w:b w:val="0"/>
                <w:sz w:val="19"/>
              </w:rPr>
              <w:t>PyTorch 2.6 + PyG</w:t>
            </w:r>
          </w:p>
        </w:tc>
        <w:tc>
          <w:tcPr>
            <w:tcW w:w="2736" w:type="dxa"/>
          </w:tcPr>
          <w:p w14:paraId="6F7D3CC1">
            <w:pPr>
              <w:spacing w:after="0" w:line="240" w:lineRule="auto"/>
              <w:jc w:val="center"/>
            </w:pPr>
            <w:r>
              <w:rPr>
                <w:b w:val="0"/>
                <w:sz w:val="19"/>
              </w:rPr>
              <w:t>Epidemic (own experiment)</w:t>
            </w:r>
          </w:p>
        </w:tc>
        <w:tc>
          <w:tcPr>
            <w:tcW w:w="1152" w:type="dxa"/>
          </w:tcPr>
          <w:p w14:paraId="66A321FF">
            <w:pPr>
              <w:spacing w:after="0" w:line="240" w:lineRule="auto"/>
              <w:jc w:val="center"/>
            </w:pPr>
            <w:r>
              <w:rPr>
                <w:b w:val="0"/>
                <w:sz w:val="19"/>
              </w:rPr>
              <w:t>Yes</w:t>
            </w:r>
          </w:p>
        </w:tc>
      </w:tr>
      <w:tr w14:paraId="6F85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EF2F8"/>
          </w:tcPr>
          <w:p w14:paraId="3E038801">
            <w:pPr>
              <w:spacing w:after="0" w:line="240" w:lineRule="auto"/>
              <w:jc w:val="left"/>
            </w:pPr>
            <w:r>
              <w:rPr>
                <w:b w:val="0"/>
                <w:sz w:val="19"/>
              </w:rPr>
              <w:t>MSGNN</w:t>
            </w:r>
          </w:p>
        </w:tc>
        <w:tc>
          <w:tcPr>
            <w:tcW w:w="2736" w:type="dxa"/>
            <w:shd w:val="clear" w:color="auto" w:fill="EEF2F8"/>
          </w:tcPr>
          <w:p w14:paraId="4F2C86FC">
            <w:pPr>
              <w:spacing w:after="0" w:line="240" w:lineRule="auto"/>
              <w:jc w:val="center"/>
            </w:pPr>
            <w:r>
              <w:rPr>
                <w:b w:val="0"/>
                <w:sz w:val="19"/>
              </w:rPr>
              <w:t>Google/CSSE (live pull)</w:t>
            </w:r>
          </w:p>
        </w:tc>
        <w:tc>
          <w:tcPr>
            <w:tcW w:w="2160" w:type="dxa"/>
            <w:shd w:val="clear" w:color="auto" w:fill="EEF2F8"/>
          </w:tcPr>
          <w:p w14:paraId="1F578A38">
            <w:pPr>
              <w:spacing w:after="0" w:line="240" w:lineRule="auto"/>
              <w:jc w:val="center"/>
            </w:pPr>
            <w:r>
              <w:rPr>
                <w:b w:val="0"/>
                <w:sz w:val="19"/>
              </w:rPr>
              <w:t>PyTorch 1.7 + CUDA10.1</w:t>
            </w:r>
          </w:p>
        </w:tc>
        <w:tc>
          <w:tcPr>
            <w:tcW w:w="2736" w:type="dxa"/>
            <w:shd w:val="clear" w:color="auto" w:fill="EEF2F8"/>
          </w:tcPr>
          <w:p w14:paraId="557E78D0">
            <w:pPr>
              <w:spacing w:after="0" w:line="240" w:lineRule="auto"/>
              <w:jc w:val="center"/>
            </w:pPr>
            <w:r>
              <w:rPr>
                <w:b w:val="0"/>
                <w:sz w:val="19"/>
              </w:rPr>
              <w:t>Epidemic (multi-scale GNN)</w:t>
            </w:r>
          </w:p>
        </w:tc>
        <w:tc>
          <w:tcPr>
            <w:tcW w:w="1152" w:type="dxa"/>
            <w:shd w:val="clear" w:color="auto" w:fill="EEF2F8"/>
          </w:tcPr>
          <w:p w14:paraId="52AF373A">
            <w:pPr>
              <w:spacing w:after="0" w:line="240" w:lineRule="auto"/>
              <w:jc w:val="center"/>
            </w:pPr>
            <w:r>
              <w:rPr>
                <w:b w:val="0"/>
                <w:sz w:val="19"/>
              </w:rPr>
              <w:t>No (Linux only)</w:t>
            </w:r>
          </w:p>
        </w:tc>
      </w:tr>
    </w:tbl>
    <w:p w14:paraId="035D5137">
      <w:r>
        <w:rPr>
          <w:i/>
          <w:sz w:val="21"/>
        </w:rPr>
        <w:t>MSGNN was intentionally not run: it is pinned to CUDA 10.1 with hand-compiled PyG C++/CUDA extensions that have no Windows wheels, and is therefore deferred to a Linux/WSL environment.</w:t>
      </w:r>
    </w:p>
    <w:p w14:paraId="0829BB19">
      <w:r>
        <w:rPr>
          <w:b/>
          <w:color w:val="1F3864"/>
          <w:sz w:val="30"/>
        </w:rPr>
        <w:t>4.  Reproduction Results</w:t>
      </w:r>
    </w:p>
    <w:p w14:paraId="0747CBC7">
      <w:r>
        <w:rPr>
          <w:b/>
          <w:color w:val="2A4AA4"/>
          <w:sz w:val="24"/>
        </w:rPr>
        <w:t>4.1  EpiGNN  —  PASS (reproduced within ~1%)</w:t>
      </w:r>
    </w:p>
    <w:p w14:paraId="50A9D4A4">
      <w:r>
        <w:rPr>
          <w:i w:val="0"/>
          <w:sz w:val="21"/>
        </w:rPr>
        <w:t>Dataset: US-Regions (region785), horizon = 5, configuration per the repository README (lr 0.005, hidR 64, hidA 64). The paper reports the global RMSE / PCC; the per-region variants (RMSEs 656.3 / PCCs 0.785) are not the reported figures and are excluded.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1832"/>
        <w:gridCol w:w="3083"/>
        <w:gridCol w:w="2112"/>
      </w:tblGrid>
      <w:tr w14:paraId="40AC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3864"/>
          </w:tcPr>
          <w:p w14:paraId="0A902E88">
            <w:pPr>
              <w:spacing w:after="0" w:line="240" w:lineRule="auto"/>
              <w:jc w:val="left"/>
            </w:pPr>
            <w:r>
              <w:rPr>
                <w:b/>
                <w:color w:val="FFFFFF"/>
                <w:sz w:val="19"/>
              </w:rPr>
              <w:t>Metric</w:t>
            </w:r>
          </w:p>
        </w:tc>
        <w:tc>
          <w:tcPr>
            <w:tcW w:w="2016" w:type="dxa"/>
            <w:shd w:val="clear" w:color="auto" w:fill="1F3864"/>
          </w:tcPr>
          <w:p w14:paraId="64CB1C4C">
            <w:pPr>
              <w:spacing w:after="0" w:line="240" w:lineRule="auto"/>
              <w:jc w:val="center"/>
            </w:pPr>
            <w:r>
              <w:rPr>
                <w:b/>
                <w:color w:val="FFFFFF"/>
                <w:sz w:val="19"/>
              </w:rPr>
              <w:t>Our run</w:t>
            </w:r>
          </w:p>
        </w:tc>
        <w:tc>
          <w:tcPr>
            <w:tcW w:w="3456" w:type="dxa"/>
            <w:shd w:val="clear" w:color="auto" w:fill="1F3864"/>
          </w:tcPr>
          <w:p w14:paraId="31530EF7">
            <w:pPr>
              <w:spacing w:after="0" w:line="240" w:lineRule="auto"/>
              <w:jc w:val="center"/>
            </w:pPr>
            <w:r>
              <w:rPr>
                <w:b/>
                <w:color w:val="FFFFFF"/>
                <w:sz w:val="19"/>
              </w:rPr>
              <w:t>Paper (US-Regions, h=5)</w:t>
            </w:r>
          </w:p>
        </w:tc>
        <w:tc>
          <w:tcPr>
            <w:tcW w:w="2304" w:type="dxa"/>
            <w:shd w:val="clear" w:color="auto" w:fill="1F3864"/>
          </w:tcPr>
          <w:p w14:paraId="2561CD6F">
            <w:pPr>
              <w:spacing w:after="0" w:line="240" w:lineRule="auto"/>
              <w:jc w:val="center"/>
            </w:pPr>
            <w:r>
              <w:rPr>
                <w:b/>
                <w:color w:val="FFFFFF"/>
                <w:sz w:val="19"/>
              </w:rPr>
              <w:t>Deviation</w:t>
            </w:r>
          </w:p>
        </w:tc>
      </w:tr>
      <w:tr w14:paraId="639C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C0BD93F">
            <w:pPr>
              <w:spacing w:after="0" w:line="240" w:lineRule="auto"/>
              <w:jc w:val="left"/>
            </w:pPr>
            <w:r>
              <w:rPr>
                <w:b w:val="0"/>
                <w:sz w:val="19"/>
              </w:rPr>
              <w:t>RMSE</w:t>
            </w:r>
          </w:p>
        </w:tc>
        <w:tc>
          <w:tcPr>
            <w:tcW w:w="2016" w:type="dxa"/>
          </w:tcPr>
          <w:p w14:paraId="1F2CFF00">
            <w:pPr>
              <w:spacing w:after="0" w:line="240" w:lineRule="auto"/>
              <w:jc w:val="center"/>
            </w:pPr>
            <w:r>
              <w:rPr>
                <w:b w:val="0"/>
                <w:sz w:val="19"/>
              </w:rPr>
              <w:t>765.12</w:t>
            </w:r>
          </w:p>
        </w:tc>
        <w:tc>
          <w:tcPr>
            <w:tcW w:w="3456" w:type="dxa"/>
          </w:tcPr>
          <w:p w14:paraId="211D27DE">
            <w:pPr>
              <w:spacing w:after="0" w:line="240" w:lineRule="auto"/>
              <w:jc w:val="center"/>
            </w:pPr>
            <w:r>
              <w:rPr>
                <w:b w:val="0"/>
                <w:sz w:val="19"/>
              </w:rPr>
              <w:t>774</w:t>
            </w:r>
          </w:p>
        </w:tc>
        <w:tc>
          <w:tcPr>
            <w:tcW w:w="2304" w:type="dxa"/>
          </w:tcPr>
          <w:p w14:paraId="6CE19212">
            <w:pPr>
              <w:spacing w:after="0" w:line="240" w:lineRule="auto"/>
              <w:jc w:val="center"/>
            </w:pPr>
            <w:r>
              <w:rPr>
                <w:b w:val="0"/>
                <w:sz w:val="19"/>
              </w:rPr>
              <w:t>-1.1%  (better)</w:t>
            </w:r>
          </w:p>
        </w:tc>
      </w:tr>
      <w:tr w14:paraId="4EFA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EF2F8"/>
          </w:tcPr>
          <w:p w14:paraId="1DBAB461">
            <w:pPr>
              <w:spacing w:after="0" w:line="240" w:lineRule="auto"/>
              <w:jc w:val="left"/>
            </w:pPr>
            <w:r>
              <w:rPr>
                <w:b w:val="0"/>
                <w:sz w:val="19"/>
              </w:rPr>
              <w:t>PCC</w:t>
            </w:r>
          </w:p>
        </w:tc>
        <w:tc>
          <w:tcPr>
            <w:tcW w:w="2016" w:type="dxa"/>
            <w:shd w:val="clear" w:color="auto" w:fill="EEF2F8"/>
          </w:tcPr>
          <w:p w14:paraId="5089E2F4">
            <w:pPr>
              <w:spacing w:after="0" w:line="240" w:lineRule="auto"/>
              <w:jc w:val="center"/>
            </w:pPr>
            <w:r>
              <w:rPr>
                <w:b w:val="0"/>
                <w:sz w:val="19"/>
              </w:rPr>
              <w:t>0.8509</w:t>
            </w:r>
          </w:p>
        </w:tc>
        <w:tc>
          <w:tcPr>
            <w:tcW w:w="3456" w:type="dxa"/>
            <w:shd w:val="clear" w:color="auto" w:fill="EEF2F8"/>
          </w:tcPr>
          <w:p w14:paraId="7B7CC467">
            <w:pPr>
              <w:spacing w:after="0" w:line="240" w:lineRule="auto"/>
              <w:jc w:val="center"/>
            </w:pPr>
            <w:r>
              <w:rPr>
                <w:b w:val="0"/>
                <w:sz w:val="19"/>
              </w:rPr>
              <w:t>0.842</w:t>
            </w:r>
          </w:p>
        </w:tc>
        <w:tc>
          <w:tcPr>
            <w:tcW w:w="2304" w:type="dxa"/>
            <w:shd w:val="clear" w:color="auto" w:fill="EEF2F8"/>
          </w:tcPr>
          <w:p w14:paraId="0EBFDC47">
            <w:pPr>
              <w:spacing w:after="0" w:line="240" w:lineRule="auto"/>
              <w:jc w:val="center"/>
            </w:pPr>
            <w:r>
              <w:rPr>
                <w:b w:val="0"/>
                <w:sz w:val="19"/>
              </w:rPr>
              <w:t>+1.0%  (better)</w:t>
            </w:r>
          </w:p>
        </w:tc>
      </w:tr>
    </w:tbl>
    <w:p w14:paraId="50E40F51">
      <w:r>
        <w:rPr>
          <w:b/>
          <w:color w:val="2A4AA4"/>
          <w:sz w:val="24"/>
        </w:rPr>
        <w:t>4.2  MepoGNN (Dynamic)  —  PASS (within/better than published std bands)</w:t>
      </w:r>
    </w:p>
    <w:p w14:paraId="411DA2CD">
      <w:r>
        <w:rPr>
          <w:i w:val="0"/>
          <w:sz w:val="21"/>
        </w:rPr>
        <w:t>Dataset: Japan COVID, 47 prefectures, multi-step. Paper values are the MepoGNN(Dyn) mean ± std. Our score file logs MAPE as a fraction; values below are converted to percent-points to match the paper.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2"/>
        <w:gridCol w:w="1407"/>
        <w:gridCol w:w="1682"/>
        <w:gridCol w:w="2655"/>
        <w:gridCol w:w="1415"/>
        <w:gridCol w:w="285"/>
      </w:tblGrid>
      <w:tr w14:paraId="6C495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1F3864"/>
          </w:tcPr>
          <w:p w14:paraId="32F62BBC">
            <w:pPr>
              <w:spacing w:after="0" w:line="240" w:lineRule="auto"/>
              <w:jc w:val="left"/>
            </w:pPr>
            <w:r>
              <w:rPr>
                <w:b/>
                <w:color w:val="FFFFFF"/>
                <w:sz w:val="19"/>
              </w:rPr>
              <w:t>Horizon</w:t>
            </w:r>
          </w:p>
        </w:tc>
        <w:tc>
          <w:tcPr>
            <w:tcW w:w="1440" w:type="dxa"/>
            <w:shd w:val="clear" w:color="auto" w:fill="1F3864"/>
          </w:tcPr>
          <w:p w14:paraId="5CB77098">
            <w:pPr>
              <w:spacing w:after="0" w:line="240" w:lineRule="auto"/>
              <w:jc w:val="center"/>
            </w:pPr>
            <w:r>
              <w:rPr>
                <w:b/>
                <w:color w:val="FFFFFF"/>
                <w:sz w:val="19"/>
              </w:rPr>
              <w:t>Metric</w:t>
            </w:r>
          </w:p>
        </w:tc>
        <w:tc>
          <w:tcPr>
            <w:tcW w:w="1728" w:type="dxa"/>
            <w:shd w:val="clear" w:color="auto" w:fill="1F3864"/>
          </w:tcPr>
          <w:p w14:paraId="2FDA9421">
            <w:pPr>
              <w:spacing w:after="0" w:line="240" w:lineRule="auto"/>
              <w:jc w:val="center"/>
            </w:pPr>
            <w:r>
              <w:rPr>
                <w:b/>
                <w:color w:val="FFFFFF"/>
                <w:sz w:val="19"/>
              </w:rPr>
              <w:t>Our run</w:t>
            </w:r>
          </w:p>
        </w:tc>
        <w:tc>
          <w:tcPr>
            <w:tcW w:w="2736" w:type="dxa"/>
            <w:shd w:val="clear" w:color="auto" w:fill="1F3864"/>
          </w:tcPr>
          <w:p w14:paraId="0AC9F0BD">
            <w:pPr>
              <w:spacing w:after="0" w:line="240" w:lineRule="auto"/>
              <w:jc w:val="center"/>
            </w:pPr>
            <w:r>
              <w:rPr>
                <w:b/>
                <w:color w:val="FFFFFF"/>
                <w:sz w:val="19"/>
              </w:rPr>
              <w:t>Paper (Dyn) mean±std</w:t>
            </w:r>
          </w:p>
        </w:tc>
        <w:tc>
          <w:tcPr>
            <w:tcW w:w="1440" w:type="dxa"/>
            <w:shd w:val="clear" w:color="auto" w:fill="1F3864"/>
          </w:tcPr>
          <w:p w14:paraId="52BAE0C7">
            <w:pPr>
              <w:spacing w:after="0" w:line="240" w:lineRule="auto"/>
              <w:jc w:val="center"/>
            </w:pPr>
            <w:r>
              <w:rPr>
                <w:b/>
                <w:color w:val="FFFFFF"/>
                <w:sz w:val="19"/>
              </w:rPr>
              <w:t>In band?</w:t>
            </w:r>
          </w:p>
        </w:tc>
        <w:tc>
          <w:tcPr>
            <w:tcW w:w="288" w:type="dxa"/>
            <w:shd w:val="clear" w:color="auto" w:fill="1F3864"/>
          </w:tcPr>
          <w:p w14:paraId="3AFCF402">
            <w:pPr>
              <w:spacing w:after="0" w:line="240" w:lineRule="auto"/>
              <w:jc w:val="center"/>
            </w:pPr>
          </w:p>
        </w:tc>
      </w:tr>
      <w:tr w14:paraId="350B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B8A6100">
            <w:pPr>
              <w:spacing w:after="0" w:line="240" w:lineRule="auto"/>
              <w:jc w:val="left"/>
            </w:pPr>
            <w:r>
              <w:rPr>
                <w:b w:val="0"/>
                <w:sz w:val="19"/>
              </w:rPr>
              <w:t>3-day</w:t>
            </w:r>
          </w:p>
        </w:tc>
        <w:tc>
          <w:tcPr>
            <w:tcW w:w="1440" w:type="dxa"/>
          </w:tcPr>
          <w:p w14:paraId="6DE690CA">
            <w:pPr>
              <w:spacing w:after="0" w:line="240" w:lineRule="auto"/>
              <w:jc w:val="center"/>
            </w:pPr>
            <w:r>
              <w:rPr>
                <w:b w:val="0"/>
                <w:sz w:val="19"/>
              </w:rPr>
              <w:t>RMSE</w:t>
            </w:r>
          </w:p>
        </w:tc>
        <w:tc>
          <w:tcPr>
            <w:tcW w:w="1728" w:type="dxa"/>
          </w:tcPr>
          <w:p w14:paraId="22214AC7">
            <w:pPr>
              <w:spacing w:after="0" w:line="240" w:lineRule="auto"/>
              <w:jc w:val="center"/>
            </w:pPr>
            <w:r>
              <w:rPr>
                <w:b w:val="0"/>
                <w:sz w:val="19"/>
              </w:rPr>
              <w:t>142.65</w:t>
            </w:r>
          </w:p>
        </w:tc>
        <w:tc>
          <w:tcPr>
            <w:tcW w:w="2736" w:type="dxa"/>
          </w:tcPr>
          <w:p w14:paraId="2F97A032">
            <w:pPr>
              <w:spacing w:after="0" w:line="240" w:lineRule="auto"/>
              <w:jc w:val="center"/>
            </w:pPr>
            <w:r>
              <w:rPr>
                <w:b w:val="0"/>
                <w:sz w:val="19"/>
              </w:rPr>
              <w:t>135.9 ± 17.8</w:t>
            </w:r>
          </w:p>
        </w:tc>
        <w:tc>
          <w:tcPr>
            <w:tcW w:w="1440" w:type="dxa"/>
          </w:tcPr>
          <w:p w14:paraId="24F6D075">
            <w:pPr>
              <w:spacing w:after="0" w:line="240" w:lineRule="auto"/>
              <w:jc w:val="center"/>
            </w:pPr>
            <w:r>
              <w:rPr>
                <w:b w:val="0"/>
                <w:sz w:val="19"/>
              </w:rPr>
              <w:t>Yes</w:t>
            </w:r>
          </w:p>
        </w:tc>
        <w:tc>
          <w:tcPr>
            <w:tcW w:w="288" w:type="dxa"/>
          </w:tcPr>
          <w:p w14:paraId="5F80A62B">
            <w:pPr>
              <w:spacing w:after="0" w:line="240" w:lineRule="auto"/>
              <w:jc w:val="center"/>
            </w:pPr>
          </w:p>
        </w:tc>
      </w:tr>
      <w:tr w14:paraId="7ED9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EF2F8"/>
          </w:tcPr>
          <w:p w14:paraId="79BF705E">
            <w:pPr>
              <w:spacing w:after="0" w:line="240" w:lineRule="auto"/>
              <w:jc w:val="left"/>
            </w:pPr>
            <w:r>
              <w:rPr>
                <w:b w:val="0"/>
                <w:sz w:val="19"/>
              </w:rPr>
              <w:t>3-day</w:t>
            </w:r>
          </w:p>
        </w:tc>
        <w:tc>
          <w:tcPr>
            <w:tcW w:w="1440" w:type="dxa"/>
            <w:shd w:val="clear" w:color="auto" w:fill="EEF2F8"/>
          </w:tcPr>
          <w:p w14:paraId="44CA6FDB">
            <w:pPr>
              <w:spacing w:after="0" w:line="240" w:lineRule="auto"/>
              <w:jc w:val="center"/>
            </w:pPr>
            <w:r>
              <w:rPr>
                <w:b w:val="0"/>
                <w:sz w:val="19"/>
              </w:rPr>
              <w:t>MAE</w:t>
            </w:r>
          </w:p>
        </w:tc>
        <w:tc>
          <w:tcPr>
            <w:tcW w:w="1728" w:type="dxa"/>
            <w:shd w:val="clear" w:color="auto" w:fill="EEF2F8"/>
          </w:tcPr>
          <w:p w14:paraId="43A87D7A">
            <w:pPr>
              <w:spacing w:after="0" w:line="240" w:lineRule="auto"/>
              <w:jc w:val="center"/>
            </w:pPr>
            <w:r>
              <w:rPr>
                <w:b w:val="0"/>
                <w:sz w:val="19"/>
              </w:rPr>
              <w:t>53.32</w:t>
            </w:r>
          </w:p>
        </w:tc>
        <w:tc>
          <w:tcPr>
            <w:tcW w:w="2736" w:type="dxa"/>
            <w:shd w:val="clear" w:color="auto" w:fill="EEF2F8"/>
          </w:tcPr>
          <w:p w14:paraId="5195A3CD">
            <w:pPr>
              <w:spacing w:after="0" w:line="240" w:lineRule="auto"/>
              <w:jc w:val="center"/>
            </w:pPr>
            <w:r>
              <w:rPr>
                <w:b w:val="0"/>
                <w:sz w:val="19"/>
              </w:rPr>
              <w:t>52.7 ± 4.6</w:t>
            </w:r>
          </w:p>
        </w:tc>
        <w:tc>
          <w:tcPr>
            <w:tcW w:w="1440" w:type="dxa"/>
            <w:shd w:val="clear" w:color="auto" w:fill="EEF2F8"/>
          </w:tcPr>
          <w:p w14:paraId="2F54DD83">
            <w:pPr>
              <w:spacing w:after="0" w:line="240" w:lineRule="auto"/>
              <w:jc w:val="center"/>
            </w:pPr>
            <w:r>
              <w:rPr>
                <w:b w:val="0"/>
                <w:sz w:val="19"/>
              </w:rPr>
              <w:t>Yes</w:t>
            </w:r>
          </w:p>
        </w:tc>
        <w:tc>
          <w:tcPr>
            <w:tcW w:w="288" w:type="dxa"/>
            <w:shd w:val="clear" w:color="auto" w:fill="EEF2F8"/>
          </w:tcPr>
          <w:p w14:paraId="33E97DEF">
            <w:pPr>
              <w:spacing w:after="0" w:line="240" w:lineRule="auto"/>
              <w:jc w:val="center"/>
            </w:pPr>
          </w:p>
        </w:tc>
      </w:tr>
      <w:tr w14:paraId="68C6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B422812">
            <w:pPr>
              <w:spacing w:after="0" w:line="240" w:lineRule="auto"/>
              <w:jc w:val="left"/>
            </w:pPr>
            <w:r>
              <w:rPr>
                <w:b w:val="0"/>
                <w:sz w:val="19"/>
              </w:rPr>
              <w:t>3-day</w:t>
            </w:r>
          </w:p>
        </w:tc>
        <w:tc>
          <w:tcPr>
            <w:tcW w:w="1440" w:type="dxa"/>
          </w:tcPr>
          <w:p w14:paraId="70FDED9D">
            <w:pPr>
              <w:spacing w:after="0" w:line="240" w:lineRule="auto"/>
              <w:jc w:val="center"/>
            </w:pPr>
            <w:r>
              <w:rPr>
                <w:b w:val="0"/>
                <w:sz w:val="19"/>
              </w:rPr>
              <w:t>MAPE</w:t>
            </w:r>
          </w:p>
        </w:tc>
        <w:tc>
          <w:tcPr>
            <w:tcW w:w="1728" w:type="dxa"/>
          </w:tcPr>
          <w:p w14:paraId="2CCAB77E">
            <w:pPr>
              <w:spacing w:after="0" w:line="240" w:lineRule="auto"/>
              <w:jc w:val="center"/>
            </w:pPr>
            <w:r>
              <w:rPr>
                <w:b w:val="0"/>
                <w:sz w:val="19"/>
              </w:rPr>
              <w:t>35.3%</w:t>
            </w:r>
          </w:p>
        </w:tc>
        <w:tc>
          <w:tcPr>
            <w:tcW w:w="2736" w:type="dxa"/>
          </w:tcPr>
          <w:p w14:paraId="0EA953D3">
            <w:pPr>
              <w:spacing w:after="0" w:line="240" w:lineRule="auto"/>
              <w:jc w:val="center"/>
            </w:pPr>
            <w:r>
              <w:rPr>
                <w:b w:val="0"/>
                <w:sz w:val="19"/>
              </w:rPr>
              <w:t>34.2 ± 0.7</w:t>
            </w:r>
          </w:p>
        </w:tc>
        <w:tc>
          <w:tcPr>
            <w:tcW w:w="1440" w:type="dxa"/>
          </w:tcPr>
          <w:p w14:paraId="21FAF8E7">
            <w:pPr>
              <w:spacing w:after="0" w:line="240" w:lineRule="auto"/>
              <w:jc w:val="center"/>
            </w:pPr>
            <w:r>
              <w:rPr>
                <w:b w:val="0"/>
                <w:sz w:val="19"/>
              </w:rPr>
              <w:t>Marginal</w:t>
            </w:r>
          </w:p>
        </w:tc>
        <w:tc>
          <w:tcPr>
            <w:tcW w:w="288" w:type="dxa"/>
          </w:tcPr>
          <w:p w14:paraId="56965BE1">
            <w:pPr>
              <w:spacing w:after="0" w:line="240" w:lineRule="auto"/>
              <w:jc w:val="center"/>
            </w:pPr>
          </w:p>
        </w:tc>
      </w:tr>
      <w:tr w14:paraId="1F80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EF2F8"/>
          </w:tcPr>
          <w:p w14:paraId="443069A6">
            <w:pPr>
              <w:spacing w:after="0" w:line="240" w:lineRule="auto"/>
              <w:jc w:val="left"/>
            </w:pPr>
            <w:r>
              <w:rPr>
                <w:b w:val="0"/>
                <w:sz w:val="19"/>
              </w:rPr>
              <w:t>3-day</w:t>
            </w:r>
          </w:p>
        </w:tc>
        <w:tc>
          <w:tcPr>
            <w:tcW w:w="1440" w:type="dxa"/>
            <w:shd w:val="clear" w:color="auto" w:fill="EEF2F8"/>
          </w:tcPr>
          <w:p w14:paraId="5C971503">
            <w:pPr>
              <w:spacing w:after="0" w:line="240" w:lineRule="auto"/>
              <w:jc w:val="center"/>
            </w:pPr>
            <w:r>
              <w:rPr>
                <w:b w:val="0"/>
                <w:sz w:val="19"/>
              </w:rPr>
              <w:t>RAE</w:t>
            </w:r>
          </w:p>
        </w:tc>
        <w:tc>
          <w:tcPr>
            <w:tcW w:w="1728" w:type="dxa"/>
            <w:shd w:val="clear" w:color="auto" w:fill="EEF2F8"/>
          </w:tcPr>
          <w:p w14:paraId="6CEB2EBA">
            <w:pPr>
              <w:spacing w:after="0" w:line="240" w:lineRule="auto"/>
              <w:jc w:val="center"/>
            </w:pPr>
            <w:r>
              <w:rPr>
                <w:b w:val="0"/>
                <w:sz w:val="19"/>
              </w:rPr>
              <w:t>0.161</w:t>
            </w:r>
          </w:p>
        </w:tc>
        <w:tc>
          <w:tcPr>
            <w:tcW w:w="2736" w:type="dxa"/>
            <w:shd w:val="clear" w:color="auto" w:fill="EEF2F8"/>
          </w:tcPr>
          <w:p w14:paraId="4A4173A6">
            <w:pPr>
              <w:spacing w:after="0" w:line="240" w:lineRule="auto"/>
              <w:jc w:val="center"/>
            </w:pPr>
            <w:r>
              <w:rPr>
                <w:b w:val="0"/>
                <w:sz w:val="19"/>
              </w:rPr>
              <w:t>0.16 ± 0.01</w:t>
            </w:r>
          </w:p>
        </w:tc>
        <w:tc>
          <w:tcPr>
            <w:tcW w:w="1440" w:type="dxa"/>
            <w:shd w:val="clear" w:color="auto" w:fill="EEF2F8"/>
          </w:tcPr>
          <w:p w14:paraId="3C87C860">
            <w:pPr>
              <w:spacing w:after="0" w:line="240" w:lineRule="auto"/>
              <w:jc w:val="center"/>
            </w:pPr>
            <w:r>
              <w:rPr>
                <w:b w:val="0"/>
                <w:sz w:val="19"/>
              </w:rPr>
              <w:t>Yes</w:t>
            </w:r>
          </w:p>
        </w:tc>
        <w:tc>
          <w:tcPr>
            <w:tcW w:w="288" w:type="dxa"/>
            <w:shd w:val="clear" w:color="auto" w:fill="EEF2F8"/>
          </w:tcPr>
          <w:p w14:paraId="06AB6DD2">
            <w:pPr>
              <w:spacing w:after="0" w:line="240" w:lineRule="auto"/>
              <w:jc w:val="center"/>
            </w:pPr>
          </w:p>
        </w:tc>
      </w:tr>
      <w:tr w14:paraId="79D0B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4B2F843">
            <w:pPr>
              <w:spacing w:after="0" w:line="240" w:lineRule="auto"/>
              <w:jc w:val="left"/>
            </w:pPr>
            <w:r>
              <w:rPr>
                <w:b w:val="0"/>
                <w:sz w:val="19"/>
              </w:rPr>
              <w:t>7-day</w:t>
            </w:r>
          </w:p>
        </w:tc>
        <w:tc>
          <w:tcPr>
            <w:tcW w:w="1440" w:type="dxa"/>
          </w:tcPr>
          <w:p w14:paraId="0FE81294">
            <w:pPr>
              <w:spacing w:after="0" w:line="240" w:lineRule="auto"/>
              <w:jc w:val="center"/>
            </w:pPr>
            <w:r>
              <w:rPr>
                <w:b w:val="0"/>
                <w:sz w:val="19"/>
              </w:rPr>
              <w:t>RMSE</w:t>
            </w:r>
          </w:p>
        </w:tc>
        <w:tc>
          <w:tcPr>
            <w:tcW w:w="1728" w:type="dxa"/>
          </w:tcPr>
          <w:p w14:paraId="7D666DAC">
            <w:pPr>
              <w:spacing w:after="0" w:line="240" w:lineRule="auto"/>
              <w:jc w:val="center"/>
            </w:pPr>
            <w:r>
              <w:rPr>
                <w:b w:val="0"/>
                <w:sz w:val="19"/>
              </w:rPr>
              <w:t>163.75</w:t>
            </w:r>
          </w:p>
        </w:tc>
        <w:tc>
          <w:tcPr>
            <w:tcW w:w="2736" w:type="dxa"/>
          </w:tcPr>
          <w:p w14:paraId="41F69CFB">
            <w:pPr>
              <w:spacing w:after="0" w:line="240" w:lineRule="auto"/>
              <w:jc w:val="center"/>
            </w:pPr>
            <w:r>
              <w:rPr>
                <w:b w:val="0"/>
                <w:sz w:val="19"/>
              </w:rPr>
              <w:t>160.6 ± 4.5</w:t>
            </w:r>
          </w:p>
        </w:tc>
        <w:tc>
          <w:tcPr>
            <w:tcW w:w="1440" w:type="dxa"/>
          </w:tcPr>
          <w:p w14:paraId="7BCB1703">
            <w:pPr>
              <w:spacing w:after="0" w:line="240" w:lineRule="auto"/>
              <w:jc w:val="center"/>
            </w:pPr>
            <w:r>
              <w:rPr>
                <w:b w:val="0"/>
                <w:sz w:val="19"/>
              </w:rPr>
              <w:t>Yes</w:t>
            </w:r>
          </w:p>
        </w:tc>
        <w:tc>
          <w:tcPr>
            <w:tcW w:w="288" w:type="dxa"/>
          </w:tcPr>
          <w:p w14:paraId="629883A1">
            <w:pPr>
              <w:spacing w:after="0" w:line="240" w:lineRule="auto"/>
              <w:jc w:val="center"/>
            </w:pPr>
          </w:p>
        </w:tc>
      </w:tr>
      <w:tr w14:paraId="7D93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EF2F8"/>
          </w:tcPr>
          <w:p w14:paraId="17947269">
            <w:pPr>
              <w:spacing w:after="0" w:line="240" w:lineRule="auto"/>
              <w:jc w:val="left"/>
            </w:pPr>
            <w:r>
              <w:rPr>
                <w:b w:val="0"/>
                <w:sz w:val="19"/>
              </w:rPr>
              <w:t>7-day</w:t>
            </w:r>
          </w:p>
        </w:tc>
        <w:tc>
          <w:tcPr>
            <w:tcW w:w="1440" w:type="dxa"/>
            <w:shd w:val="clear" w:color="auto" w:fill="EEF2F8"/>
          </w:tcPr>
          <w:p w14:paraId="5A371D06">
            <w:pPr>
              <w:spacing w:after="0" w:line="240" w:lineRule="auto"/>
              <w:jc w:val="center"/>
            </w:pPr>
            <w:r>
              <w:rPr>
                <w:b w:val="0"/>
                <w:sz w:val="19"/>
              </w:rPr>
              <w:t>MAE</w:t>
            </w:r>
          </w:p>
        </w:tc>
        <w:tc>
          <w:tcPr>
            <w:tcW w:w="1728" w:type="dxa"/>
            <w:shd w:val="clear" w:color="auto" w:fill="EEF2F8"/>
          </w:tcPr>
          <w:p w14:paraId="03BE3221">
            <w:pPr>
              <w:spacing w:after="0" w:line="240" w:lineRule="auto"/>
              <w:jc w:val="center"/>
            </w:pPr>
            <w:r>
              <w:rPr>
                <w:b w:val="0"/>
                <w:sz w:val="19"/>
              </w:rPr>
              <w:t>65.09</w:t>
            </w:r>
          </w:p>
        </w:tc>
        <w:tc>
          <w:tcPr>
            <w:tcW w:w="2736" w:type="dxa"/>
            <w:shd w:val="clear" w:color="auto" w:fill="EEF2F8"/>
          </w:tcPr>
          <w:p w14:paraId="732A4846">
            <w:pPr>
              <w:spacing w:after="0" w:line="240" w:lineRule="auto"/>
              <w:jc w:val="center"/>
            </w:pPr>
            <w:r>
              <w:rPr>
                <w:b w:val="0"/>
                <w:sz w:val="19"/>
              </w:rPr>
              <w:t>67.6 ± 1.2</w:t>
            </w:r>
          </w:p>
        </w:tc>
        <w:tc>
          <w:tcPr>
            <w:tcW w:w="1440" w:type="dxa"/>
            <w:shd w:val="clear" w:color="auto" w:fill="EEF2F8"/>
          </w:tcPr>
          <w:p w14:paraId="1AF66881">
            <w:pPr>
              <w:spacing w:after="0" w:line="240" w:lineRule="auto"/>
              <w:jc w:val="center"/>
            </w:pPr>
            <w:r>
              <w:rPr>
                <w:b w:val="0"/>
                <w:sz w:val="19"/>
              </w:rPr>
              <w:t>Better</w:t>
            </w:r>
          </w:p>
        </w:tc>
        <w:tc>
          <w:tcPr>
            <w:tcW w:w="288" w:type="dxa"/>
            <w:shd w:val="clear" w:color="auto" w:fill="EEF2F8"/>
          </w:tcPr>
          <w:p w14:paraId="67B39325">
            <w:pPr>
              <w:spacing w:after="0" w:line="240" w:lineRule="auto"/>
              <w:jc w:val="center"/>
            </w:pPr>
          </w:p>
        </w:tc>
      </w:tr>
      <w:tr w14:paraId="2DB45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39AA4030">
            <w:pPr>
              <w:spacing w:after="0" w:line="240" w:lineRule="auto"/>
              <w:jc w:val="left"/>
            </w:pPr>
            <w:r>
              <w:rPr>
                <w:b w:val="0"/>
                <w:sz w:val="19"/>
              </w:rPr>
              <w:t>7-day</w:t>
            </w:r>
          </w:p>
        </w:tc>
        <w:tc>
          <w:tcPr>
            <w:tcW w:w="1440" w:type="dxa"/>
          </w:tcPr>
          <w:p w14:paraId="7768D6A5">
            <w:pPr>
              <w:spacing w:after="0" w:line="240" w:lineRule="auto"/>
              <w:jc w:val="center"/>
            </w:pPr>
            <w:r>
              <w:rPr>
                <w:b w:val="0"/>
                <w:sz w:val="19"/>
              </w:rPr>
              <w:t>MAPE</w:t>
            </w:r>
          </w:p>
        </w:tc>
        <w:tc>
          <w:tcPr>
            <w:tcW w:w="1728" w:type="dxa"/>
          </w:tcPr>
          <w:p w14:paraId="3B1E0E4C">
            <w:pPr>
              <w:spacing w:after="0" w:line="240" w:lineRule="auto"/>
              <w:jc w:val="center"/>
            </w:pPr>
            <w:r>
              <w:rPr>
                <w:b w:val="0"/>
                <w:sz w:val="19"/>
              </w:rPr>
              <w:t>41.7%</w:t>
            </w:r>
          </w:p>
        </w:tc>
        <w:tc>
          <w:tcPr>
            <w:tcW w:w="2736" w:type="dxa"/>
          </w:tcPr>
          <w:p w14:paraId="28E15478">
            <w:pPr>
              <w:spacing w:after="0" w:line="240" w:lineRule="auto"/>
              <w:jc w:val="center"/>
            </w:pPr>
            <w:r>
              <w:rPr>
                <w:b w:val="0"/>
                <w:sz w:val="19"/>
              </w:rPr>
              <w:t>41.7 ± 0.9</w:t>
            </w:r>
          </w:p>
        </w:tc>
        <w:tc>
          <w:tcPr>
            <w:tcW w:w="1440" w:type="dxa"/>
          </w:tcPr>
          <w:p w14:paraId="3B0EF267">
            <w:pPr>
              <w:spacing w:after="0" w:line="240" w:lineRule="auto"/>
              <w:jc w:val="center"/>
            </w:pPr>
            <w:r>
              <w:rPr>
                <w:b w:val="0"/>
                <w:sz w:val="19"/>
              </w:rPr>
              <w:t>Exact</w:t>
            </w:r>
          </w:p>
        </w:tc>
        <w:tc>
          <w:tcPr>
            <w:tcW w:w="288" w:type="dxa"/>
          </w:tcPr>
          <w:p w14:paraId="6D47F2CC">
            <w:pPr>
              <w:spacing w:after="0" w:line="240" w:lineRule="auto"/>
              <w:jc w:val="center"/>
            </w:pPr>
          </w:p>
        </w:tc>
      </w:tr>
      <w:tr w14:paraId="77D04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EF2F8"/>
          </w:tcPr>
          <w:p w14:paraId="7555BFC9">
            <w:pPr>
              <w:spacing w:after="0" w:line="240" w:lineRule="auto"/>
              <w:jc w:val="left"/>
            </w:pPr>
            <w:r>
              <w:rPr>
                <w:b w:val="0"/>
                <w:sz w:val="19"/>
              </w:rPr>
              <w:t>7-day</w:t>
            </w:r>
          </w:p>
        </w:tc>
        <w:tc>
          <w:tcPr>
            <w:tcW w:w="1440" w:type="dxa"/>
            <w:shd w:val="clear" w:color="auto" w:fill="EEF2F8"/>
          </w:tcPr>
          <w:p w14:paraId="697AE5BE">
            <w:pPr>
              <w:spacing w:after="0" w:line="240" w:lineRule="auto"/>
              <w:jc w:val="center"/>
            </w:pPr>
            <w:r>
              <w:rPr>
                <w:b w:val="0"/>
                <w:sz w:val="19"/>
              </w:rPr>
              <w:t>RAE</w:t>
            </w:r>
          </w:p>
        </w:tc>
        <w:tc>
          <w:tcPr>
            <w:tcW w:w="1728" w:type="dxa"/>
            <w:shd w:val="clear" w:color="auto" w:fill="EEF2F8"/>
          </w:tcPr>
          <w:p w14:paraId="105EF72E">
            <w:pPr>
              <w:spacing w:after="0" w:line="240" w:lineRule="auto"/>
              <w:jc w:val="center"/>
            </w:pPr>
            <w:r>
              <w:rPr>
                <w:b w:val="0"/>
                <w:sz w:val="19"/>
              </w:rPr>
              <w:t>0.195</w:t>
            </w:r>
          </w:p>
        </w:tc>
        <w:tc>
          <w:tcPr>
            <w:tcW w:w="2736" w:type="dxa"/>
            <w:shd w:val="clear" w:color="auto" w:fill="EEF2F8"/>
          </w:tcPr>
          <w:p w14:paraId="36327503">
            <w:pPr>
              <w:spacing w:after="0" w:line="240" w:lineRule="auto"/>
              <w:jc w:val="center"/>
            </w:pPr>
            <w:r>
              <w:rPr>
                <w:b w:val="0"/>
                <w:sz w:val="19"/>
              </w:rPr>
              <w:t>0.20 ± 0.00</w:t>
            </w:r>
          </w:p>
        </w:tc>
        <w:tc>
          <w:tcPr>
            <w:tcW w:w="1440" w:type="dxa"/>
            <w:shd w:val="clear" w:color="auto" w:fill="EEF2F8"/>
          </w:tcPr>
          <w:p w14:paraId="22A23680">
            <w:pPr>
              <w:spacing w:after="0" w:line="240" w:lineRule="auto"/>
              <w:jc w:val="center"/>
            </w:pPr>
            <w:r>
              <w:rPr>
                <w:b w:val="0"/>
                <w:sz w:val="19"/>
              </w:rPr>
              <w:t>Yes</w:t>
            </w:r>
          </w:p>
        </w:tc>
        <w:tc>
          <w:tcPr>
            <w:tcW w:w="288" w:type="dxa"/>
            <w:shd w:val="clear" w:color="auto" w:fill="EEF2F8"/>
          </w:tcPr>
          <w:p w14:paraId="6B55C7F5">
            <w:pPr>
              <w:spacing w:after="0" w:line="240" w:lineRule="auto"/>
              <w:jc w:val="center"/>
            </w:pPr>
          </w:p>
        </w:tc>
      </w:tr>
      <w:tr w14:paraId="64F6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E210A42">
            <w:pPr>
              <w:spacing w:after="0" w:line="240" w:lineRule="auto"/>
              <w:jc w:val="left"/>
            </w:pPr>
            <w:r>
              <w:rPr>
                <w:b w:val="0"/>
                <w:sz w:val="19"/>
              </w:rPr>
              <w:t>14-day</w:t>
            </w:r>
          </w:p>
        </w:tc>
        <w:tc>
          <w:tcPr>
            <w:tcW w:w="1440" w:type="dxa"/>
          </w:tcPr>
          <w:p w14:paraId="300675BE">
            <w:pPr>
              <w:spacing w:after="0" w:line="240" w:lineRule="auto"/>
              <w:jc w:val="center"/>
            </w:pPr>
            <w:r>
              <w:rPr>
                <w:b w:val="0"/>
                <w:sz w:val="19"/>
              </w:rPr>
              <w:t>RMSE</w:t>
            </w:r>
          </w:p>
        </w:tc>
        <w:tc>
          <w:tcPr>
            <w:tcW w:w="1728" w:type="dxa"/>
          </w:tcPr>
          <w:p w14:paraId="5813EC4E">
            <w:pPr>
              <w:spacing w:after="0" w:line="240" w:lineRule="auto"/>
              <w:jc w:val="center"/>
            </w:pPr>
            <w:r>
              <w:rPr>
                <w:b w:val="0"/>
                <w:sz w:val="19"/>
              </w:rPr>
              <w:t>240.15</w:t>
            </w:r>
          </w:p>
        </w:tc>
        <w:tc>
          <w:tcPr>
            <w:tcW w:w="2736" w:type="dxa"/>
          </w:tcPr>
          <w:p w14:paraId="6E13585A">
            <w:pPr>
              <w:spacing w:after="0" w:line="240" w:lineRule="auto"/>
              <w:jc w:val="center"/>
            </w:pPr>
            <w:r>
              <w:rPr>
                <w:b w:val="0"/>
                <w:sz w:val="19"/>
              </w:rPr>
              <w:t>253.2 ± 7.5</w:t>
            </w:r>
          </w:p>
        </w:tc>
        <w:tc>
          <w:tcPr>
            <w:tcW w:w="1440" w:type="dxa"/>
          </w:tcPr>
          <w:p w14:paraId="3D8E150E">
            <w:pPr>
              <w:spacing w:after="0" w:line="240" w:lineRule="auto"/>
              <w:jc w:val="center"/>
            </w:pPr>
            <w:r>
              <w:rPr>
                <w:b w:val="0"/>
                <w:sz w:val="19"/>
              </w:rPr>
              <w:t>Better</w:t>
            </w:r>
          </w:p>
        </w:tc>
        <w:tc>
          <w:tcPr>
            <w:tcW w:w="288" w:type="dxa"/>
          </w:tcPr>
          <w:p w14:paraId="21BFDD77">
            <w:pPr>
              <w:spacing w:after="0" w:line="240" w:lineRule="auto"/>
              <w:jc w:val="center"/>
            </w:pPr>
          </w:p>
        </w:tc>
      </w:tr>
      <w:tr w14:paraId="269B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EF2F8"/>
          </w:tcPr>
          <w:p w14:paraId="46B46C76">
            <w:pPr>
              <w:spacing w:after="0" w:line="240" w:lineRule="auto"/>
              <w:jc w:val="left"/>
            </w:pPr>
            <w:r>
              <w:rPr>
                <w:b w:val="0"/>
                <w:sz w:val="19"/>
              </w:rPr>
              <w:t>14-day</w:t>
            </w:r>
          </w:p>
        </w:tc>
        <w:tc>
          <w:tcPr>
            <w:tcW w:w="1440" w:type="dxa"/>
            <w:shd w:val="clear" w:color="auto" w:fill="EEF2F8"/>
          </w:tcPr>
          <w:p w14:paraId="11493DB1">
            <w:pPr>
              <w:spacing w:after="0" w:line="240" w:lineRule="auto"/>
              <w:jc w:val="center"/>
            </w:pPr>
            <w:r>
              <w:rPr>
                <w:b w:val="0"/>
                <w:sz w:val="19"/>
              </w:rPr>
              <w:t>MAE</w:t>
            </w:r>
          </w:p>
        </w:tc>
        <w:tc>
          <w:tcPr>
            <w:tcW w:w="1728" w:type="dxa"/>
            <w:shd w:val="clear" w:color="auto" w:fill="EEF2F8"/>
          </w:tcPr>
          <w:p w14:paraId="04C6FB91">
            <w:pPr>
              <w:spacing w:after="0" w:line="240" w:lineRule="auto"/>
              <w:jc w:val="center"/>
            </w:pPr>
            <w:r>
              <w:rPr>
                <w:b w:val="0"/>
                <w:sz w:val="19"/>
              </w:rPr>
              <w:t>98.26</w:t>
            </w:r>
          </w:p>
        </w:tc>
        <w:tc>
          <w:tcPr>
            <w:tcW w:w="2736" w:type="dxa"/>
            <w:shd w:val="clear" w:color="auto" w:fill="EEF2F8"/>
          </w:tcPr>
          <w:p w14:paraId="682DA649">
            <w:pPr>
              <w:spacing w:after="0" w:line="240" w:lineRule="auto"/>
              <w:jc w:val="center"/>
            </w:pPr>
            <w:r>
              <w:rPr>
                <w:b w:val="0"/>
                <w:sz w:val="19"/>
              </w:rPr>
              <w:t>107.0 ± 3.0</w:t>
            </w:r>
          </w:p>
        </w:tc>
        <w:tc>
          <w:tcPr>
            <w:tcW w:w="1440" w:type="dxa"/>
            <w:shd w:val="clear" w:color="auto" w:fill="EEF2F8"/>
          </w:tcPr>
          <w:p w14:paraId="207A05BB">
            <w:pPr>
              <w:spacing w:after="0" w:line="240" w:lineRule="auto"/>
              <w:jc w:val="center"/>
            </w:pPr>
            <w:r>
              <w:rPr>
                <w:b w:val="0"/>
                <w:sz w:val="19"/>
              </w:rPr>
              <w:t>Better</w:t>
            </w:r>
          </w:p>
        </w:tc>
        <w:tc>
          <w:tcPr>
            <w:tcW w:w="288" w:type="dxa"/>
            <w:shd w:val="clear" w:color="auto" w:fill="EEF2F8"/>
          </w:tcPr>
          <w:p w14:paraId="774B6F89">
            <w:pPr>
              <w:spacing w:after="0" w:line="240" w:lineRule="auto"/>
              <w:jc w:val="center"/>
            </w:pPr>
          </w:p>
        </w:tc>
      </w:tr>
      <w:tr w14:paraId="337D1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092B9FE">
            <w:pPr>
              <w:spacing w:after="0" w:line="240" w:lineRule="auto"/>
              <w:jc w:val="left"/>
            </w:pPr>
            <w:r>
              <w:rPr>
                <w:b w:val="0"/>
                <w:sz w:val="19"/>
              </w:rPr>
              <w:t>14-day</w:t>
            </w:r>
          </w:p>
        </w:tc>
        <w:tc>
          <w:tcPr>
            <w:tcW w:w="1440" w:type="dxa"/>
          </w:tcPr>
          <w:p w14:paraId="59132E77">
            <w:pPr>
              <w:spacing w:after="0" w:line="240" w:lineRule="auto"/>
              <w:jc w:val="center"/>
            </w:pPr>
            <w:r>
              <w:rPr>
                <w:b w:val="0"/>
                <w:sz w:val="19"/>
              </w:rPr>
              <w:t>MAPE</w:t>
            </w:r>
          </w:p>
        </w:tc>
        <w:tc>
          <w:tcPr>
            <w:tcW w:w="1728" w:type="dxa"/>
          </w:tcPr>
          <w:p w14:paraId="0C37A655">
            <w:pPr>
              <w:spacing w:after="0" w:line="240" w:lineRule="auto"/>
              <w:jc w:val="center"/>
            </w:pPr>
            <w:r>
              <w:rPr>
                <w:b w:val="0"/>
                <w:sz w:val="19"/>
              </w:rPr>
              <w:t>61.2%</w:t>
            </w:r>
          </w:p>
        </w:tc>
        <w:tc>
          <w:tcPr>
            <w:tcW w:w="2736" w:type="dxa"/>
          </w:tcPr>
          <w:p w14:paraId="2F87528F">
            <w:pPr>
              <w:spacing w:after="0" w:line="240" w:lineRule="auto"/>
              <w:jc w:val="center"/>
            </w:pPr>
            <w:r>
              <w:rPr>
                <w:b w:val="0"/>
                <w:sz w:val="19"/>
              </w:rPr>
              <w:t>62.0 ± 2.0</w:t>
            </w:r>
          </w:p>
        </w:tc>
        <w:tc>
          <w:tcPr>
            <w:tcW w:w="1440" w:type="dxa"/>
          </w:tcPr>
          <w:p w14:paraId="79FCE5BD">
            <w:pPr>
              <w:spacing w:after="0" w:line="240" w:lineRule="auto"/>
              <w:jc w:val="center"/>
            </w:pPr>
            <w:r>
              <w:rPr>
                <w:b w:val="0"/>
                <w:sz w:val="19"/>
              </w:rPr>
              <w:t>Yes</w:t>
            </w:r>
          </w:p>
        </w:tc>
        <w:tc>
          <w:tcPr>
            <w:tcW w:w="288" w:type="dxa"/>
          </w:tcPr>
          <w:p w14:paraId="1131D2B2">
            <w:pPr>
              <w:spacing w:after="0" w:line="240" w:lineRule="auto"/>
              <w:jc w:val="center"/>
            </w:pPr>
          </w:p>
        </w:tc>
      </w:tr>
      <w:tr w14:paraId="0B1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EF2F8"/>
          </w:tcPr>
          <w:p w14:paraId="170481EF">
            <w:pPr>
              <w:spacing w:after="0" w:line="240" w:lineRule="auto"/>
              <w:jc w:val="left"/>
            </w:pPr>
            <w:r>
              <w:rPr>
                <w:b w:val="0"/>
                <w:sz w:val="19"/>
              </w:rPr>
              <w:t>14-day</w:t>
            </w:r>
          </w:p>
        </w:tc>
        <w:tc>
          <w:tcPr>
            <w:tcW w:w="1440" w:type="dxa"/>
            <w:shd w:val="clear" w:color="auto" w:fill="EEF2F8"/>
          </w:tcPr>
          <w:p w14:paraId="0139B246">
            <w:pPr>
              <w:spacing w:after="0" w:line="240" w:lineRule="auto"/>
              <w:jc w:val="center"/>
            </w:pPr>
            <w:r>
              <w:rPr>
                <w:b w:val="0"/>
                <w:sz w:val="19"/>
              </w:rPr>
              <w:t>RAE</w:t>
            </w:r>
          </w:p>
        </w:tc>
        <w:tc>
          <w:tcPr>
            <w:tcW w:w="1728" w:type="dxa"/>
            <w:shd w:val="clear" w:color="auto" w:fill="EEF2F8"/>
          </w:tcPr>
          <w:p w14:paraId="53A7E5B6">
            <w:pPr>
              <w:spacing w:after="0" w:line="240" w:lineRule="auto"/>
              <w:jc w:val="center"/>
            </w:pPr>
            <w:r>
              <w:rPr>
                <w:b w:val="0"/>
                <w:sz w:val="19"/>
              </w:rPr>
              <w:t>0.295</w:t>
            </w:r>
          </w:p>
        </w:tc>
        <w:tc>
          <w:tcPr>
            <w:tcW w:w="2736" w:type="dxa"/>
            <w:shd w:val="clear" w:color="auto" w:fill="EEF2F8"/>
          </w:tcPr>
          <w:p w14:paraId="4D571DBE">
            <w:pPr>
              <w:spacing w:after="0" w:line="240" w:lineRule="auto"/>
              <w:jc w:val="center"/>
            </w:pPr>
            <w:r>
              <w:rPr>
                <w:b w:val="0"/>
                <w:sz w:val="19"/>
              </w:rPr>
              <w:t>0.32 ± 0.01</w:t>
            </w:r>
          </w:p>
        </w:tc>
        <w:tc>
          <w:tcPr>
            <w:tcW w:w="1440" w:type="dxa"/>
            <w:shd w:val="clear" w:color="auto" w:fill="EEF2F8"/>
          </w:tcPr>
          <w:p w14:paraId="3B5D9BB2">
            <w:pPr>
              <w:spacing w:after="0" w:line="240" w:lineRule="auto"/>
              <w:jc w:val="center"/>
            </w:pPr>
            <w:r>
              <w:rPr>
                <w:b w:val="0"/>
                <w:sz w:val="19"/>
              </w:rPr>
              <w:t>Better</w:t>
            </w:r>
          </w:p>
        </w:tc>
        <w:tc>
          <w:tcPr>
            <w:tcW w:w="288" w:type="dxa"/>
            <w:shd w:val="clear" w:color="auto" w:fill="EEF2F8"/>
          </w:tcPr>
          <w:p w14:paraId="19CE5007">
            <w:pPr>
              <w:spacing w:after="0" w:line="240" w:lineRule="auto"/>
              <w:jc w:val="center"/>
            </w:pPr>
          </w:p>
        </w:tc>
      </w:tr>
      <w:tr w14:paraId="773B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140E86D">
            <w:pPr>
              <w:spacing w:after="0" w:line="240" w:lineRule="auto"/>
              <w:jc w:val="left"/>
            </w:pPr>
            <w:r>
              <w:rPr>
                <w:b w:val="0"/>
                <w:sz w:val="19"/>
              </w:rPr>
              <w:t>Overall</w:t>
            </w:r>
          </w:p>
        </w:tc>
        <w:tc>
          <w:tcPr>
            <w:tcW w:w="1440" w:type="dxa"/>
          </w:tcPr>
          <w:p w14:paraId="7F4B0E81">
            <w:pPr>
              <w:spacing w:after="0" w:line="240" w:lineRule="auto"/>
              <w:jc w:val="center"/>
            </w:pPr>
            <w:r>
              <w:rPr>
                <w:b w:val="0"/>
                <w:sz w:val="19"/>
              </w:rPr>
              <w:t>RMSE</w:t>
            </w:r>
          </w:p>
        </w:tc>
        <w:tc>
          <w:tcPr>
            <w:tcW w:w="1728" w:type="dxa"/>
          </w:tcPr>
          <w:p w14:paraId="01787DD0">
            <w:pPr>
              <w:spacing w:after="0" w:line="240" w:lineRule="auto"/>
              <w:jc w:val="center"/>
            </w:pPr>
            <w:r>
              <w:rPr>
                <w:b w:val="0"/>
                <w:sz w:val="19"/>
              </w:rPr>
              <w:t>181.41</w:t>
            </w:r>
          </w:p>
        </w:tc>
        <w:tc>
          <w:tcPr>
            <w:tcW w:w="2736" w:type="dxa"/>
          </w:tcPr>
          <w:p w14:paraId="0A3C9616">
            <w:pPr>
              <w:spacing w:after="0" w:line="240" w:lineRule="auto"/>
              <w:jc w:val="center"/>
            </w:pPr>
            <w:r>
              <w:rPr>
                <w:b w:val="0"/>
                <w:sz w:val="19"/>
              </w:rPr>
              <w:t>186.1 ± 5.0</w:t>
            </w:r>
          </w:p>
        </w:tc>
        <w:tc>
          <w:tcPr>
            <w:tcW w:w="1440" w:type="dxa"/>
          </w:tcPr>
          <w:p w14:paraId="7D7851E1">
            <w:pPr>
              <w:spacing w:after="0" w:line="240" w:lineRule="auto"/>
              <w:jc w:val="center"/>
            </w:pPr>
            <w:r>
              <w:rPr>
                <w:b w:val="0"/>
                <w:sz w:val="19"/>
              </w:rPr>
              <w:t>Yes</w:t>
            </w:r>
          </w:p>
        </w:tc>
        <w:tc>
          <w:tcPr>
            <w:tcW w:w="288" w:type="dxa"/>
          </w:tcPr>
          <w:p w14:paraId="0676235D">
            <w:pPr>
              <w:spacing w:after="0" w:line="240" w:lineRule="auto"/>
              <w:jc w:val="center"/>
            </w:pPr>
          </w:p>
        </w:tc>
      </w:tr>
      <w:tr w14:paraId="1D6C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EF2F8"/>
          </w:tcPr>
          <w:p w14:paraId="7D876008">
            <w:pPr>
              <w:spacing w:after="0" w:line="240" w:lineRule="auto"/>
              <w:jc w:val="left"/>
            </w:pPr>
            <w:r>
              <w:rPr>
                <w:b w:val="0"/>
                <w:sz w:val="19"/>
              </w:rPr>
              <w:t>Overall</w:t>
            </w:r>
          </w:p>
        </w:tc>
        <w:tc>
          <w:tcPr>
            <w:tcW w:w="1440" w:type="dxa"/>
            <w:shd w:val="clear" w:color="auto" w:fill="EEF2F8"/>
          </w:tcPr>
          <w:p w14:paraId="5D2464F0">
            <w:pPr>
              <w:spacing w:after="0" w:line="240" w:lineRule="auto"/>
              <w:jc w:val="center"/>
            </w:pPr>
            <w:r>
              <w:rPr>
                <w:b w:val="0"/>
                <w:sz w:val="19"/>
              </w:rPr>
              <w:t>MAE</w:t>
            </w:r>
          </w:p>
        </w:tc>
        <w:tc>
          <w:tcPr>
            <w:tcW w:w="1728" w:type="dxa"/>
            <w:shd w:val="clear" w:color="auto" w:fill="EEF2F8"/>
          </w:tcPr>
          <w:p w14:paraId="2A5181D5">
            <w:pPr>
              <w:spacing w:after="0" w:line="240" w:lineRule="auto"/>
              <w:jc w:val="center"/>
            </w:pPr>
            <w:r>
              <w:rPr>
                <w:b w:val="0"/>
                <w:sz w:val="19"/>
              </w:rPr>
              <w:t>70.91</w:t>
            </w:r>
          </w:p>
        </w:tc>
        <w:tc>
          <w:tcPr>
            <w:tcW w:w="2736" w:type="dxa"/>
            <w:shd w:val="clear" w:color="auto" w:fill="EEF2F8"/>
          </w:tcPr>
          <w:p w14:paraId="6856369E">
            <w:pPr>
              <w:spacing w:after="0" w:line="240" w:lineRule="auto"/>
              <w:jc w:val="center"/>
            </w:pPr>
            <w:r>
              <w:rPr>
                <w:b w:val="0"/>
                <w:sz w:val="19"/>
              </w:rPr>
              <w:t>74.3 ± 2.0</w:t>
            </w:r>
          </w:p>
        </w:tc>
        <w:tc>
          <w:tcPr>
            <w:tcW w:w="1440" w:type="dxa"/>
            <w:shd w:val="clear" w:color="auto" w:fill="EEF2F8"/>
          </w:tcPr>
          <w:p w14:paraId="1F192C44">
            <w:pPr>
              <w:spacing w:after="0" w:line="240" w:lineRule="auto"/>
              <w:jc w:val="center"/>
            </w:pPr>
            <w:r>
              <w:rPr>
                <w:b w:val="0"/>
                <w:sz w:val="19"/>
              </w:rPr>
              <w:t>Better</w:t>
            </w:r>
          </w:p>
        </w:tc>
        <w:tc>
          <w:tcPr>
            <w:tcW w:w="288" w:type="dxa"/>
            <w:shd w:val="clear" w:color="auto" w:fill="EEF2F8"/>
          </w:tcPr>
          <w:p w14:paraId="509CA320">
            <w:pPr>
              <w:spacing w:after="0" w:line="240" w:lineRule="auto"/>
              <w:jc w:val="center"/>
            </w:pPr>
          </w:p>
        </w:tc>
      </w:tr>
      <w:tr w14:paraId="63FF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C76A763">
            <w:pPr>
              <w:spacing w:after="0" w:line="240" w:lineRule="auto"/>
              <w:jc w:val="left"/>
            </w:pPr>
            <w:r>
              <w:rPr>
                <w:b w:val="0"/>
                <w:sz w:val="19"/>
              </w:rPr>
              <w:t>Overall</w:t>
            </w:r>
          </w:p>
        </w:tc>
        <w:tc>
          <w:tcPr>
            <w:tcW w:w="1440" w:type="dxa"/>
          </w:tcPr>
          <w:p w14:paraId="4A94EC9F">
            <w:pPr>
              <w:spacing w:after="0" w:line="240" w:lineRule="auto"/>
              <w:jc w:val="center"/>
            </w:pPr>
            <w:r>
              <w:rPr>
                <w:b w:val="0"/>
                <w:sz w:val="19"/>
              </w:rPr>
              <w:t>MAPE</w:t>
            </w:r>
          </w:p>
        </w:tc>
        <w:tc>
          <w:tcPr>
            <w:tcW w:w="1728" w:type="dxa"/>
          </w:tcPr>
          <w:p w14:paraId="1F807FFA">
            <w:pPr>
              <w:spacing w:after="0" w:line="240" w:lineRule="auto"/>
              <w:jc w:val="center"/>
            </w:pPr>
            <w:r>
              <w:rPr>
                <w:b w:val="0"/>
                <w:sz w:val="19"/>
              </w:rPr>
              <w:t>44.3%</w:t>
            </w:r>
          </w:p>
        </w:tc>
        <w:tc>
          <w:tcPr>
            <w:tcW w:w="2736" w:type="dxa"/>
          </w:tcPr>
          <w:p w14:paraId="0B14F8D9">
            <w:pPr>
              <w:spacing w:after="0" w:line="240" w:lineRule="auto"/>
              <w:jc w:val="center"/>
            </w:pPr>
            <w:r>
              <w:rPr>
                <w:b w:val="0"/>
                <w:sz w:val="19"/>
              </w:rPr>
              <w:t>44.4 ± 0.8</w:t>
            </w:r>
          </w:p>
        </w:tc>
        <w:tc>
          <w:tcPr>
            <w:tcW w:w="1440" w:type="dxa"/>
          </w:tcPr>
          <w:p w14:paraId="67A78C7D">
            <w:pPr>
              <w:spacing w:after="0" w:line="240" w:lineRule="auto"/>
              <w:jc w:val="center"/>
            </w:pPr>
            <w:r>
              <w:rPr>
                <w:b w:val="0"/>
                <w:sz w:val="19"/>
              </w:rPr>
              <w:t>Yes</w:t>
            </w:r>
          </w:p>
        </w:tc>
        <w:tc>
          <w:tcPr>
            <w:tcW w:w="288" w:type="dxa"/>
          </w:tcPr>
          <w:p w14:paraId="6AC54A13">
            <w:pPr>
              <w:spacing w:after="0" w:line="240" w:lineRule="auto"/>
              <w:jc w:val="center"/>
            </w:pPr>
          </w:p>
        </w:tc>
      </w:tr>
      <w:tr w14:paraId="6B045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EF2F8"/>
          </w:tcPr>
          <w:p w14:paraId="653F475F">
            <w:pPr>
              <w:spacing w:after="0" w:line="240" w:lineRule="auto"/>
              <w:jc w:val="left"/>
            </w:pPr>
            <w:r>
              <w:rPr>
                <w:b w:val="0"/>
                <w:sz w:val="19"/>
              </w:rPr>
              <w:t>Overall</w:t>
            </w:r>
          </w:p>
        </w:tc>
        <w:tc>
          <w:tcPr>
            <w:tcW w:w="1440" w:type="dxa"/>
            <w:shd w:val="clear" w:color="auto" w:fill="EEF2F8"/>
          </w:tcPr>
          <w:p w14:paraId="46DF1FAD">
            <w:pPr>
              <w:spacing w:after="0" w:line="240" w:lineRule="auto"/>
              <w:jc w:val="center"/>
            </w:pPr>
            <w:r>
              <w:rPr>
                <w:b w:val="0"/>
                <w:sz w:val="19"/>
              </w:rPr>
              <w:t>RAE</w:t>
            </w:r>
          </w:p>
        </w:tc>
        <w:tc>
          <w:tcPr>
            <w:tcW w:w="1728" w:type="dxa"/>
            <w:shd w:val="clear" w:color="auto" w:fill="EEF2F8"/>
          </w:tcPr>
          <w:p w14:paraId="1E3E31E7">
            <w:pPr>
              <w:spacing w:after="0" w:line="240" w:lineRule="auto"/>
              <w:jc w:val="center"/>
            </w:pPr>
            <w:r>
              <w:rPr>
                <w:b w:val="0"/>
                <w:sz w:val="19"/>
              </w:rPr>
              <w:t>0.213</w:t>
            </w:r>
          </w:p>
        </w:tc>
        <w:tc>
          <w:tcPr>
            <w:tcW w:w="2736" w:type="dxa"/>
            <w:shd w:val="clear" w:color="auto" w:fill="EEF2F8"/>
          </w:tcPr>
          <w:p w14:paraId="55A8AB27">
            <w:pPr>
              <w:spacing w:after="0" w:line="240" w:lineRule="auto"/>
              <w:jc w:val="center"/>
            </w:pPr>
            <w:r>
              <w:rPr>
                <w:b w:val="0"/>
                <w:sz w:val="19"/>
              </w:rPr>
              <w:t>0.22 ± 0.01</w:t>
            </w:r>
          </w:p>
        </w:tc>
        <w:tc>
          <w:tcPr>
            <w:tcW w:w="1440" w:type="dxa"/>
            <w:shd w:val="clear" w:color="auto" w:fill="EEF2F8"/>
          </w:tcPr>
          <w:p w14:paraId="43CB5C3F">
            <w:pPr>
              <w:spacing w:after="0" w:line="240" w:lineRule="auto"/>
              <w:jc w:val="center"/>
            </w:pPr>
            <w:r>
              <w:rPr>
                <w:b w:val="0"/>
                <w:sz w:val="19"/>
              </w:rPr>
              <w:t>Yes</w:t>
            </w:r>
          </w:p>
        </w:tc>
        <w:tc>
          <w:tcPr>
            <w:tcW w:w="288" w:type="dxa"/>
            <w:shd w:val="clear" w:color="auto" w:fill="EEF2F8"/>
          </w:tcPr>
          <w:p w14:paraId="1FD19E2A">
            <w:pPr>
              <w:spacing w:after="0" w:line="240" w:lineRule="auto"/>
              <w:jc w:val="center"/>
            </w:pPr>
          </w:p>
        </w:tc>
      </w:tr>
    </w:tbl>
    <w:p w14:paraId="509C44ED">
      <w:r>
        <w:rPr>
          <w:i/>
          <w:sz w:val="21"/>
        </w:rPr>
        <w:t>Every metric lands inside or better than the paper's std band. As a single-seed run compared against a multi-seed mean, sitting within the band is the intended bar for reproduction.</w:t>
      </w:r>
    </w:p>
    <w:p w14:paraId="7FCB1788">
      <w:r>
        <w:rPr>
          <w:b/>
          <w:color w:val="2A4AA4"/>
          <w:sz w:val="24"/>
        </w:rPr>
        <w:t>4.3  MTGNN  —  PASS (healthy run; formal claim table out of scope)</w:t>
      </w:r>
    </w:p>
    <w:p w14:paraId="279AA5CD">
      <w:r>
        <w:rPr>
          <w:i w:val="0"/>
          <w:sz w:val="21"/>
        </w:rPr>
        <w:t>Dataset: METR-LA, 1 run × 100 epochs. The earlier 10-epoch run was undertrained (MAE flat ≈ 11.5 across horizons). The corrected run shows the expected monotonic error growth with horizon and the correct METR-LA scale, confirming a valid reproduction.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016"/>
        <w:gridCol w:w="2016"/>
        <w:gridCol w:w="2016"/>
      </w:tblGrid>
      <w:tr w14:paraId="4F244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1F3864"/>
          </w:tcPr>
          <w:p w14:paraId="7D02283A">
            <w:pPr>
              <w:spacing w:after="0" w:line="240" w:lineRule="auto"/>
              <w:jc w:val="left"/>
            </w:pPr>
            <w:r>
              <w:rPr>
                <w:b/>
                <w:color w:val="FFFFFF"/>
                <w:sz w:val="19"/>
              </w:rPr>
              <w:t>Horizon</w:t>
            </w:r>
          </w:p>
        </w:tc>
        <w:tc>
          <w:tcPr>
            <w:tcW w:w="2016" w:type="dxa"/>
            <w:shd w:val="clear" w:color="auto" w:fill="1F3864"/>
          </w:tcPr>
          <w:p w14:paraId="1F09C4D3">
            <w:pPr>
              <w:spacing w:after="0" w:line="240" w:lineRule="auto"/>
              <w:jc w:val="center"/>
            </w:pPr>
            <w:r>
              <w:rPr>
                <w:b/>
                <w:color w:val="FFFFFF"/>
                <w:sz w:val="19"/>
              </w:rPr>
              <w:t>MAE</w:t>
            </w:r>
          </w:p>
        </w:tc>
        <w:tc>
          <w:tcPr>
            <w:tcW w:w="2016" w:type="dxa"/>
            <w:shd w:val="clear" w:color="auto" w:fill="1F3864"/>
          </w:tcPr>
          <w:p w14:paraId="00213701">
            <w:pPr>
              <w:spacing w:after="0" w:line="240" w:lineRule="auto"/>
              <w:jc w:val="center"/>
            </w:pPr>
            <w:r>
              <w:rPr>
                <w:b/>
                <w:color w:val="FFFFFF"/>
                <w:sz w:val="19"/>
              </w:rPr>
              <w:t>RMSE</w:t>
            </w:r>
          </w:p>
        </w:tc>
        <w:tc>
          <w:tcPr>
            <w:tcW w:w="2016" w:type="dxa"/>
            <w:shd w:val="clear" w:color="auto" w:fill="1F3864"/>
          </w:tcPr>
          <w:p w14:paraId="7B56F6BF">
            <w:pPr>
              <w:spacing w:after="0" w:line="240" w:lineRule="auto"/>
              <w:jc w:val="center"/>
            </w:pPr>
            <w:r>
              <w:rPr>
                <w:b/>
                <w:color w:val="FFFFFF"/>
                <w:sz w:val="19"/>
              </w:rPr>
              <w:t>MAPE</w:t>
            </w:r>
          </w:p>
        </w:tc>
      </w:tr>
      <w:tr w14:paraId="5CFD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0D13EC9">
            <w:pPr>
              <w:spacing w:after="0" w:line="240" w:lineRule="auto"/>
              <w:jc w:val="left"/>
            </w:pPr>
            <w:r>
              <w:rPr>
                <w:b w:val="0"/>
                <w:sz w:val="19"/>
              </w:rPr>
              <w:t>3 (15 min)</w:t>
            </w:r>
          </w:p>
        </w:tc>
        <w:tc>
          <w:tcPr>
            <w:tcW w:w="2016" w:type="dxa"/>
          </w:tcPr>
          <w:p w14:paraId="44C38067">
            <w:pPr>
              <w:spacing w:after="0" w:line="240" w:lineRule="auto"/>
              <w:jc w:val="center"/>
            </w:pPr>
            <w:r>
              <w:rPr>
                <w:b w:val="0"/>
                <w:sz w:val="19"/>
              </w:rPr>
              <w:t>2.678</w:t>
            </w:r>
          </w:p>
        </w:tc>
        <w:tc>
          <w:tcPr>
            <w:tcW w:w="2016" w:type="dxa"/>
          </w:tcPr>
          <w:p w14:paraId="3E2F1562">
            <w:pPr>
              <w:spacing w:after="0" w:line="240" w:lineRule="auto"/>
              <w:jc w:val="center"/>
            </w:pPr>
            <w:r>
              <w:rPr>
                <w:b w:val="0"/>
                <w:sz w:val="19"/>
              </w:rPr>
              <w:t>5.155</w:t>
            </w:r>
          </w:p>
        </w:tc>
        <w:tc>
          <w:tcPr>
            <w:tcW w:w="2016" w:type="dxa"/>
          </w:tcPr>
          <w:p w14:paraId="2E1E2F24">
            <w:pPr>
              <w:spacing w:after="0" w:line="240" w:lineRule="auto"/>
              <w:jc w:val="center"/>
            </w:pPr>
            <w:r>
              <w:rPr>
                <w:b w:val="0"/>
                <w:sz w:val="19"/>
              </w:rPr>
              <w:t>6.80%</w:t>
            </w:r>
          </w:p>
        </w:tc>
      </w:tr>
      <w:tr w14:paraId="78F3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EF2F8"/>
          </w:tcPr>
          <w:p w14:paraId="5B76C1A6">
            <w:pPr>
              <w:spacing w:after="0" w:line="240" w:lineRule="auto"/>
              <w:jc w:val="left"/>
            </w:pPr>
            <w:r>
              <w:rPr>
                <w:b w:val="0"/>
                <w:sz w:val="19"/>
              </w:rPr>
              <w:t>6 (30 min)</w:t>
            </w:r>
          </w:p>
        </w:tc>
        <w:tc>
          <w:tcPr>
            <w:tcW w:w="2016" w:type="dxa"/>
            <w:shd w:val="clear" w:color="auto" w:fill="EEF2F8"/>
          </w:tcPr>
          <w:p w14:paraId="357EC7B2">
            <w:pPr>
              <w:spacing w:after="0" w:line="240" w:lineRule="auto"/>
              <w:jc w:val="center"/>
            </w:pPr>
            <w:r>
              <w:rPr>
                <w:b w:val="0"/>
                <w:sz w:val="19"/>
              </w:rPr>
              <w:t>3.029</w:t>
            </w:r>
          </w:p>
        </w:tc>
        <w:tc>
          <w:tcPr>
            <w:tcW w:w="2016" w:type="dxa"/>
            <w:shd w:val="clear" w:color="auto" w:fill="EEF2F8"/>
          </w:tcPr>
          <w:p w14:paraId="09D05F53">
            <w:pPr>
              <w:spacing w:after="0" w:line="240" w:lineRule="auto"/>
              <w:jc w:val="center"/>
            </w:pPr>
            <w:r>
              <w:rPr>
                <w:b w:val="0"/>
                <w:sz w:val="19"/>
              </w:rPr>
              <w:t>6.127</w:t>
            </w:r>
          </w:p>
        </w:tc>
        <w:tc>
          <w:tcPr>
            <w:tcW w:w="2016" w:type="dxa"/>
            <w:shd w:val="clear" w:color="auto" w:fill="EEF2F8"/>
          </w:tcPr>
          <w:p w14:paraId="7A1C46E3">
            <w:pPr>
              <w:spacing w:after="0" w:line="240" w:lineRule="auto"/>
              <w:jc w:val="center"/>
            </w:pPr>
            <w:r>
              <w:rPr>
                <w:b w:val="0"/>
                <w:sz w:val="19"/>
              </w:rPr>
              <w:t>8.17%</w:t>
            </w:r>
          </w:p>
        </w:tc>
      </w:tr>
      <w:tr w14:paraId="5FB7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475C1F5">
            <w:pPr>
              <w:spacing w:after="0" w:line="240" w:lineRule="auto"/>
              <w:jc w:val="left"/>
            </w:pPr>
            <w:r>
              <w:rPr>
                <w:b w:val="0"/>
                <w:sz w:val="19"/>
              </w:rPr>
              <w:t>12 (60 min)</w:t>
            </w:r>
          </w:p>
        </w:tc>
        <w:tc>
          <w:tcPr>
            <w:tcW w:w="2016" w:type="dxa"/>
          </w:tcPr>
          <w:p w14:paraId="7679D28C">
            <w:pPr>
              <w:spacing w:after="0" w:line="240" w:lineRule="auto"/>
              <w:jc w:val="center"/>
            </w:pPr>
            <w:r>
              <w:rPr>
                <w:b w:val="0"/>
                <w:sz w:val="19"/>
              </w:rPr>
              <w:t>3.475</w:t>
            </w:r>
          </w:p>
        </w:tc>
        <w:tc>
          <w:tcPr>
            <w:tcW w:w="2016" w:type="dxa"/>
          </w:tcPr>
          <w:p w14:paraId="5646103A">
            <w:pPr>
              <w:spacing w:after="0" w:line="240" w:lineRule="auto"/>
              <w:jc w:val="center"/>
            </w:pPr>
            <w:r>
              <w:rPr>
                <w:b w:val="0"/>
                <w:sz w:val="19"/>
              </w:rPr>
              <w:t>7.184</w:t>
            </w:r>
          </w:p>
        </w:tc>
        <w:tc>
          <w:tcPr>
            <w:tcW w:w="2016" w:type="dxa"/>
          </w:tcPr>
          <w:p w14:paraId="11097C3E">
            <w:pPr>
              <w:spacing w:after="0" w:line="240" w:lineRule="auto"/>
              <w:jc w:val="center"/>
            </w:pPr>
            <w:r>
              <w:rPr>
                <w:b w:val="0"/>
                <w:sz w:val="19"/>
              </w:rPr>
              <w:t>10.02%</w:t>
            </w:r>
          </w:p>
        </w:tc>
      </w:tr>
    </w:tbl>
    <w:p w14:paraId="5DD4604C">
      <w:r>
        <w:rPr>
          <w:i/>
          <w:sz w:val="21"/>
        </w:rPr>
        <w:t>A traffic-forecasting model retained as a generic multivariate-time-series baseline; per project direction, the published-claim comparison table is out of scope for this phase.</w:t>
      </w:r>
    </w:p>
    <w:p w14:paraId="1713F40D">
      <w:r>
        <w:rPr>
          <w:b/>
          <w:color w:val="2A4AA4"/>
          <w:sz w:val="24"/>
        </w:rPr>
        <w:t>4.4  Cola-GNN  —  RERUN NEEDED (horizon mismatch)</w:t>
      </w:r>
    </w:p>
    <w:p w14:paraId="732CFB56">
      <w:r>
        <w:rPr>
          <w:i w:val="0"/>
          <w:sz w:val="21"/>
        </w:rPr>
        <w:t>Run at horizon = 1, but the paper reports Japan-Prefectures only at horizons {2, 3, 5, 10, 15}; there is no h=1 column. The result is healthy and on-trend (it sits just below the h=2 cell, as expected for an easier lead time) but is Not Comparable until re-run at a published horizon.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2133"/>
        <w:gridCol w:w="3041"/>
        <w:gridCol w:w="1934"/>
      </w:tblGrid>
      <w:tr w14:paraId="0BA2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3864"/>
          </w:tcPr>
          <w:p w14:paraId="1CDDEAAA">
            <w:pPr>
              <w:spacing w:after="0" w:line="240" w:lineRule="auto"/>
              <w:jc w:val="left"/>
            </w:pPr>
            <w:r>
              <w:rPr>
                <w:b/>
                <w:color w:val="FFFFFF"/>
                <w:sz w:val="19"/>
              </w:rPr>
              <w:t>Metric</w:t>
            </w:r>
          </w:p>
        </w:tc>
        <w:tc>
          <w:tcPr>
            <w:tcW w:w="2304" w:type="dxa"/>
            <w:shd w:val="clear" w:color="auto" w:fill="1F3864"/>
          </w:tcPr>
          <w:p w14:paraId="16F864AA">
            <w:pPr>
              <w:spacing w:after="0" w:line="240" w:lineRule="auto"/>
              <w:jc w:val="center"/>
            </w:pPr>
            <w:r>
              <w:rPr>
                <w:b/>
                <w:color w:val="FFFFFF"/>
                <w:sz w:val="19"/>
              </w:rPr>
              <w:t>Our run (h=1)</w:t>
            </w:r>
          </w:p>
        </w:tc>
        <w:tc>
          <w:tcPr>
            <w:tcW w:w="3312" w:type="dxa"/>
            <w:shd w:val="clear" w:color="auto" w:fill="1F3864"/>
          </w:tcPr>
          <w:p w14:paraId="51A969D6">
            <w:pPr>
              <w:spacing w:after="0" w:line="240" w:lineRule="auto"/>
              <w:jc w:val="center"/>
            </w:pPr>
            <w:r>
              <w:rPr>
                <w:b/>
                <w:color w:val="FFFFFF"/>
                <w:sz w:val="19"/>
              </w:rPr>
              <w:t>Nearest paper cell (h=2)</w:t>
            </w:r>
          </w:p>
        </w:tc>
        <w:tc>
          <w:tcPr>
            <w:tcW w:w="2016" w:type="dxa"/>
            <w:shd w:val="clear" w:color="auto" w:fill="1F3864"/>
          </w:tcPr>
          <w:p w14:paraId="5A304E10">
            <w:pPr>
              <w:spacing w:after="0" w:line="240" w:lineRule="auto"/>
              <w:jc w:val="center"/>
            </w:pPr>
            <w:r>
              <w:rPr>
                <w:b/>
                <w:color w:val="FFFFFF"/>
                <w:sz w:val="19"/>
              </w:rPr>
              <w:t>Comparable?</w:t>
            </w:r>
          </w:p>
        </w:tc>
      </w:tr>
      <w:tr w14:paraId="1C8FE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E7215E4">
            <w:pPr>
              <w:spacing w:after="0" w:line="240" w:lineRule="auto"/>
              <w:jc w:val="left"/>
            </w:pPr>
            <w:r>
              <w:rPr>
                <w:b w:val="0"/>
                <w:sz w:val="19"/>
              </w:rPr>
              <w:t>RMSE</w:t>
            </w:r>
          </w:p>
        </w:tc>
        <w:tc>
          <w:tcPr>
            <w:tcW w:w="2304" w:type="dxa"/>
          </w:tcPr>
          <w:p w14:paraId="329669A2">
            <w:pPr>
              <w:spacing w:after="0" w:line="240" w:lineRule="auto"/>
              <w:jc w:val="center"/>
            </w:pPr>
            <w:r>
              <w:rPr>
                <w:b w:val="0"/>
                <w:sz w:val="19"/>
              </w:rPr>
              <w:t>705.9</w:t>
            </w:r>
          </w:p>
        </w:tc>
        <w:tc>
          <w:tcPr>
            <w:tcW w:w="3312" w:type="dxa"/>
          </w:tcPr>
          <w:p w14:paraId="7B89AC98">
            <w:pPr>
              <w:spacing w:after="0" w:line="240" w:lineRule="auto"/>
              <w:jc w:val="center"/>
            </w:pPr>
            <w:r>
              <w:rPr>
                <w:b w:val="0"/>
                <w:sz w:val="19"/>
              </w:rPr>
              <w:t>929</w:t>
            </w:r>
          </w:p>
        </w:tc>
        <w:tc>
          <w:tcPr>
            <w:tcW w:w="2016" w:type="dxa"/>
          </w:tcPr>
          <w:p w14:paraId="5167FF0C">
            <w:pPr>
              <w:spacing w:after="0" w:line="240" w:lineRule="auto"/>
              <w:jc w:val="center"/>
            </w:pPr>
            <w:r>
              <w:rPr>
                <w:b/>
                <w:color w:val="B06A00"/>
                <w:sz w:val="19"/>
              </w:rPr>
              <w:t>No (rerun)</w:t>
            </w:r>
          </w:p>
        </w:tc>
      </w:tr>
      <w:tr w14:paraId="118A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EF2F8"/>
          </w:tcPr>
          <w:p w14:paraId="7E0580EB">
            <w:pPr>
              <w:spacing w:after="0" w:line="240" w:lineRule="auto"/>
              <w:jc w:val="left"/>
            </w:pPr>
            <w:r>
              <w:rPr>
                <w:b w:val="0"/>
                <w:sz w:val="19"/>
              </w:rPr>
              <w:t>PCC</w:t>
            </w:r>
          </w:p>
        </w:tc>
        <w:tc>
          <w:tcPr>
            <w:tcW w:w="2304" w:type="dxa"/>
            <w:shd w:val="clear" w:color="auto" w:fill="EEF2F8"/>
          </w:tcPr>
          <w:p w14:paraId="2F51BD95">
            <w:pPr>
              <w:spacing w:after="0" w:line="240" w:lineRule="auto"/>
              <w:jc w:val="center"/>
            </w:pPr>
            <w:r>
              <w:rPr>
                <w:b w:val="0"/>
                <w:sz w:val="19"/>
              </w:rPr>
              <w:t>0.9631</w:t>
            </w:r>
          </w:p>
        </w:tc>
        <w:tc>
          <w:tcPr>
            <w:tcW w:w="3312" w:type="dxa"/>
            <w:shd w:val="clear" w:color="auto" w:fill="EEF2F8"/>
          </w:tcPr>
          <w:p w14:paraId="2D671AA9">
            <w:pPr>
              <w:spacing w:after="0" w:line="240" w:lineRule="auto"/>
              <w:jc w:val="center"/>
            </w:pPr>
            <w:r>
              <w:rPr>
                <w:b w:val="0"/>
                <w:sz w:val="19"/>
              </w:rPr>
              <w:t>0.915</w:t>
            </w:r>
          </w:p>
        </w:tc>
        <w:tc>
          <w:tcPr>
            <w:tcW w:w="2016" w:type="dxa"/>
            <w:shd w:val="clear" w:color="auto" w:fill="EEF2F8"/>
          </w:tcPr>
          <w:p w14:paraId="5D6615AB">
            <w:pPr>
              <w:spacing w:after="0" w:line="240" w:lineRule="auto"/>
              <w:jc w:val="center"/>
            </w:pPr>
            <w:r>
              <w:rPr>
                <w:b/>
                <w:color w:val="B06A00"/>
                <w:sz w:val="19"/>
              </w:rPr>
              <w:t>No (rerun)</w:t>
            </w:r>
          </w:p>
        </w:tc>
      </w:tr>
    </w:tbl>
    <w:p w14:paraId="7A1F6181">
      <w:r>
        <w:rPr>
          <w:b/>
          <w:color w:val="2A4AA4"/>
          <w:sz w:val="24"/>
        </w:rPr>
        <w:t>4.5  HeatGNN  —  RERUN NEEDED (horizon mismatch)</w:t>
      </w:r>
    </w:p>
    <w:p w14:paraId="32FEBB30">
      <w:r>
        <w:rPr>
          <w:i w:val="0"/>
          <w:sz w:val="21"/>
        </w:rPr>
        <w:t>Run at horizon = 1; the paper reports Japan-Prefectures at horizons {2, 5, 7, 12}. The paper expresses Japan RMSE in thousands (e.g. "1.149" = 1149 raw cases), which is why our raw RMSE ≈ 1072 (≈ 1.07×10^3) aligns just under the h=2 value. Re-run required at matching horizons; compare in the same ×10^3 unit.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0"/>
        <w:gridCol w:w="2131"/>
        <w:gridCol w:w="2782"/>
        <w:gridCol w:w="1933"/>
      </w:tblGrid>
      <w:tr w14:paraId="03457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3864"/>
          </w:tcPr>
          <w:p w14:paraId="039607D4">
            <w:pPr>
              <w:spacing w:after="0" w:line="240" w:lineRule="auto"/>
              <w:jc w:val="left"/>
            </w:pPr>
            <w:r>
              <w:rPr>
                <w:b/>
                <w:color w:val="FFFFFF"/>
                <w:sz w:val="19"/>
              </w:rPr>
              <w:t>Metric</w:t>
            </w:r>
          </w:p>
        </w:tc>
        <w:tc>
          <w:tcPr>
            <w:tcW w:w="2304" w:type="dxa"/>
            <w:shd w:val="clear" w:color="auto" w:fill="1F3864"/>
          </w:tcPr>
          <w:p w14:paraId="0D9C48F3">
            <w:pPr>
              <w:spacing w:after="0" w:line="240" w:lineRule="auto"/>
              <w:jc w:val="center"/>
            </w:pPr>
            <w:r>
              <w:rPr>
                <w:b/>
                <w:color w:val="FFFFFF"/>
                <w:sz w:val="19"/>
              </w:rPr>
              <w:t>Our run (h=1)</w:t>
            </w:r>
          </w:p>
        </w:tc>
        <w:tc>
          <w:tcPr>
            <w:tcW w:w="3024" w:type="dxa"/>
            <w:shd w:val="clear" w:color="auto" w:fill="1F3864"/>
          </w:tcPr>
          <w:p w14:paraId="74F50270">
            <w:pPr>
              <w:spacing w:after="0" w:line="240" w:lineRule="auto"/>
              <w:jc w:val="center"/>
            </w:pPr>
            <w:r>
              <w:rPr>
                <w:b/>
                <w:color w:val="FFFFFF"/>
                <w:sz w:val="19"/>
              </w:rPr>
              <w:t>Nearest paper cell (h=2)</w:t>
            </w:r>
          </w:p>
        </w:tc>
        <w:tc>
          <w:tcPr>
            <w:tcW w:w="2016" w:type="dxa"/>
            <w:shd w:val="clear" w:color="auto" w:fill="1F3864"/>
          </w:tcPr>
          <w:p w14:paraId="2B716595">
            <w:pPr>
              <w:spacing w:after="0" w:line="240" w:lineRule="auto"/>
              <w:jc w:val="center"/>
            </w:pPr>
            <w:r>
              <w:rPr>
                <w:b/>
                <w:color w:val="FFFFFF"/>
                <w:sz w:val="19"/>
              </w:rPr>
              <w:t>Comparable?</w:t>
            </w:r>
          </w:p>
        </w:tc>
      </w:tr>
      <w:tr w14:paraId="3293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617DD68">
            <w:pPr>
              <w:spacing w:after="0" w:line="240" w:lineRule="auto"/>
              <w:jc w:val="left"/>
            </w:pPr>
            <w:r>
              <w:rPr>
                <w:b w:val="0"/>
                <w:sz w:val="19"/>
              </w:rPr>
              <w:t>RMSE (×10^3)</w:t>
            </w:r>
          </w:p>
        </w:tc>
        <w:tc>
          <w:tcPr>
            <w:tcW w:w="2304" w:type="dxa"/>
          </w:tcPr>
          <w:p w14:paraId="7F325004">
            <w:pPr>
              <w:spacing w:after="0" w:line="240" w:lineRule="auto"/>
              <w:jc w:val="center"/>
            </w:pPr>
            <w:r>
              <w:rPr>
                <w:b w:val="0"/>
                <w:sz w:val="19"/>
              </w:rPr>
              <w:t>1.072 (1072)</w:t>
            </w:r>
          </w:p>
        </w:tc>
        <w:tc>
          <w:tcPr>
            <w:tcW w:w="3024" w:type="dxa"/>
          </w:tcPr>
          <w:p w14:paraId="2F4CD0D1">
            <w:pPr>
              <w:spacing w:after="0" w:line="240" w:lineRule="auto"/>
              <w:jc w:val="center"/>
            </w:pPr>
            <w:r>
              <w:rPr>
                <w:b w:val="0"/>
                <w:sz w:val="19"/>
              </w:rPr>
              <w:t>1.149 (1149)</w:t>
            </w:r>
          </w:p>
        </w:tc>
        <w:tc>
          <w:tcPr>
            <w:tcW w:w="2016" w:type="dxa"/>
          </w:tcPr>
          <w:p w14:paraId="2BACC554">
            <w:pPr>
              <w:spacing w:after="0" w:line="240" w:lineRule="auto"/>
              <w:jc w:val="center"/>
            </w:pPr>
            <w:r>
              <w:rPr>
                <w:b/>
                <w:color w:val="B06A00"/>
                <w:sz w:val="19"/>
              </w:rPr>
              <w:t>No (rerun)</w:t>
            </w:r>
          </w:p>
        </w:tc>
      </w:tr>
      <w:tr w14:paraId="3C0D5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EF2F8"/>
          </w:tcPr>
          <w:p w14:paraId="3DCACB35">
            <w:pPr>
              <w:spacing w:after="0" w:line="240" w:lineRule="auto"/>
              <w:jc w:val="left"/>
            </w:pPr>
            <w:r>
              <w:rPr>
                <w:b w:val="0"/>
                <w:sz w:val="19"/>
              </w:rPr>
              <w:t>PCC</w:t>
            </w:r>
          </w:p>
        </w:tc>
        <w:tc>
          <w:tcPr>
            <w:tcW w:w="2304" w:type="dxa"/>
            <w:shd w:val="clear" w:color="auto" w:fill="EEF2F8"/>
          </w:tcPr>
          <w:p w14:paraId="781319A3">
            <w:pPr>
              <w:spacing w:after="0" w:line="240" w:lineRule="auto"/>
              <w:jc w:val="center"/>
            </w:pPr>
            <w:r>
              <w:rPr>
                <w:b w:val="0"/>
                <w:sz w:val="19"/>
              </w:rPr>
              <w:t>0.9255</w:t>
            </w:r>
          </w:p>
        </w:tc>
        <w:tc>
          <w:tcPr>
            <w:tcW w:w="3024" w:type="dxa"/>
            <w:shd w:val="clear" w:color="auto" w:fill="EEF2F8"/>
          </w:tcPr>
          <w:p w14:paraId="77384A82">
            <w:pPr>
              <w:spacing w:after="0" w:line="240" w:lineRule="auto"/>
              <w:jc w:val="center"/>
            </w:pPr>
            <w:r>
              <w:rPr>
                <w:b w:val="0"/>
                <w:sz w:val="19"/>
              </w:rPr>
              <w:t>0.917</w:t>
            </w:r>
          </w:p>
        </w:tc>
        <w:tc>
          <w:tcPr>
            <w:tcW w:w="2016" w:type="dxa"/>
            <w:shd w:val="clear" w:color="auto" w:fill="EEF2F8"/>
          </w:tcPr>
          <w:p w14:paraId="5835E042">
            <w:pPr>
              <w:spacing w:after="0" w:line="240" w:lineRule="auto"/>
              <w:jc w:val="center"/>
            </w:pPr>
            <w:r>
              <w:rPr>
                <w:b/>
                <w:color w:val="B06A00"/>
                <w:sz w:val="19"/>
              </w:rPr>
              <w:t>No (rerun)</w:t>
            </w:r>
          </w:p>
        </w:tc>
      </w:tr>
    </w:tbl>
    <w:p w14:paraId="59FF115E">
      <w:r>
        <w:rPr>
          <w:b/>
          <w:color w:val="2A4AA4"/>
          <w:sz w:val="24"/>
        </w:rPr>
        <w:t>4.6  STOEP  —  DISCREPANCY (under review)</w:t>
      </w:r>
    </w:p>
    <w:p w14:paraId="786660FC">
      <w:r>
        <w:rPr>
          <w:i w:val="0"/>
          <w:sz w:val="21"/>
        </w:rPr>
        <w:t>Our run is on the same Japan-COVID pipeline as MepoGNN and returns Overall RMSE 182.9 / MAE 74.7 — consistent in scale with MepoGNN. The STOEP paper table supplied, however, reports Overall RMSE 63.5 / MAE 32.4 using SMAPE (our run logs MAPE) and RAE 0.37 — roughly one-third the scale on a different metric. This indicates the paper table corresponds to a different dataset / metric definition than the shipped Japan-COVID run, so the two cannot yet be placed side by side.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3040"/>
        <w:gridCol w:w="2406"/>
        <w:gridCol w:w="1919"/>
      </w:tblGrid>
      <w:tr w14:paraId="64E18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1F3864"/>
          </w:tcPr>
          <w:p w14:paraId="72329028">
            <w:pPr>
              <w:spacing w:after="0" w:line="240" w:lineRule="auto"/>
              <w:jc w:val="left"/>
            </w:pPr>
            <w:r>
              <w:rPr>
                <w:b/>
                <w:color w:val="FFFFFF"/>
                <w:sz w:val="19"/>
              </w:rPr>
              <w:t>Metric</w:t>
            </w:r>
          </w:p>
        </w:tc>
        <w:tc>
          <w:tcPr>
            <w:tcW w:w="3312" w:type="dxa"/>
            <w:shd w:val="clear" w:color="auto" w:fill="1F3864"/>
          </w:tcPr>
          <w:p w14:paraId="199F3C45">
            <w:pPr>
              <w:spacing w:after="0" w:line="240" w:lineRule="auto"/>
              <w:jc w:val="center"/>
            </w:pPr>
            <w:r>
              <w:rPr>
                <w:b/>
                <w:color w:val="FFFFFF"/>
                <w:sz w:val="19"/>
              </w:rPr>
              <w:t>Our run (Japan-COVID, Overall)</w:t>
            </w:r>
          </w:p>
        </w:tc>
        <w:tc>
          <w:tcPr>
            <w:tcW w:w="2592" w:type="dxa"/>
            <w:shd w:val="clear" w:color="auto" w:fill="1F3864"/>
          </w:tcPr>
          <w:p w14:paraId="66FF5BD9">
            <w:pPr>
              <w:spacing w:after="0" w:line="240" w:lineRule="auto"/>
              <w:jc w:val="center"/>
            </w:pPr>
            <w:r>
              <w:rPr>
                <w:b/>
                <w:color w:val="FFFFFF"/>
                <w:sz w:val="19"/>
              </w:rPr>
              <w:t>Paper table (Overall)</w:t>
            </w:r>
          </w:p>
        </w:tc>
        <w:tc>
          <w:tcPr>
            <w:tcW w:w="2016" w:type="dxa"/>
            <w:shd w:val="clear" w:color="auto" w:fill="1F3864"/>
          </w:tcPr>
          <w:p w14:paraId="40F6E9E6">
            <w:pPr>
              <w:spacing w:after="0" w:line="240" w:lineRule="auto"/>
              <w:jc w:val="center"/>
            </w:pPr>
            <w:r>
              <w:rPr>
                <w:b/>
                <w:color w:val="FFFFFF"/>
                <w:sz w:val="19"/>
              </w:rPr>
              <w:t>Reconciles?</w:t>
            </w:r>
          </w:p>
        </w:tc>
      </w:tr>
      <w:tr w14:paraId="5E6A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912AF7B">
            <w:pPr>
              <w:spacing w:after="0" w:line="240" w:lineRule="auto"/>
              <w:jc w:val="left"/>
            </w:pPr>
            <w:r>
              <w:rPr>
                <w:b w:val="0"/>
                <w:sz w:val="19"/>
              </w:rPr>
              <w:t>RMSE</w:t>
            </w:r>
          </w:p>
        </w:tc>
        <w:tc>
          <w:tcPr>
            <w:tcW w:w="3312" w:type="dxa"/>
          </w:tcPr>
          <w:p w14:paraId="70C05BAF">
            <w:pPr>
              <w:spacing w:after="0" w:line="240" w:lineRule="auto"/>
              <w:jc w:val="center"/>
            </w:pPr>
            <w:r>
              <w:rPr>
                <w:b w:val="0"/>
                <w:sz w:val="19"/>
              </w:rPr>
              <w:t>182.9</w:t>
            </w:r>
          </w:p>
        </w:tc>
        <w:tc>
          <w:tcPr>
            <w:tcW w:w="2592" w:type="dxa"/>
          </w:tcPr>
          <w:p w14:paraId="4E33DD60">
            <w:pPr>
              <w:spacing w:after="0" w:line="240" w:lineRule="auto"/>
              <w:jc w:val="center"/>
            </w:pPr>
            <w:r>
              <w:rPr>
                <w:b w:val="0"/>
                <w:sz w:val="19"/>
              </w:rPr>
              <w:t>63.5</w:t>
            </w:r>
          </w:p>
        </w:tc>
        <w:tc>
          <w:tcPr>
            <w:tcW w:w="2016" w:type="dxa"/>
          </w:tcPr>
          <w:p w14:paraId="3632B986">
            <w:pPr>
              <w:spacing w:after="0" w:line="240" w:lineRule="auto"/>
              <w:jc w:val="center"/>
            </w:pPr>
            <w:r>
              <w:rPr>
                <w:b w:val="0"/>
                <w:sz w:val="19"/>
              </w:rPr>
              <w:t>No</w:t>
            </w:r>
          </w:p>
        </w:tc>
      </w:tr>
      <w:tr w14:paraId="1C7E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EEF2F8"/>
          </w:tcPr>
          <w:p w14:paraId="109E22CF">
            <w:pPr>
              <w:spacing w:after="0" w:line="240" w:lineRule="auto"/>
              <w:jc w:val="left"/>
            </w:pPr>
            <w:r>
              <w:rPr>
                <w:b w:val="0"/>
                <w:sz w:val="19"/>
              </w:rPr>
              <w:t>MAE</w:t>
            </w:r>
          </w:p>
        </w:tc>
        <w:tc>
          <w:tcPr>
            <w:tcW w:w="3312" w:type="dxa"/>
            <w:shd w:val="clear" w:color="auto" w:fill="EEF2F8"/>
          </w:tcPr>
          <w:p w14:paraId="4E266829">
            <w:pPr>
              <w:spacing w:after="0" w:line="240" w:lineRule="auto"/>
              <w:jc w:val="center"/>
            </w:pPr>
            <w:r>
              <w:rPr>
                <w:b w:val="0"/>
                <w:sz w:val="19"/>
              </w:rPr>
              <w:t>74.7</w:t>
            </w:r>
          </w:p>
        </w:tc>
        <w:tc>
          <w:tcPr>
            <w:tcW w:w="2592" w:type="dxa"/>
            <w:shd w:val="clear" w:color="auto" w:fill="EEF2F8"/>
          </w:tcPr>
          <w:p w14:paraId="098D87A8">
            <w:pPr>
              <w:spacing w:after="0" w:line="240" w:lineRule="auto"/>
              <w:jc w:val="center"/>
            </w:pPr>
            <w:r>
              <w:rPr>
                <w:b w:val="0"/>
                <w:sz w:val="19"/>
              </w:rPr>
              <w:t>32.4</w:t>
            </w:r>
          </w:p>
        </w:tc>
        <w:tc>
          <w:tcPr>
            <w:tcW w:w="2016" w:type="dxa"/>
            <w:shd w:val="clear" w:color="auto" w:fill="EEF2F8"/>
          </w:tcPr>
          <w:p w14:paraId="14FBC4B8">
            <w:pPr>
              <w:spacing w:after="0" w:line="240" w:lineRule="auto"/>
              <w:jc w:val="center"/>
            </w:pPr>
            <w:r>
              <w:rPr>
                <w:b w:val="0"/>
                <w:sz w:val="19"/>
              </w:rPr>
              <w:t>No</w:t>
            </w:r>
          </w:p>
        </w:tc>
      </w:tr>
      <w:tr w14:paraId="51946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F4844CE">
            <w:pPr>
              <w:spacing w:after="0" w:line="240" w:lineRule="auto"/>
              <w:jc w:val="left"/>
            </w:pPr>
            <w:r>
              <w:rPr>
                <w:b w:val="0"/>
                <w:sz w:val="19"/>
              </w:rPr>
              <w:t>Error</w:t>
            </w:r>
          </w:p>
        </w:tc>
        <w:tc>
          <w:tcPr>
            <w:tcW w:w="3312" w:type="dxa"/>
          </w:tcPr>
          <w:p w14:paraId="05191AE2">
            <w:pPr>
              <w:spacing w:after="0" w:line="240" w:lineRule="auto"/>
              <w:jc w:val="center"/>
            </w:pPr>
            <w:r>
              <w:rPr>
                <w:b w:val="0"/>
                <w:sz w:val="19"/>
              </w:rPr>
              <w:t>MAPE 47.6%</w:t>
            </w:r>
          </w:p>
        </w:tc>
        <w:tc>
          <w:tcPr>
            <w:tcW w:w="2592" w:type="dxa"/>
          </w:tcPr>
          <w:p w14:paraId="0FC31429">
            <w:pPr>
              <w:spacing w:after="0" w:line="240" w:lineRule="auto"/>
              <w:jc w:val="center"/>
            </w:pPr>
            <w:r>
              <w:rPr>
                <w:b w:val="0"/>
                <w:sz w:val="19"/>
              </w:rPr>
              <w:t>SMAPE 38.8</w:t>
            </w:r>
          </w:p>
        </w:tc>
        <w:tc>
          <w:tcPr>
            <w:tcW w:w="2016" w:type="dxa"/>
          </w:tcPr>
          <w:p w14:paraId="53F3533E">
            <w:pPr>
              <w:spacing w:after="0" w:line="240" w:lineRule="auto"/>
              <w:jc w:val="center"/>
            </w:pPr>
            <w:r>
              <w:rPr>
                <w:b w:val="0"/>
                <w:sz w:val="19"/>
              </w:rPr>
              <w:t>Different metric</w:t>
            </w:r>
          </w:p>
        </w:tc>
      </w:tr>
      <w:tr w14:paraId="2BFB0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EEF2F8"/>
          </w:tcPr>
          <w:p w14:paraId="04293053">
            <w:pPr>
              <w:spacing w:after="0" w:line="240" w:lineRule="auto"/>
              <w:jc w:val="left"/>
            </w:pPr>
            <w:r>
              <w:rPr>
                <w:b w:val="0"/>
                <w:sz w:val="19"/>
              </w:rPr>
              <w:t>RAE</w:t>
            </w:r>
          </w:p>
        </w:tc>
        <w:tc>
          <w:tcPr>
            <w:tcW w:w="3312" w:type="dxa"/>
            <w:shd w:val="clear" w:color="auto" w:fill="EEF2F8"/>
          </w:tcPr>
          <w:p w14:paraId="36977B65">
            <w:pPr>
              <w:spacing w:after="0" w:line="240" w:lineRule="auto"/>
              <w:jc w:val="center"/>
            </w:pPr>
            <w:r>
              <w:rPr>
                <w:b w:val="0"/>
                <w:sz w:val="19"/>
              </w:rPr>
              <w:t>0.224</w:t>
            </w:r>
          </w:p>
        </w:tc>
        <w:tc>
          <w:tcPr>
            <w:tcW w:w="2592" w:type="dxa"/>
            <w:shd w:val="clear" w:color="auto" w:fill="EEF2F8"/>
          </w:tcPr>
          <w:p w14:paraId="2BCBFB00">
            <w:pPr>
              <w:spacing w:after="0" w:line="240" w:lineRule="auto"/>
              <w:jc w:val="center"/>
            </w:pPr>
            <w:r>
              <w:rPr>
                <w:b w:val="0"/>
                <w:sz w:val="19"/>
              </w:rPr>
              <w:t>0.37</w:t>
            </w:r>
          </w:p>
        </w:tc>
        <w:tc>
          <w:tcPr>
            <w:tcW w:w="2016" w:type="dxa"/>
            <w:shd w:val="clear" w:color="auto" w:fill="EEF2F8"/>
          </w:tcPr>
          <w:p w14:paraId="0BAE055E">
            <w:pPr>
              <w:spacing w:after="0" w:line="240" w:lineRule="auto"/>
              <w:jc w:val="center"/>
            </w:pPr>
            <w:r>
              <w:rPr>
                <w:b w:val="0"/>
                <w:sz w:val="19"/>
              </w:rPr>
              <w:t>No</w:t>
            </w:r>
          </w:p>
        </w:tc>
      </w:tr>
    </w:tbl>
    <w:p w14:paraId="7F45F904">
      <w:r>
        <w:rPr>
          <w:i/>
          <w:sz w:val="21"/>
        </w:rPr>
        <w:t>Action: confirm what the four column-blocks of the STOEP paper table represent (horizons vs datasets) and which, if any, corresponds to the shipped Japan-COVID data. Note: STOEP vs MepoGNN on our own runs is a fully valid head-to-head (identical data and metric code) — MepoGNN(Dyn) wins on every metric (RMSE 181.4 vs 182.9; MAE 70.9 vs 74.7).</w:t>
      </w:r>
    </w:p>
    <w:p w14:paraId="77BED505">
      <w:r>
        <w:rPr>
          <w:b/>
          <w:color w:val="2A4AA4"/>
          <w:sz w:val="24"/>
        </w:rPr>
        <w:t>4.7  LTGCN-GTGCN  —  Own experiment (no external claim)</w:t>
      </w:r>
    </w:p>
    <w:p w14:paraId="6FFFB793">
      <w:r>
        <w:rPr>
          <w:i w:val="0"/>
          <w:sz w:val="21"/>
        </w:rPr>
        <w:t>Executed via  python main.py --all-brazil  on the project's own Brazil/Spain COVID data. This is an in-house experiment suite rather than a reproduction of a published baseline, so there is no external claim to check against. Its aggregated metrics (outputs/comparison_metrics_brazil.csv, 24 experiments) are treated as first-party results and carried directly into the project's results tables.</w:t>
      </w:r>
    </w:p>
    <w:p w14:paraId="335FC415">
      <w:r>
        <w:br w:type="page"/>
      </w:r>
    </w:p>
    <w:p w14:paraId="406B2412">
      <w:r>
        <w:rPr>
          <w:b/>
          <w:color w:val="1F3864"/>
          <w:sz w:val="30"/>
        </w:rPr>
        <w:t>5.  Summary Scorecard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2526"/>
        <w:gridCol w:w="1776"/>
        <w:gridCol w:w="2673"/>
      </w:tblGrid>
      <w:tr w14:paraId="645C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3864"/>
          </w:tcPr>
          <w:p w14:paraId="45E9D349">
            <w:pPr>
              <w:spacing w:after="0" w:line="240" w:lineRule="auto"/>
              <w:jc w:val="left"/>
            </w:pPr>
            <w:r>
              <w:rPr>
                <w:b/>
                <w:color w:val="FFFFFF"/>
                <w:sz w:val="19"/>
              </w:rPr>
              <w:t>Model</w:t>
            </w:r>
          </w:p>
        </w:tc>
        <w:tc>
          <w:tcPr>
            <w:tcW w:w="2736" w:type="dxa"/>
            <w:shd w:val="clear" w:color="auto" w:fill="1F3864"/>
          </w:tcPr>
          <w:p w14:paraId="6ED4F096">
            <w:pPr>
              <w:spacing w:after="0" w:line="240" w:lineRule="auto"/>
              <w:jc w:val="center"/>
            </w:pPr>
            <w:r>
              <w:rPr>
                <w:b/>
                <w:color w:val="FFFFFF"/>
                <w:sz w:val="19"/>
              </w:rPr>
              <w:t>Dataset / horizon</w:t>
            </w:r>
          </w:p>
        </w:tc>
        <w:tc>
          <w:tcPr>
            <w:tcW w:w="1872" w:type="dxa"/>
            <w:shd w:val="clear" w:color="auto" w:fill="1F3864"/>
          </w:tcPr>
          <w:p w14:paraId="7E19F8FA">
            <w:pPr>
              <w:spacing w:after="0" w:line="240" w:lineRule="auto"/>
              <w:jc w:val="center"/>
            </w:pPr>
            <w:r>
              <w:rPr>
                <w:b/>
                <w:color w:val="FFFFFF"/>
                <w:sz w:val="19"/>
              </w:rPr>
              <w:t>Outcome</w:t>
            </w:r>
          </w:p>
        </w:tc>
        <w:tc>
          <w:tcPr>
            <w:tcW w:w="2880" w:type="dxa"/>
            <w:shd w:val="clear" w:color="auto" w:fill="1F3864"/>
          </w:tcPr>
          <w:p w14:paraId="4D918555">
            <w:pPr>
              <w:spacing w:after="0" w:line="240" w:lineRule="auto"/>
              <w:jc w:val="center"/>
            </w:pPr>
            <w:r>
              <w:rPr>
                <w:b/>
                <w:color w:val="FFFFFF"/>
                <w:sz w:val="19"/>
              </w:rPr>
              <w:t>Note</w:t>
            </w:r>
          </w:p>
        </w:tc>
      </w:tr>
      <w:tr w14:paraId="288D1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E178302">
            <w:pPr>
              <w:spacing w:after="0" w:line="240" w:lineRule="auto"/>
              <w:jc w:val="left"/>
            </w:pPr>
            <w:r>
              <w:rPr>
                <w:b w:val="0"/>
                <w:sz w:val="19"/>
              </w:rPr>
              <w:t>EpiGNN</w:t>
            </w:r>
          </w:p>
        </w:tc>
        <w:tc>
          <w:tcPr>
            <w:tcW w:w="2736" w:type="dxa"/>
          </w:tcPr>
          <w:p w14:paraId="2B3C5857">
            <w:pPr>
              <w:spacing w:after="0" w:line="240" w:lineRule="auto"/>
              <w:jc w:val="center"/>
            </w:pPr>
            <w:r>
              <w:rPr>
                <w:b w:val="0"/>
                <w:sz w:val="19"/>
              </w:rPr>
              <w:t>US-Regions, h=5</w:t>
            </w:r>
          </w:p>
        </w:tc>
        <w:tc>
          <w:tcPr>
            <w:tcW w:w="1872" w:type="dxa"/>
          </w:tcPr>
          <w:p w14:paraId="182E382C">
            <w:pPr>
              <w:spacing w:after="0" w:line="240" w:lineRule="auto"/>
              <w:jc w:val="center"/>
            </w:pPr>
            <w:r>
              <w:rPr>
                <w:b/>
                <w:color w:val="1E7A3C"/>
                <w:sz w:val="19"/>
              </w:rPr>
              <w:t>PASS</w:t>
            </w:r>
          </w:p>
        </w:tc>
        <w:tc>
          <w:tcPr>
            <w:tcW w:w="2880" w:type="dxa"/>
          </w:tcPr>
          <w:p w14:paraId="4A30D3D3">
            <w:pPr>
              <w:spacing w:after="0" w:line="240" w:lineRule="auto"/>
              <w:jc w:val="center"/>
            </w:pPr>
            <w:r>
              <w:rPr>
                <w:b w:val="0"/>
                <w:sz w:val="19"/>
              </w:rPr>
              <w:t>Within ~1%, marginally better</w:t>
            </w:r>
          </w:p>
        </w:tc>
      </w:tr>
      <w:tr w14:paraId="2A4F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EF2F8"/>
          </w:tcPr>
          <w:p w14:paraId="776A1D32">
            <w:pPr>
              <w:spacing w:after="0" w:line="240" w:lineRule="auto"/>
              <w:jc w:val="left"/>
            </w:pPr>
            <w:r>
              <w:rPr>
                <w:b w:val="0"/>
                <w:sz w:val="19"/>
              </w:rPr>
              <w:t>MepoGNN (Dyn)</w:t>
            </w:r>
          </w:p>
        </w:tc>
        <w:tc>
          <w:tcPr>
            <w:tcW w:w="2736" w:type="dxa"/>
            <w:shd w:val="clear" w:color="auto" w:fill="EEF2F8"/>
          </w:tcPr>
          <w:p w14:paraId="6D2952BB">
            <w:pPr>
              <w:spacing w:after="0" w:line="240" w:lineRule="auto"/>
              <w:jc w:val="center"/>
            </w:pPr>
            <w:r>
              <w:rPr>
                <w:b w:val="0"/>
                <w:sz w:val="19"/>
              </w:rPr>
              <w:t>Japan-COVID, 3/7/14</w:t>
            </w:r>
          </w:p>
        </w:tc>
        <w:tc>
          <w:tcPr>
            <w:tcW w:w="1872" w:type="dxa"/>
            <w:shd w:val="clear" w:color="auto" w:fill="EEF2F8"/>
          </w:tcPr>
          <w:p w14:paraId="5623EA5C">
            <w:pPr>
              <w:spacing w:after="0" w:line="240" w:lineRule="auto"/>
              <w:jc w:val="center"/>
            </w:pPr>
            <w:r>
              <w:rPr>
                <w:b/>
                <w:color w:val="1E7A3C"/>
                <w:sz w:val="19"/>
              </w:rPr>
              <w:t>PASS</w:t>
            </w:r>
          </w:p>
        </w:tc>
        <w:tc>
          <w:tcPr>
            <w:tcW w:w="2880" w:type="dxa"/>
            <w:shd w:val="clear" w:color="auto" w:fill="EEF2F8"/>
          </w:tcPr>
          <w:p w14:paraId="03EE1EB9">
            <w:pPr>
              <w:spacing w:after="0" w:line="240" w:lineRule="auto"/>
              <w:jc w:val="center"/>
            </w:pPr>
            <w:r>
              <w:rPr>
                <w:b w:val="0"/>
                <w:sz w:val="19"/>
              </w:rPr>
              <w:t>Within / better than std bands</w:t>
            </w:r>
          </w:p>
        </w:tc>
      </w:tr>
      <w:tr w14:paraId="265C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7E92ACD">
            <w:pPr>
              <w:spacing w:after="0" w:line="240" w:lineRule="auto"/>
              <w:jc w:val="left"/>
            </w:pPr>
            <w:r>
              <w:rPr>
                <w:b w:val="0"/>
                <w:sz w:val="19"/>
              </w:rPr>
              <w:t>MTGNN</w:t>
            </w:r>
          </w:p>
        </w:tc>
        <w:tc>
          <w:tcPr>
            <w:tcW w:w="2736" w:type="dxa"/>
          </w:tcPr>
          <w:p w14:paraId="414306DE">
            <w:pPr>
              <w:spacing w:after="0" w:line="240" w:lineRule="auto"/>
              <w:jc w:val="center"/>
            </w:pPr>
            <w:r>
              <w:rPr>
                <w:b w:val="0"/>
                <w:sz w:val="19"/>
              </w:rPr>
              <w:t>METR-LA, h=3/6/12</w:t>
            </w:r>
          </w:p>
        </w:tc>
        <w:tc>
          <w:tcPr>
            <w:tcW w:w="1872" w:type="dxa"/>
          </w:tcPr>
          <w:p w14:paraId="24E96F54">
            <w:pPr>
              <w:spacing w:after="0" w:line="240" w:lineRule="auto"/>
              <w:jc w:val="center"/>
            </w:pPr>
            <w:r>
              <w:rPr>
                <w:b/>
                <w:color w:val="1E7A3C"/>
                <w:sz w:val="19"/>
              </w:rPr>
              <w:t>PASS</w:t>
            </w:r>
          </w:p>
        </w:tc>
        <w:tc>
          <w:tcPr>
            <w:tcW w:w="2880" w:type="dxa"/>
          </w:tcPr>
          <w:p w14:paraId="326CA97F">
            <w:pPr>
              <w:spacing w:after="0" w:line="240" w:lineRule="auto"/>
              <w:jc w:val="center"/>
            </w:pPr>
            <w:r>
              <w:rPr>
                <w:b w:val="0"/>
                <w:sz w:val="19"/>
              </w:rPr>
              <w:t>Healthy run; claim table out of scope</w:t>
            </w:r>
          </w:p>
        </w:tc>
      </w:tr>
      <w:tr w14:paraId="46DF0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EF2F8"/>
          </w:tcPr>
          <w:p w14:paraId="7CB9C95A">
            <w:pPr>
              <w:spacing w:after="0" w:line="240" w:lineRule="auto"/>
              <w:jc w:val="left"/>
            </w:pPr>
            <w:r>
              <w:rPr>
                <w:b w:val="0"/>
                <w:sz w:val="19"/>
              </w:rPr>
              <w:t>LTGCN-GTGCN</w:t>
            </w:r>
          </w:p>
        </w:tc>
        <w:tc>
          <w:tcPr>
            <w:tcW w:w="2736" w:type="dxa"/>
            <w:shd w:val="clear" w:color="auto" w:fill="EEF2F8"/>
          </w:tcPr>
          <w:p w14:paraId="389DCDC2">
            <w:pPr>
              <w:spacing w:after="0" w:line="240" w:lineRule="auto"/>
              <w:jc w:val="center"/>
            </w:pPr>
            <w:r>
              <w:rPr>
                <w:b w:val="0"/>
                <w:sz w:val="19"/>
              </w:rPr>
              <w:t>Brazil/Spain (own)</w:t>
            </w:r>
          </w:p>
        </w:tc>
        <w:tc>
          <w:tcPr>
            <w:tcW w:w="1872" w:type="dxa"/>
            <w:shd w:val="clear" w:color="auto" w:fill="EEF2F8"/>
          </w:tcPr>
          <w:p w14:paraId="43E903C5">
            <w:pPr>
              <w:spacing w:after="0" w:line="240" w:lineRule="auto"/>
              <w:jc w:val="center"/>
            </w:pPr>
            <w:r>
              <w:rPr>
                <w:b/>
                <w:color w:val="595959"/>
                <w:sz w:val="19"/>
              </w:rPr>
              <w:t>Own</w:t>
            </w:r>
          </w:p>
        </w:tc>
        <w:tc>
          <w:tcPr>
            <w:tcW w:w="2880" w:type="dxa"/>
            <w:shd w:val="clear" w:color="auto" w:fill="EEF2F8"/>
          </w:tcPr>
          <w:p w14:paraId="249C78AE">
            <w:pPr>
              <w:spacing w:after="0" w:line="240" w:lineRule="auto"/>
              <w:jc w:val="center"/>
            </w:pPr>
            <w:r>
              <w:rPr>
                <w:b w:val="0"/>
                <w:sz w:val="19"/>
              </w:rPr>
              <w:t>First-party; no external claim</w:t>
            </w:r>
          </w:p>
        </w:tc>
      </w:tr>
      <w:tr w14:paraId="55C08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205CF9B">
            <w:pPr>
              <w:spacing w:after="0" w:line="240" w:lineRule="auto"/>
              <w:jc w:val="left"/>
            </w:pPr>
            <w:r>
              <w:rPr>
                <w:b w:val="0"/>
                <w:sz w:val="19"/>
              </w:rPr>
              <w:t>Cola-GNN</w:t>
            </w:r>
          </w:p>
        </w:tc>
        <w:tc>
          <w:tcPr>
            <w:tcW w:w="2736" w:type="dxa"/>
          </w:tcPr>
          <w:p w14:paraId="6DDECA46">
            <w:pPr>
              <w:spacing w:after="0" w:line="240" w:lineRule="auto"/>
              <w:jc w:val="center"/>
            </w:pPr>
            <w:r>
              <w:rPr>
                <w:b w:val="0"/>
                <w:sz w:val="19"/>
              </w:rPr>
              <w:t>Japan, ran h=1</w:t>
            </w:r>
          </w:p>
        </w:tc>
        <w:tc>
          <w:tcPr>
            <w:tcW w:w="1872" w:type="dxa"/>
          </w:tcPr>
          <w:p w14:paraId="416EEB3C">
            <w:pPr>
              <w:spacing w:after="0" w:line="240" w:lineRule="auto"/>
              <w:jc w:val="center"/>
            </w:pPr>
            <w:r>
              <w:rPr>
                <w:b/>
                <w:color w:val="B06A00"/>
                <w:sz w:val="19"/>
              </w:rPr>
              <w:t>Rerun needed</w:t>
            </w:r>
          </w:p>
        </w:tc>
        <w:tc>
          <w:tcPr>
            <w:tcW w:w="2880" w:type="dxa"/>
          </w:tcPr>
          <w:p w14:paraId="4AAC3FFC">
            <w:pPr>
              <w:spacing w:after="0" w:line="240" w:lineRule="auto"/>
              <w:jc w:val="center"/>
            </w:pPr>
            <w:r>
              <w:rPr>
                <w:b w:val="0"/>
                <w:sz w:val="19"/>
              </w:rPr>
              <w:t>Paper horizons {2,3,5,10,15}</w:t>
            </w:r>
          </w:p>
        </w:tc>
      </w:tr>
      <w:tr w14:paraId="739E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EF2F8"/>
          </w:tcPr>
          <w:p w14:paraId="3EB38BD6">
            <w:pPr>
              <w:spacing w:after="0" w:line="240" w:lineRule="auto"/>
              <w:jc w:val="left"/>
            </w:pPr>
            <w:r>
              <w:rPr>
                <w:b w:val="0"/>
                <w:sz w:val="19"/>
              </w:rPr>
              <w:t>HeatGNN</w:t>
            </w:r>
          </w:p>
        </w:tc>
        <w:tc>
          <w:tcPr>
            <w:tcW w:w="2736" w:type="dxa"/>
            <w:shd w:val="clear" w:color="auto" w:fill="EEF2F8"/>
          </w:tcPr>
          <w:p w14:paraId="6B16982A">
            <w:pPr>
              <w:spacing w:after="0" w:line="240" w:lineRule="auto"/>
              <w:jc w:val="center"/>
            </w:pPr>
            <w:r>
              <w:rPr>
                <w:b w:val="0"/>
                <w:sz w:val="19"/>
              </w:rPr>
              <w:t>Japan, ran h=1</w:t>
            </w:r>
          </w:p>
        </w:tc>
        <w:tc>
          <w:tcPr>
            <w:tcW w:w="1872" w:type="dxa"/>
            <w:shd w:val="clear" w:color="auto" w:fill="EEF2F8"/>
          </w:tcPr>
          <w:p w14:paraId="4FD8971D">
            <w:pPr>
              <w:spacing w:after="0" w:line="240" w:lineRule="auto"/>
              <w:jc w:val="center"/>
            </w:pPr>
            <w:r>
              <w:rPr>
                <w:b/>
                <w:color w:val="B06A00"/>
                <w:sz w:val="19"/>
              </w:rPr>
              <w:t>Rerun needed</w:t>
            </w:r>
          </w:p>
        </w:tc>
        <w:tc>
          <w:tcPr>
            <w:tcW w:w="2880" w:type="dxa"/>
            <w:shd w:val="clear" w:color="auto" w:fill="EEF2F8"/>
          </w:tcPr>
          <w:p w14:paraId="6513339D">
            <w:pPr>
              <w:spacing w:after="0" w:line="240" w:lineRule="auto"/>
              <w:jc w:val="center"/>
            </w:pPr>
            <w:r>
              <w:rPr>
                <w:b w:val="0"/>
                <w:sz w:val="19"/>
              </w:rPr>
              <w:t>Paper horizons {2,5,7,12}</w:t>
            </w:r>
          </w:p>
        </w:tc>
      </w:tr>
      <w:tr w14:paraId="61C32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F6BEB78">
            <w:pPr>
              <w:spacing w:after="0" w:line="240" w:lineRule="auto"/>
              <w:jc w:val="left"/>
            </w:pPr>
            <w:r>
              <w:rPr>
                <w:b w:val="0"/>
                <w:sz w:val="19"/>
              </w:rPr>
              <w:t>STOEP</w:t>
            </w:r>
          </w:p>
        </w:tc>
        <w:tc>
          <w:tcPr>
            <w:tcW w:w="2736" w:type="dxa"/>
          </w:tcPr>
          <w:p w14:paraId="76838F23">
            <w:pPr>
              <w:spacing w:after="0" w:line="240" w:lineRule="auto"/>
              <w:jc w:val="center"/>
            </w:pPr>
            <w:r>
              <w:rPr>
                <w:b w:val="0"/>
                <w:sz w:val="19"/>
              </w:rPr>
              <w:t>Japan-COVID</w:t>
            </w:r>
          </w:p>
        </w:tc>
        <w:tc>
          <w:tcPr>
            <w:tcW w:w="1872" w:type="dxa"/>
          </w:tcPr>
          <w:p w14:paraId="27F22EDA">
            <w:pPr>
              <w:spacing w:after="0" w:line="240" w:lineRule="auto"/>
              <w:jc w:val="center"/>
            </w:pPr>
            <w:r>
              <w:rPr>
                <w:b/>
                <w:color w:val="A42A2A"/>
                <w:sz w:val="19"/>
              </w:rPr>
              <w:t>Discrepancy</w:t>
            </w:r>
          </w:p>
        </w:tc>
        <w:tc>
          <w:tcPr>
            <w:tcW w:w="2880" w:type="dxa"/>
          </w:tcPr>
          <w:p w14:paraId="460DC938">
            <w:pPr>
              <w:spacing w:after="0" w:line="240" w:lineRule="auto"/>
              <w:jc w:val="center"/>
            </w:pPr>
            <w:r>
              <w:rPr>
                <w:b w:val="0"/>
                <w:sz w:val="19"/>
              </w:rPr>
              <w:t>Paper table ≠ run dataset/metric</w:t>
            </w:r>
          </w:p>
        </w:tc>
      </w:tr>
      <w:tr w14:paraId="5170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EF2F8"/>
          </w:tcPr>
          <w:p w14:paraId="305987FA">
            <w:pPr>
              <w:spacing w:after="0" w:line="240" w:lineRule="auto"/>
              <w:jc w:val="left"/>
            </w:pPr>
            <w:r>
              <w:rPr>
                <w:b w:val="0"/>
                <w:sz w:val="19"/>
              </w:rPr>
              <w:t>MSGNN</w:t>
            </w:r>
          </w:p>
        </w:tc>
        <w:tc>
          <w:tcPr>
            <w:tcW w:w="2736" w:type="dxa"/>
            <w:shd w:val="clear" w:color="auto" w:fill="EEF2F8"/>
          </w:tcPr>
          <w:p w14:paraId="453B2EA2">
            <w:pPr>
              <w:spacing w:after="0" w:line="240" w:lineRule="auto"/>
              <w:jc w:val="center"/>
            </w:pPr>
            <w:r>
              <w:rPr>
                <w:b w:val="0"/>
                <w:sz w:val="19"/>
              </w:rPr>
              <w:t>Google/CSSE</w:t>
            </w:r>
          </w:p>
        </w:tc>
        <w:tc>
          <w:tcPr>
            <w:tcW w:w="1872" w:type="dxa"/>
            <w:shd w:val="clear" w:color="auto" w:fill="EEF2F8"/>
          </w:tcPr>
          <w:p w14:paraId="5D1C80ED">
            <w:pPr>
              <w:spacing w:after="0" w:line="240" w:lineRule="auto"/>
              <w:jc w:val="center"/>
            </w:pPr>
            <w:r>
              <w:rPr>
                <w:b/>
                <w:color w:val="A42A2A"/>
                <w:sz w:val="19"/>
              </w:rPr>
              <w:t>Not run</w:t>
            </w:r>
          </w:p>
        </w:tc>
        <w:tc>
          <w:tcPr>
            <w:tcW w:w="2880" w:type="dxa"/>
            <w:shd w:val="clear" w:color="auto" w:fill="EEF2F8"/>
          </w:tcPr>
          <w:p w14:paraId="0E3B62E9">
            <w:pPr>
              <w:spacing w:after="0" w:line="240" w:lineRule="auto"/>
              <w:jc w:val="center"/>
            </w:pPr>
            <w:r>
              <w:rPr>
                <w:b w:val="0"/>
                <w:sz w:val="19"/>
              </w:rPr>
              <w:t>CUDA 10.1 / Linux only</w:t>
            </w:r>
          </w:p>
        </w:tc>
      </w:tr>
    </w:tbl>
    <w:p w14:paraId="687B11E6">
      <w:r>
        <w:rPr>
          <w:b/>
          <w:color w:val="1F3864"/>
          <w:sz w:val="30"/>
        </w:rPr>
        <w:t>6.  Threats to Validity</w:t>
      </w:r>
    </w:p>
    <w:p w14:paraId="0818AD44">
      <w:pPr>
        <w:pStyle w:val="24"/>
      </w:pPr>
      <w:r>
        <w:rPr>
          <w:sz w:val="21"/>
        </w:rPr>
        <w:t>Horizon consistency: Cola-GNN and HeatGNN were run at h=1 while their papers (and MepoGNN) report h ≥ 2. The forecast horizon must be standardised across all epidemic models before any comparison table is finalised.</w:t>
      </w:r>
    </w:p>
    <w:p w14:paraId="38BF3F69">
      <w:pPr>
        <w:pStyle w:val="24"/>
      </w:pPr>
      <w:r>
        <w:rPr>
          <w:sz w:val="21"/>
        </w:rPr>
        <w:t>Metric definitions: global vs per-region RMSE, MAPE-fraction vs percent-points, and MAPE vs SMAPE each caused an apparent mismatch until reconciled; these must be normalised in the aggregation step.</w:t>
      </w:r>
    </w:p>
    <w:p w14:paraId="186D2C5B">
      <w:pPr>
        <w:pStyle w:val="24"/>
      </w:pPr>
      <w:r>
        <w:rPr>
          <w:sz w:val="21"/>
        </w:rPr>
        <w:t>STOEP dataset provenance: the supplied paper table does not correspond to the shipped Japan-COVID run and is unresolved pending author-table clarification.</w:t>
      </w:r>
    </w:p>
    <w:p w14:paraId="3F876274">
      <w:pPr>
        <w:pStyle w:val="24"/>
      </w:pPr>
      <w:r>
        <w:rPr>
          <w:sz w:val="21"/>
        </w:rPr>
        <w:t>Single-seed runs: reproductions here use one seed; final reporting should average multiple seeds to match the papers' mean ± std protocol (as MTGNN's --runs and MepoGNN's std bands imply).</w:t>
      </w:r>
    </w:p>
    <w:p w14:paraId="41164B94">
      <w:pPr>
        <w:pStyle w:val="24"/>
      </w:pPr>
      <w:r>
        <w:rPr>
          <w:sz w:val="21"/>
        </w:rPr>
        <w:t>MSGNN coverage gap: the multi-scale baseline is absent on Windows and must be run under Linux/WSL for completeness.</w:t>
      </w:r>
      <w:r>
        <w:rPr>
          <w:sz w:val="21"/>
        </w:rPr>
        <w:br w:type="textWrapping"/>
      </w:r>
    </w:p>
    <w:p w14:paraId="6394AE66">
      <w:pPr>
        <w:pStyle w:val="3"/>
        <w:bidi w:val="0"/>
      </w:pPr>
      <w:r>
        <w:rPr>
          <w:b/>
          <w:color w:val="1F3864"/>
          <w:sz w:val="30"/>
        </w:rPr>
        <w:t xml:space="preserve">7.  </w:t>
      </w:r>
      <w:r>
        <w:rPr>
          <w:lang w:val="en-US" w:eastAsia="zh-CN"/>
        </w:rPr>
        <w:t>List of Final Reseach papers for Comparison and Evaluation</w:t>
      </w:r>
    </w:p>
    <w:p w14:paraId="660DE7D5">
      <w:pPr>
        <w:jc w:val="both"/>
        <w:rPr>
          <w:rFonts w:hint="default"/>
          <w:lang w:val="en-US"/>
        </w:rPr>
      </w:pPr>
      <w:r>
        <w:rPr>
          <w:rFonts w:hint="default"/>
          <w:lang w:val="en-US"/>
        </w:rPr>
        <w:t>Finalized the list of literature and research papers that align with the project requirements and model:</w:t>
      </w:r>
    </w:p>
    <w:p w14:paraId="2A88077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jc w:val="left"/>
        <w:rPr>
          <w:b w:val="0"/>
          <w:bCs w:val="0"/>
          <w:color w:val="1D1C1D"/>
        </w:rPr>
      </w:pP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"https://arxiv.org/pdf/2411.17372v2"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Epidemiology-informed Graph Neural Network for Heterogeneity-aware Epidemic Forecasting</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ab/>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"https://anonymous.4open.science/r/HeatGNN-14DB/src/train.py"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Source Code</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t xml:space="preserve"> </w:t>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 xml:space="preserve">2. </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"https://pmc.ncbi.nlm.nih.gov/articles/PMC13255379/" \l "notes3"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Spatio-temporal epidemic forecasting with graph-based transformer</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ab/>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"https://github.com/mobyous/LTGCN-GTGCN"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Source Code</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 xml:space="preserve">3. </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"https://arxiv.org/pdf/2305.07731"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Predicting COVID-19 pandemic by spatio-temporal graph neural networks: A New Zealand’s study</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ab/>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"https://github.com/HySonLab/pandemic_tgnn"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 xml:space="preserve">Source Code </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 xml:space="preserve">4. </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"https://www.frontiersin.org/journals/physics/articles/10.3389/fphy.2023.1277052/full" \l "s10"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Forecasting infections with spatio-temporal graph neural networks: a case study of the Dutch SARS-CoV-2 spread</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 xml:space="preserve">5. </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"https://pmc.ncbi.nlm.nih.gov/articles/PMC9699744/" \l "sec12"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Space-Distributed Traffic-Enhanced LSTM-Based Machine Learning Model for COVID-19 Incidence Forecast</w:t>
      </w:r>
      <w:bookmarkStart w:id="0" w:name="_GoBack"/>
      <w:bookmarkEnd w:id="0"/>
      <w:r>
        <w:rPr>
          <w:rStyle w:val="20"/>
          <w:rFonts w:ascii="SimSun" w:hAnsi="SimSun" w:eastAsia="SimSun" w:cs="SimSun"/>
          <w:b w:val="0"/>
          <w:bCs w:val="0"/>
          <w:kern w:val="0"/>
          <w:sz w:val="24"/>
          <w:szCs w:val="24"/>
          <w:bdr w:val="none" w:color="auto" w:sz="0" w:space="0"/>
          <w:lang w:val="en-US" w:eastAsia="zh-CN" w:bidi="ar"/>
        </w:rPr>
        <w:t>ing</w:t>
      </w:r>
      <w:r>
        <w:rPr>
          <w:rStyle w:val="20"/>
          <w:rFonts w:ascii="SimSun" w:hAnsi="SimSun" w:eastAsia="SimSun" w:cs="SimSun"/>
          <w:b w:val="0"/>
          <w:bCs w:val="0"/>
          <w:kern w:val="0"/>
          <w:sz w:val="24"/>
          <w:szCs w:val="24"/>
          <w:bdr w:val="none" w:color="auto" w:sz="0" w:space="0"/>
          <w:lang w:val="en-US" w:eastAsia="zh-CN" w:bidi="ar"/>
        </w:rPr>
        <w:br w:type="textWrapping"/>
      </w:r>
      <w:r>
        <w:rPr>
          <w:rFonts w:ascii="SimSun" w:hAnsi="SimSun" w:eastAsia="SimSun" w:cs="SimSun"/>
          <w:b w:val="0"/>
          <w:bCs w:val="0"/>
          <w:color w:val="1D1C1D"/>
          <w:kern w:val="0"/>
          <w:sz w:val="24"/>
          <w:szCs w:val="24"/>
          <w:bdr w:val="none" w:color="auto" w:sz="0" w:space="0"/>
          <w:lang w:val="en-US" w:eastAsia="zh-CN" w:bidi="ar"/>
        </w:rPr>
        <w:fldChar w:fldCharType="end"/>
      </w:r>
      <w:r>
        <w:rPr>
          <w:rFonts w:hint="default" w:ascii="SimSun" w:hAnsi="SimSun" w:eastAsia="SimSun" w:cs="SimSun"/>
          <w:b w:val="0"/>
          <w:bCs w:val="0"/>
          <w:color w:val="1D1C1D"/>
          <w:kern w:val="0"/>
          <w:sz w:val="24"/>
          <w:szCs w:val="24"/>
          <w:bdr w:val="none" w:color="auto" w:sz="0" w:space="0"/>
          <w:lang w:val="en-US" w:eastAsia="zh-CN" w:bidi="ar"/>
        </w:rPr>
        <w:t xml:space="preserve">6. </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"https://pmc.ncbi.nlm.nih.gov/articles/PMC11926351/" \l "notes3"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Spatio-temporal epidemic forecasting using mobility data with LSTM networks and attention mechanism</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 xml:space="preserve">7. </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"http://pmc.ncbi.nlm.nih.gov/articles/PMC12913526/" \l "_ad93_"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Dynamic spatiotemporal graph attention networks for cross-regional multi-disease forecasting and intervention optimization</w:t>
      </w:r>
      <w:r>
        <w:rPr>
          <w:rStyle w:val="20"/>
          <w:rFonts w:ascii="SimSun" w:hAnsi="SimSun" w:eastAsia="SimSun" w:cs="SimSun"/>
          <w:b w:val="0"/>
          <w:bCs w:val="0"/>
          <w:kern w:val="0"/>
          <w:sz w:val="24"/>
          <w:szCs w:val="24"/>
          <w:bdr w:val="none" w:color="auto" w:sz="0" w:space="0"/>
          <w:lang w:val="en-US" w:eastAsia="zh-CN" w:bidi="ar"/>
        </w:rPr>
        <w:br w:type="textWrapping"/>
      </w:r>
      <w:r>
        <w:rPr>
          <w:rFonts w:ascii="SimSun" w:hAnsi="SimSun" w:eastAsia="SimSun" w:cs="SimSun"/>
          <w:b w:val="0"/>
          <w:bCs w:val="0"/>
          <w:color w:val="1D1C1D"/>
          <w:kern w:val="0"/>
          <w:sz w:val="24"/>
          <w:szCs w:val="24"/>
          <w:bdr w:val="none" w:color="auto" w:sz="0" w:space="0"/>
          <w:lang w:val="en-US" w:eastAsia="zh-CN" w:bidi="ar"/>
        </w:rPr>
        <w:fldChar w:fldCharType="end"/>
      </w:r>
      <w:r>
        <w:rPr>
          <w:rFonts w:hint="default" w:ascii="SimSun" w:hAnsi="SimSun" w:eastAsia="SimSun" w:cs="SimSun"/>
          <w:b w:val="0"/>
          <w:bCs w:val="0"/>
          <w:color w:val="1D1C1D"/>
          <w:kern w:val="0"/>
          <w:sz w:val="24"/>
          <w:szCs w:val="24"/>
          <w:bdr w:val="none" w:color="auto" w:sz="0" w:space="0"/>
          <w:lang w:val="en-US" w:eastAsia="zh-CN" w:bidi="ar"/>
        </w:rPr>
        <w:t xml:space="preserve">8. </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"https://christa60.github.io/docs/AAAI22_causalgnn.pdf"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CausalGNN: Causal-based Graph Neural Networks for Spatio-Temporal Epidemic Forecasting</w:t>
      </w:r>
      <w:r>
        <w:rPr>
          <w:rFonts w:ascii="SimSun" w:hAnsi="SimSun" w:eastAsia="SimSun" w:cs="SimSun"/>
          <w:b w:val="0"/>
          <w:bCs w:val="0"/>
          <w:color w:val="1D1C1D"/>
          <w:kern w:val="0"/>
          <w:sz w:val="24"/>
          <w:szCs w:val="24"/>
          <w:bdr w:val="none" w:color="auto" w:sz="0" w:space="0"/>
          <w:lang w:val="en-US" w:eastAsia="zh-CN" w:bidi="ar"/>
        </w:rPr>
        <w:fldChar w:fldCharType="end"/>
      </w:r>
    </w:p>
    <w:p w14:paraId="064F614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jc w:val="left"/>
        <w:rPr>
          <w:b w:val="0"/>
          <w:bCs w:val="0"/>
          <w:color w:val="1D1C1D"/>
        </w:rPr>
      </w:pP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"https://www.frontiersin.org/journals/public-health/articles/10.3389/fpubh.2025.1680534/full"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Time series-based forecasting of infectious disease outbreak using information systems in public health</w:t>
      </w:r>
      <w:r>
        <w:rPr>
          <w:rStyle w:val="20"/>
          <w:rFonts w:ascii="SimSun" w:hAnsi="SimSun" w:eastAsia="SimSun" w:cs="SimSun"/>
          <w:b w:val="0"/>
          <w:bCs w:val="0"/>
          <w:kern w:val="0"/>
          <w:sz w:val="24"/>
          <w:szCs w:val="24"/>
          <w:bdr w:val="none" w:color="auto" w:sz="0" w:space="0"/>
          <w:lang w:val="en-US" w:eastAsia="zh-CN" w:bidi="ar"/>
        </w:rPr>
        <w:br w:type="textWrapping"/>
      </w:r>
      <w:r>
        <w:rPr>
          <w:rFonts w:ascii="SimSun" w:hAnsi="SimSun" w:eastAsia="SimSun" w:cs="SimSun"/>
          <w:b w:val="0"/>
          <w:bCs w:val="0"/>
          <w:color w:val="1D1C1D"/>
          <w:kern w:val="0"/>
          <w:sz w:val="24"/>
          <w:szCs w:val="24"/>
          <w:bdr w:val="none" w:color="auto" w:sz="0" w:space="0"/>
          <w:lang w:val="en-US" w:eastAsia="zh-CN" w:bidi="ar"/>
        </w:rPr>
        <w:fldChar w:fldCharType="end"/>
      </w:r>
      <w:r>
        <w:rPr>
          <w:rFonts w:hint="default" w:ascii="SimSun" w:hAnsi="SimSun" w:eastAsia="SimSun" w:cs="SimSun"/>
          <w:b w:val="0"/>
          <w:bCs w:val="0"/>
          <w:color w:val="1D1C1D"/>
          <w:kern w:val="0"/>
          <w:sz w:val="24"/>
          <w:szCs w:val="24"/>
          <w:bdr w:val="none" w:color="auto" w:sz="0" w:space="0"/>
          <w:lang w:val="en-US" w:eastAsia="zh-CN" w:bidi="ar"/>
        </w:rPr>
        <w:t>10.</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"https://arxiv.org/pdf/2602.22270"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Prior Knowledge-enhanced Spatio-temporal Epidemic Forecasting</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11.</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"https://arxiv.org/pdf/2312.00485"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Backbone-based Dynamic Graph Spatio-Temporal Network for Epidemic Forecasting</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 xml:space="preserve">12. </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"https://www.sciencedirect.com/science/article/abs/pii/S0950705126006374"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A multi-scale spatio-temporal transformer with region-aware graph learning for epidemic forecasting</w:t>
      </w:r>
      <w:r>
        <w:rPr>
          <w:rStyle w:val="20"/>
          <w:rFonts w:ascii="SimSun" w:hAnsi="SimSun" w:eastAsia="SimSun" w:cs="SimSun"/>
          <w:b w:val="0"/>
          <w:bCs w:val="0"/>
          <w:kern w:val="0"/>
          <w:sz w:val="24"/>
          <w:szCs w:val="24"/>
          <w:bdr w:val="none" w:color="auto" w:sz="0" w:space="0"/>
          <w:lang w:val="en-US" w:eastAsia="zh-CN" w:bidi="ar"/>
        </w:rPr>
        <w:br w:type="textWrapping"/>
      </w:r>
      <w:r>
        <w:rPr>
          <w:rFonts w:ascii="SimSun" w:hAnsi="SimSun" w:eastAsia="SimSun" w:cs="SimSun"/>
          <w:b w:val="0"/>
          <w:bCs w:val="0"/>
          <w:color w:val="1D1C1D"/>
          <w:kern w:val="0"/>
          <w:sz w:val="24"/>
          <w:szCs w:val="24"/>
          <w:bdr w:val="none" w:color="auto" w:sz="0" w:space="0"/>
          <w:lang w:val="en-US" w:eastAsia="zh-CN" w:bidi="ar"/>
        </w:rPr>
        <w:fldChar w:fldCharType="end"/>
      </w:r>
      <w:r>
        <w:rPr>
          <w:rFonts w:hint="default" w:ascii="SimSun" w:hAnsi="SimSun" w:eastAsia="SimSun" w:cs="SimSun"/>
          <w:b w:val="0"/>
          <w:bCs w:val="0"/>
          <w:color w:val="1D1C1D"/>
          <w:kern w:val="0"/>
          <w:sz w:val="24"/>
          <w:szCs w:val="24"/>
          <w:bdr w:val="none" w:color="auto" w:sz="0" w:space="0"/>
          <w:lang w:val="en-US" w:eastAsia="zh-CN" w:bidi="ar"/>
        </w:rPr>
        <w:t>13.</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"https://arxiv.org/abs/2308.15840"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MSGNN: Multi-scale Spatio-temporal Graph Neural Network for Epidemic Forecasting</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ab/>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"https://github.com/JashinKorone/MSGNN"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Source Code</w:t>
      </w:r>
      <w:r>
        <w:rPr>
          <w:rFonts w:ascii="SimSun" w:hAnsi="SimSun" w:eastAsia="SimSun" w:cs="SimSun"/>
          <w:b w:val="0"/>
          <w:bCs w:val="0"/>
          <w:color w:val="1D1C1D"/>
          <w:kern w:val="0"/>
          <w:sz w:val="24"/>
          <w:szCs w:val="24"/>
          <w:bdr w:val="none" w:color="auto" w:sz="0" w:space="0"/>
          <w:lang w:val="en-US" w:eastAsia="zh-CN" w:bidi="ar"/>
        </w:rPr>
        <w:fldChar w:fldCharType="end"/>
      </w:r>
      <w:r>
        <w:rPr>
          <w:rFonts w:ascii="SimSun" w:hAnsi="SimSun" w:eastAsia="SimSun" w:cs="SimSun"/>
          <w:b w:val="0"/>
          <w:bCs w:val="0"/>
          <w:color w:val="1D1C1D"/>
          <w:kern w:val="0"/>
          <w:sz w:val="24"/>
          <w:szCs w:val="24"/>
          <w:bdr w:val="none" w:color="auto" w:sz="0" w:space="0"/>
          <w:lang w:val="en-US" w:eastAsia="zh-CN" w:bidi="ar"/>
        </w:rPr>
        <w:br w:type="textWrapping"/>
      </w:r>
      <w:r>
        <w:rPr>
          <w:rFonts w:hint="default" w:ascii="SimSun" w:hAnsi="SimSun" w:eastAsia="SimSun" w:cs="SimSun"/>
          <w:b w:val="0"/>
          <w:bCs w:val="0"/>
          <w:color w:val="1D1C1D"/>
          <w:kern w:val="0"/>
          <w:sz w:val="24"/>
          <w:szCs w:val="24"/>
          <w:bdr w:val="none" w:color="auto" w:sz="0" w:space="0"/>
          <w:lang w:val="en-US" w:eastAsia="zh-CN" w:bidi="ar"/>
        </w:rPr>
        <w:t xml:space="preserve">14. </w:t>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"https://arxiv.org/abs/2208.11517"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EpiGNN: Exploring Spatial Transmission with Graph Neural Network for Regional Epidemic Forecasting</w:t>
      </w:r>
      <w:r>
        <w:rPr>
          <w:rStyle w:val="20"/>
          <w:rFonts w:ascii="SimSun" w:hAnsi="SimSun" w:eastAsia="SimSun" w:cs="SimSun"/>
          <w:b w:val="0"/>
          <w:bCs w:val="0"/>
          <w:kern w:val="0"/>
          <w:sz w:val="24"/>
          <w:szCs w:val="24"/>
          <w:bdr w:val="none" w:color="auto" w:sz="0" w:space="0"/>
          <w:lang w:val="en-US" w:eastAsia="zh-CN" w:bidi="ar"/>
        </w:rPr>
        <w:br w:type="textWrapping"/>
      </w:r>
      <w:r>
        <w:rPr>
          <w:rFonts w:ascii="SimSun" w:hAnsi="SimSun" w:eastAsia="SimSun" w:cs="SimSun"/>
          <w:b w:val="0"/>
          <w:bCs w:val="0"/>
          <w:color w:val="1D1C1D"/>
          <w:kern w:val="0"/>
          <w:sz w:val="24"/>
          <w:szCs w:val="24"/>
          <w:bdr w:val="none" w:color="auto" w:sz="0" w:space="0"/>
          <w:lang w:val="en-US" w:eastAsia="zh-CN" w:bidi="ar"/>
        </w:rPr>
        <w:fldChar w:fldCharType="end"/>
      </w:r>
      <w:r>
        <w:rPr>
          <w:rFonts w:hint="default" w:ascii="SimSun" w:hAnsi="SimSun" w:eastAsia="SimSun" w:cs="SimSun"/>
          <w:b w:val="0"/>
          <w:bCs w:val="0"/>
          <w:color w:val="1D1C1D"/>
          <w:kern w:val="0"/>
          <w:sz w:val="24"/>
          <w:szCs w:val="24"/>
          <w:bdr w:val="none" w:color="auto" w:sz="0" w:space="0"/>
          <w:lang w:val="en-US" w:eastAsia="zh-CN" w:bidi="ar"/>
        </w:rPr>
        <w:tab/>
      </w:r>
      <w:r>
        <w:rPr>
          <w:rFonts w:ascii="SimSun" w:hAnsi="SimSun" w:eastAsia="SimSun" w:cs="SimSun"/>
          <w:b w:val="0"/>
          <w:bCs w:val="0"/>
          <w:color w:val="1D1C1D"/>
          <w:kern w:val="0"/>
          <w:sz w:val="24"/>
          <w:szCs w:val="24"/>
          <w:bdr w:val="none" w:color="auto" w:sz="0" w:space="0"/>
          <w:lang w:val="en-US" w:eastAsia="zh-CN" w:bidi="ar"/>
        </w:rPr>
        <w:fldChar w:fldCharType="begin"/>
      </w:r>
      <w:r>
        <w:rPr>
          <w:rFonts w:ascii="SimSun" w:hAnsi="SimSun" w:eastAsia="SimSun" w:cs="SimSun"/>
          <w:b w:val="0"/>
          <w:bCs w:val="0"/>
          <w:color w:val="1D1C1D"/>
          <w:kern w:val="0"/>
          <w:sz w:val="24"/>
          <w:szCs w:val="24"/>
          <w:bdr w:val="none" w:color="auto" w:sz="0" w:space="0"/>
          <w:lang w:val="en-US" w:eastAsia="zh-CN" w:bidi="ar"/>
        </w:rPr>
        <w:instrText xml:space="preserve"> HYPERLINK "9.https:/github.com/Xiefeng69/EpiGNN" </w:instrText>
      </w:r>
      <w:r>
        <w:rPr>
          <w:rFonts w:ascii="SimSun" w:hAnsi="SimSun" w:eastAsia="SimSun" w:cs="SimSun"/>
          <w:b w:val="0"/>
          <w:bCs w:val="0"/>
          <w:color w:val="1D1C1D"/>
          <w:kern w:val="0"/>
          <w:sz w:val="24"/>
          <w:szCs w:val="24"/>
          <w:bdr w:val="none" w:color="auto" w:sz="0" w:space="0"/>
          <w:lang w:val="en-US" w:eastAsia="zh-CN" w:bidi="ar"/>
        </w:rPr>
        <w:fldChar w:fldCharType="separate"/>
      </w:r>
      <w:r>
        <w:rPr>
          <w:rStyle w:val="20"/>
          <w:rFonts w:ascii="SimSun" w:hAnsi="SimSun" w:eastAsia="SimSun" w:cs="SimSun"/>
          <w:b w:val="0"/>
          <w:bCs w:val="0"/>
          <w:kern w:val="0"/>
          <w:sz w:val="24"/>
          <w:szCs w:val="24"/>
          <w:bdr w:val="none" w:color="auto" w:sz="0" w:space="0"/>
          <w:lang w:val="en-US" w:eastAsia="zh-CN" w:bidi="ar"/>
        </w:rPr>
        <w:t>Source Code</w:t>
      </w:r>
      <w:r>
        <w:rPr>
          <w:rFonts w:ascii="SimSun" w:hAnsi="SimSun" w:eastAsia="SimSun" w:cs="SimSun"/>
          <w:b w:val="0"/>
          <w:bCs w:val="0"/>
          <w:color w:val="1D1C1D"/>
          <w:kern w:val="0"/>
          <w:sz w:val="24"/>
          <w:szCs w:val="24"/>
          <w:bdr w:val="none" w:color="auto" w:sz="0" w:space="0"/>
          <w:lang w:val="en-US" w:eastAsia="zh-CN" w:bidi="ar"/>
        </w:rPr>
        <w:fldChar w:fldCharType="end"/>
      </w:r>
    </w:p>
    <w:p w14:paraId="7434CDAF">
      <w:pPr>
        <w:jc w:val="both"/>
        <w:rPr>
          <w:rFonts w:hint="default"/>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DF98AA"/>
    <w:multiLevelType w:val="singleLevel"/>
    <w:tmpl w:val="CDDF98AA"/>
    <w:lvl w:ilvl="0" w:tentative="0">
      <w:start w:val="9"/>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62376B8C"/>
    <w:multiLevelType w:val="singleLevel"/>
    <w:tmpl w:val="62376B8C"/>
    <w:lvl w:ilvl="0" w:tentative="0">
      <w:start w:val="1"/>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A00E5E"/>
    <w:rsid w:val="7A5765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1471</Words>
  <Characters>7851</Characters>
  <Lines>0</Lines>
  <Paragraphs>0</Paragraphs>
  <TotalTime>8</TotalTime>
  <ScaleCrop>false</ScaleCrop>
  <LinksUpToDate>false</LinksUpToDate>
  <CharactersWithSpaces>9049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2026-07-06T21:51:22Z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1033-12.1.0.26880</vt:lpwstr>
  </property>
  <property fmtid="{D5CDD505-2E9C-101B-9397-08002B2CF9AE}" pid="4" name="ICV">
    <vt:lpwstr>62128CA189A849429BE4FAB749E0EC54_12</vt:lpwstr>
  </property>
</Properties>
</file>