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 w:val="false"/>
          <w:color w:val="5A5A5A"/>
          <w:sz w:val="18"/>
          <w:szCs w:val="18"/>
        </w:rPr>
        <w:t xml:space="preserve">PHASE 1 — DEVELOPER EXECUTION GUIDE</w:t>
      </w:r>
    </w:p>
    <w:p>
      <w:pPr>
        <w:pBdr>
          <w:bottom w:val="single" w:color="1F4E79" w:sz="14" w:space="8"/>
        </w:pBdr>
        <w:spacing w:after="60"/>
      </w:pPr>
      <w:r>
        <w:rPr>
          <w:b/>
          <w:bCs/>
          <w:color w:val="1A1A1A"/>
          <w:sz w:val="30"/>
          <w:szCs w:val="30"/>
        </w:rPr>
        <w:t xml:space="preserve">Formal Problem Definition · Evaluation Metrics &amp; Validation Protocol</w:t>
      </w:r>
    </w:p>
    <w:p>
      <w:pPr>
        <w:spacing w:after="240"/>
      </w:pPr>
      <w:r>
        <w:rPr>
          <w:i/>
          <w:iCs/>
          <w:color w:val="5A5A5A"/>
          <w:sz w:val="20"/>
          <w:szCs w:val="20"/>
        </w:rPr>
        <w:t xml:space="preserve">Emerging Infectious Disease Forecasting Framework — a generalisable spatio-temporal architecture</w:t>
      </w:r>
    </w:p>
    <w:p>
      <w:pPr>
        <w:pStyle w:val="Heading1"/>
        <w:pBdr>
          <w:bottom w:val="single" w:color="1F4E79" w:sz="8" w:space="6"/>
        </w:pBdr>
        <w:spacing w:after="140" w:before="320"/>
      </w:pPr>
      <w:r>
        <w:rPr>
          <w:b/>
          <w:bCs/>
          <w:color w:val="1F4E79"/>
          <w:sz w:val="30"/>
          <w:szCs w:val="30"/>
        </w:rPr>
        <w:t xml:space="preserve">1.  Formal Problem Definition</w:t>
      </w:r>
    </w:p>
    <w:p>
      <w:pPr>
        <w:spacing w:after="120" w:line="276"/>
        <w:jc w:val="both"/>
      </w:pPr>
      <w:r>
        <w:rPr>
          <w:color w:val="1A1A1A"/>
          <w:sz w:val="21"/>
          <w:szCs w:val="21"/>
        </w:rPr>
        <w:t xml:space="preserve">We frame emerging-disease forecasting as </w:t>
      </w:r>
      <w:r>
        <w:rPr>
          <w:b/>
          <w:bCs/>
          <w:color w:val="1A1A1A"/>
          <w:sz w:val="21"/>
          <w:szCs w:val="21"/>
        </w:rPr>
        <w:t xml:space="preserve">multi-horizon, joint multi-node incidence prediction</w:t>
      </w:r>
      <w:r>
        <w:rPr>
          <w:color w:val="1A1A1A"/>
          <w:sz w:val="21"/>
          <w:szCs w:val="21"/>
        </w:rPr>
        <w:t xml:space="preserve"> over the standardised spatio-temporal schema (Task 4). Because every disease is coerced into the same representation, the task statement is disease-agnostic by construction, and the same formulation applies unchanged to the data-rich development diseases and to the held-out Ebola case study.</w:t>
      </w:r>
    </w:p>
    <w:p>
      <w:pPr>
        <w:spacing w:after="120" w:line="276"/>
        <w:jc w:val="both"/>
      </w:pPr>
      <w:r>
        <w:rPr>
          <w:color w:val="1A1A1A"/>
          <w:sz w:val="21"/>
          <w:szCs w:val="21"/>
        </w:rPr>
        <w:t xml:space="preserve">For a disease dataset with </w:t>
      </w:r>
      <w:r>
        <w:rPr>
          <w:rFonts w:ascii="Consolas" w:cs="Consolas" w:eastAsia="Consolas" w:hAnsi="Consolas"/>
          <w:color w:val="2E2E2E"/>
          <w:sz w:val="20"/>
          <w:szCs w:val="20"/>
        </w:rPr>
        <w:t xml:space="preserve">N</w:t>
      </w:r>
      <w:r>
        <w:rPr>
          <w:color w:val="1A1A1A"/>
          <w:sz w:val="21"/>
          <w:szCs w:val="21"/>
        </w:rPr>
        <w:t xml:space="preserve"> spatial nodes and </w:t>
      </w:r>
      <w:r>
        <w:rPr>
          <w:rFonts w:ascii="Consolas" w:cs="Consolas" w:eastAsia="Consolas" w:hAnsi="Consolas"/>
          <w:color w:val="2E2E2E"/>
          <w:sz w:val="20"/>
          <w:szCs w:val="20"/>
        </w:rPr>
        <w:t xml:space="preserve">T</w:t>
      </w:r>
      <w:r>
        <w:rPr>
          <w:color w:val="1A1A1A"/>
          <w:sz w:val="21"/>
          <w:szCs w:val="21"/>
        </w:rPr>
        <w:t xml:space="preserve"> weekly steps, let </w:t>
      </w:r>
      <w:r>
        <w:rPr>
          <w:rFonts w:ascii="Consolas" w:cs="Consolas" w:eastAsia="Consolas" w:hAnsi="Consolas"/>
          <w:color w:val="2E2E2E"/>
          <w:sz w:val="20"/>
          <w:szCs w:val="20"/>
        </w:rPr>
        <w:t xml:space="preserve">X ∈ ℝ^{N×T×F}</w:t>
      </w:r>
      <w:r>
        <w:rPr>
          <w:color w:val="1A1A1A"/>
          <w:sz w:val="21"/>
          <w:szCs w:val="21"/>
        </w:rPr>
        <w:t xml:space="preserve"> be the schema tensor (feature 0 is incidence), </w:t>
      </w:r>
      <w:r>
        <w:rPr>
          <w:rFonts w:ascii="Consolas" w:cs="Consolas" w:eastAsia="Consolas" w:hAnsi="Consolas"/>
          <w:color w:val="2E2E2E"/>
          <w:sz w:val="20"/>
          <w:szCs w:val="20"/>
        </w:rPr>
        <w:t xml:space="preserve">A</w:t>
      </w:r>
      <w:r>
        <w:rPr>
          <w:color w:val="1A1A1A"/>
          <w:sz w:val="21"/>
          <w:szCs w:val="21"/>
        </w:rPr>
        <w:t xml:space="preserve"> the adjacency (static </w:t>
      </w:r>
      <w:r>
        <w:rPr>
          <w:rFonts w:ascii="Consolas" w:cs="Consolas" w:eastAsia="Consolas" w:hAnsi="Consolas"/>
          <w:color w:val="2E2E2E"/>
          <w:sz w:val="20"/>
          <w:szCs w:val="20"/>
        </w:rPr>
        <w:t xml:space="preserve">A_geo</w:t>
      </w:r>
      <w:r>
        <w:rPr>
          <w:color w:val="1A1A1A"/>
          <w:sz w:val="21"/>
          <w:szCs w:val="21"/>
        </w:rPr>
        <w:t xml:space="preserve">, optional mobility </w:t>
      </w:r>
      <w:r>
        <w:rPr>
          <w:rFonts w:ascii="Consolas" w:cs="Consolas" w:eastAsia="Consolas" w:hAnsi="Consolas"/>
          <w:color w:val="2E2E2E"/>
          <w:sz w:val="20"/>
          <w:szCs w:val="20"/>
        </w:rPr>
        <w:t xml:space="preserve">A_mob</w:t>
      </w:r>
      <w:r>
        <w:rPr>
          <w:color w:val="1A1A1A"/>
          <w:sz w:val="21"/>
          <w:szCs w:val="21"/>
        </w:rPr>
        <w:t xml:space="preserve">), and </w:t>
      </w:r>
      <w:r>
        <w:rPr>
          <w:rFonts w:ascii="Consolas" w:cs="Consolas" w:eastAsia="Consolas" w:hAnsi="Consolas"/>
          <w:color w:val="2E2E2E"/>
          <w:sz w:val="20"/>
          <w:szCs w:val="20"/>
        </w:rPr>
        <w:t xml:space="preserve">C</w:t>
      </w:r>
      <w:r>
        <w:rPr>
          <w:color w:val="1A1A1A"/>
          <w:sz w:val="21"/>
          <w:szCs w:val="21"/>
        </w:rPr>
        <w:t xml:space="preserve"> the static node covariates. The target </w:t>
      </w:r>
      <w:r>
        <w:rPr>
          <w:rFonts w:ascii="Consolas" w:cs="Consolas" w:eastAsia="Consolas" w:hAnsi="Consolas"/>
          <w:color w:val="2E2E2E"/>
          <w:sz w:val="20"/>
          <w:szCs w:val="20"/>
        </w:rPr>
        <w:t xml:space="preserve">y</w:t>
      </w:r>
      <w:r>
        <w:rPr>
          <w:color w:val="1A1A1A"/>
          <w:sz w:val="21"/>
          <w:szCs w:val="21"/>
        </w:rPr>
        <w:t xml:space="preserve"> is the </w:t>
      </w:r>
      <w:r>
        <w:rPr>
          <w:b/>
          <w:bCs/>
          <w:color w:val="1A1A1A"/>
          <w:sz w:val="21"/>
          <w:szCs w:val="21"/>
        </w:rPr>
        <w:t xml:space="preserve">weekly case count</w:t>
      </w:r>
      <w:r>
        <w:rPr>
          <w:color w:val="1A1A1A"/>
          <w:sz w:val="21"/>
          <w:szCs w:val="21"/>
        </w:rPr>
        <w:t xml:space="preserve"> as the primary variable, with </w:t>
      </w:r>
      <w:r>
        <w:rPr>
          <w:b/>
          <w:bCs/>
          <w:color w:val="1A1A1A"/>
          <w:sz w:val="21"/>
          <w:szCs w:val="21"/>
        </w:rPr>
        <w:t xml:space="preserve">deaths as a secondary target where reported</w:t>
      </w:r>
      <w:r>
        <w:rPr>
          <w:color w:val="1A1A1A"/>
          <w:sz w:val="21"/>
          <w:szCs w:val="21"/>
        </w:rPr>
        <w:t xml:space="preserve">. Forecasts are produced on </w:t>
      </w:r>
      <w:r>
        <w:rPr>
          <w:b/>
          <w:bCs/>
          <w:color w:val="1A1A1A"/>
          <w:sz w:val="21"/>
          <w:szCs w:val="21"/>
        </w:rPr>
        <w:t xml:space="preserve">raw case counts</w:t>
      </w:r>
      <w:r>
        <w:rPr>
          <w:color w:val="1A1A1A"/>
          <w:sz w:val="21"/>
          <w:szCs w:val="21"/>
        </w:rPr>
        <w:t xml:space="preserve">: incidence is not converted to a per-100,000 rate, because the assembled datasets do not carry consistent population denominators. Any internal normalisation applied for training uses a train-split-only scaler and is inverted back to counts before evaluation, so all reported metrics are expressed in real case units.</w:t>
      </w:r>
    </w:p>
    <w:p>
      <w:pPr>
        <w:pStyle w:val="Heading2"/>
        <w:spacing w:after="90" w:before="240"/>
      </w:pPr>
      <w:r>
        <w:rPr>
          <w:b/>
          <w:bCs/>
          <w:color w:val="1A1A1A"/>
          <w:sz w:val="24"/>
          <w:szCs w:val="24"/>
        </w:rPr>
        <w:t xml:space="preserve">1.1  Prediction task</w:t>
      </w:r>
    </w:p>
    <w:p>
      <w:pPr>
        <w:spacing w:after="120" w:line="276"/>
        <w:jc w:val="both"/>
      </w:pPr>
      <w:r>
        <w:rPr>
          <w:color w:val="1A1A1A"/>
          <w:sz w:val="21"/>
          <w:szCs w:val="21"/>
        </w:rPr>
        <w:t xml:space="preserve">Given a lookback window of </w:t>
      </w:r>
      <w:r>
        <w:rPr>
          <w:rFonts w:ascii="Consolas" w:cs="Consolas" w:eastAsia="Consolas" w:hAnsi="Consolas"/>
          <w:color w:val="2E2E2E"/>
          <w:sz w:val="20"/>
          <w:szCs w:val="20"/>
        </w:rPr>
        <w:t xml:space="preserve">w</w:t>
      </w:r>
      <w:r>
        <w:rPr>
          <w:color w:val="1A1A1A"/>
          <w:sz w:val="21"/>
          <w:szCs w:val="21"/>
        </w:rPr>
        <w:t xml:space="preserve"> past weeks, the model predicts cases at horizon </w:t>
      </w:r>
      <w:r>
        <w:rPr>
          <w:rFonts w:ascii="Consolas" w:cs="Consolas" w:eastAsia="Consolas" w:hAnsi="Consolas"/>
          <w:color w:val="2E2E2E"/>
          <w:sz w:val="20"/>
          <w:szCs w:val="20"/>
        </w:rPr>
        <w:t xml:space="preserve">h</w:t>
      </w:r>
      <w:r>
        <w:rPr>
          <w:color w:val="1A1A1A"/>
          <w:sz w:val="21"/>
          <w:szCs w:val="21"/>
        </w:rPr>
        <w:t xml:space="preserve"> for every node simultaneously:</w:t>
      </w:r>
    </w:p>
    <w:p>
      <w:pPr>
        <w:spacing w:after="140" w:before="60"/>
        <w:jc w:val="center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ŷ_{i, t+h}  =  f_θ ( X_{i, t−w+1 : t},  A,  C )     for all nodes i = 1 … N.</w:t>
      </w:r>
    </w:p>
    <w:p>
      <w:pPr>
        <w:pStyle w:val="Heading2"/>
        <w:spacing w:after="90" w:before="240"/>
      </w:pPr>
      <w:r>
        <w:rPr>
          <w:b/>
          <w:bCs/>
          <w:color w:val="1A1A1A"/>
          <w:sz w:val="24"/>
          <w:szCs w:val="24"/>
        </w:rPr>
        <w:t xml:space="preserve">1.2  Formulation decisions</w:t>
      </w:r>
    </w:p>
    <w:tbl>
      <w:tblPr>
        <w:tblW w:type="pct" w:w="100%"/>
        <w:tblBorders>
          <w:top w:val="single" w:color="C9C9C9" w:sz="3"/>
          <w:left w:val="none" w:color="FFFFFF" w:sz="0"/>
          <w:bottom w:val="single" w:color="C9C9C9" w:sz="3"/>
          <w:right w:val="none" w:color="FFFFFF" w:sz="0"/>
          <w:insideH w:val="single" w:color="C9C9C9" w:sz="3"/>
          <w:insideV w:val="single" w:color="C9C9C9" w:sz="3"/>
        </w:tblBorders>
      </w:tblPr>
      <w:tblGrid>
        <w:gridCol w:w="2600"/>
        <w:gridCol w:w="6760"/>
      </w:tblGrid>
      <w:tr>
        <w:tc>
          <w:tcPr>
            <w:tcW w:type="dxa" w:w="2600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Estimator f_θ</w:t>
            </w:r>
          </w:p>
        </w:tc>
        <w:tc>
          <w:tcPr>
            <w:tcW w:type="dxa" w:w="676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A single shared encoder </w:t>
            </w:r>
            <w:r>
              <w:rPr>
                <w:color w:val="1A1A1A"/>
                <w:sz w:val="21"/>
                <w:szCs w:val="21"/>
              </w:rPr>
              <w:t xml:space="preserve">with disease-invariant parameters plus light per-disease adaptation. This shared-parameter formulation is what underwrites the cross-disease transfer claim; it is not a set of independently trained per-disease models.</w:t>
            </w:r>
          </w:p>
        </w:tc>
      </w:tr>
      <w:tr>
        <w:tc>
          <w:tcPr>
            <w:tcW w:type="dxa" w:w="2600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Multi-horizon strategy</w:t>
            </w:r>
          </w:p>
        </w:tc>
        <w:tc>
          <w:tcPr>
            <w:tcW w:type="dxa" w:w="676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Direct. </w:t>
            </w:r>
            <w:r>
              <w:rPr>
                <w:color w:val="1A1A1A"/>
                <w:sz w:val="21"/>
                <w:szCs w:val="21"/>
              </w:rPr>
              <w:t xml:space="preserve">A separate output head predicts each horizon, with no recursive feedback, which avoids the compounding error of autoregressive rollout.</w:t>
            </w:r>
          </w:p>
        </w:tc>
      </w:tr>
      <w:tr>
        <w:tc>
          <w:tcPr>
            <w:tcW w:type="dxa" w:w="2600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Forecast horizons</w:t>
            </w:r>
          </w:p>
        </w:tc>
        <w:tc>
          <w:tcPr>
            <w:tcW w:type="dxa" w:w="676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h ∈ {3, 5, 10, 15} weeks ahead</w:t>
            </w:r>
            <w:r>
              <w:rPr>
                <w:color w:val="1A1A1A"/>
                <w:sz w:val="21"/>
                <w:szCs w:val="21"/>
              </w:rPr>
              <w:t xml:space="preserve"> — the EpiGNN / ColaGNN published convention, adopted so our results sit directly beside the baselines' reported tables. Each horizon is reported separately (Section 2).</w:t>
            </w:r>
          </w:p>
        </w:tc>
      </w:tr>
      <w:tr>
        <w:tc>
          <w:tcPr>
            <w:tcW w:type="dxa" w:w="2600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Lookback w</w:t>
            </w:r>
          </w:p>
        </w:tc>
        <w:tc>
          <w:tcPr>
            <w:tcW w:type="dxa" w:w="676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20 weeks</w:t>
            </w:r>
            <w:r>
              <w:rPr>
                <w:color w:val="1A1A1A"/>
                <w:sz w:val="21"/>
                <w:szCs w:val="21"/>
              </w:rPr>
              <w:t xml:space="preserve"> by default, exposed as a hyperparameter; the final value is reported per disease.</w:t>
            </w:r>
          </w:p>
        </w:tc>
      </w:tr>
      <w:tr>
        <w:tc>
          <w:tcPr>
            <w:tcW w:type="dxa" w:w="2600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Temporal resolution</w:t>
            </w:r>
          </w:p>
        </w:tc>
        <w:tc>
          <w:tcPr>
            <w:tcW w:type="dxa" w:w="676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Weekly</w:t>
            </w:r>
            <w:r>
              <w:rPr>
                <w:color w:val="1A1A1A"/>
                <w:sz w:val="21"/>
                <w:szCs w:val="21"/>
              </w:rPr>
              <w:t xml:space="preserve">, uniform across all diseases (matches the influenza benchmark convention and OpenDengue's ≥95% weekly coverage).</w:t>
            </w:r>
          </w:p>
        </w:tc>
      </w:tr>
      <w:tr>
        <w:tc>
          <w:tcPr>
            <w:tcW w:type="dxa" w:w="2600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Spatial scope</w:t>
            </w:r>
          </w:p>
        </w:tc>
        <w:tc>
          <w:tcPr>
            <w:tcW w:type="dxa" w:w="676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Joint all-node forecasting. </w:t>
            </w:r>
            <w:r>
              <w:rPr>
                <w:color w:val="1A1A1A"/>
                <w:sz w:val="21"/>
                <w:szCs w:val="21"/>
              </w:rPr>
              <w:t xml:space="preserve">Admin level follows each source: dengue and influenza at their benchmark resolution, Ebola at district level (Admin2).</w:t>
            </w:r>
          </w:p>
        </w:tc>
      </w:tr>
    </w:tbl>
    <w:p>
      <w:pPr>
        <w:spacing w:after="0" w:before="200"/>
      </w:pPr>
      <w:r>
        <w:br w:type="page"/>
      </w:r>
    </w:p>
    <w:p>
      <w:pPr>
        <w:pStyle w:val="Heading1"/>
        <w:pBdr>
          <w:bottom w:val="single" w:color="1F4E79" w:sz="8" w:space="6"/>
        </w:pBdr>
        <w:spacing w:after="140" w:before="320"/>
      </w:pPr>
      <w:r>
        <w:rPr>
          <w:b/>
          <w:bCs/>
          <w:color w:val="1F4E79"/>
          <w:sz w:val="30"/>
          <w:szCs w:val="30"/>
        </w:rPr>
        <w:t xml:space="preserve">2.  Evaluation Metrics &amp; Validation Protocol</w:t>
      </w:r>
    </w:p>
    <w:p>
      <w:pPr>
        <w:pStyle w:val="Heading2"/>
        <w:spacing w:after="90" w:before="240"/>
      </w:pPr>
      <w:r>
        <w:rPr>
          <w:b/>
          <w:bCs/>
          <w:color w:val="1A1A1A"/>
          <w:sz w:val="24"/>
          <w:szCs w:val="24"/>
        </w:rPr>
        <w:t xml:space="preserve">2.1  Point-forecast metrics</w:t>
      </w:r>
    </w:p>
    <w:p>
      <w:pPr>
        <w:spacing w:after="120" w:line="276"/>
        <w:jc w:val="both"/>
      </w:pPr>
      <w:r>
        <w:rPr>
          <w:color w:val="1A1A1A"/>
          <w:sz w:val="21"/>
          <w:szCs w:val="21"/>
        </w:rPr>
        <w:t xml:space="preserve">We report </w:t>
      </w:r>
      <w:r>
        <w:rPr>
          <w:b/>
          <w:bCs/>
          <w:color w:val="1A1A1A"/>
          <w:sz w:val="21"/>
          <w:szCs w:val="21"/>
        </w:rPr>
        <w:t xml:space="preserve">RMSE, MAE, and PCC</w:t>
      </w:r>
      <w:r>
        <w:rPr>
          <w:color w:val="1A1A1A"/>
          <w:sz w:val="21"/>
          <w:szCs w:val="21"/>
        </w:rPr>
        <w:t xml:space="preserve"> — the metric set used by the reference epidemic-GNN papers (EpiGNN, ColaGNN), which keeps our numbers directly comparable to the literature — together with </w:t>
      </w:r>
      <w:r>
        <w:rPr>
          <w:b/>
          <w:bCs/>
          <w:color w:val="1A1A1A"/>
          <w:sz w:val="21"/>
          <w:szCs w:val="21"/>
        </w:rPr>
        <w:t xml:space="preserve">sMAPE</w:t>
      </w:r>
      <w:r>
        <w:rPr>
          <w:color w:val="1A1A1A"/>
          <w:sz w:val="21"/>
          <w:szCs w:val="21"/>
        </w:rPr>
        <w:t xml:space="preserve"> as a scale-free summary for cross-disease comparison. RMSE/MAE/PCC per disease form the headline tables reviewers expect; sMAPE is used </w:t>
      </w:r>
      <w:r>
        <w:rPr>
          <w:i/>
          <w:iCs/>
          <w:color w:val="1A1A1A"/>
          <w:sz w:val="21"/>
          <w:szCs w:val="21"/>
        </w:rPr>
        <w:t xml:space="preserve">only</w:t>
      </w:r>
      <w:r>
        <w:rPr>
          <w:color w:val="1A1A1A"/>
          <w:sz w:val="21"/>
          <w:szCs w:val="21"/>
        </w:rPr>
        <w:t xml:space="preserve"> as the cross-disease scale-free measure, not as a per-disease headline. We additionally report </w:t>
      </w:r>
      <w:r>
        <w:rPr>
          <w:b/>
          <w:bCs/>
          <w:color w:val="1A1A1A"/>
          <w:sz w:val="21"/>
          <w:szCs w:val="21"/>
        </w:rPr>
        <w:t xml:space="preserve">peak-intensity error</w:t>
      </w:r>
      <w:r>
        <w:rPr>
          <w:color w:val="1A1A1A"/>
          <w:sz w:val="21"/>
          <w:szCs w:val="21"/>
        </w:rPr>
        <w:t xml:space="preserve"> and </w:t>
      </w:r>
      <w:r>
        <w:rPr>
          <w:b/>
          <w:bCs/>
          <w:color w:val="1A1A1A"/>
          <w:sz w:val="21"/>
          <w:szCs w:val="21"/>
        </w:rPr>
        <w:t xml:space="preserve">peak-timing error</w:t>
      </w:r>
      <w:r>
        <w:rPr>
          <w:color w:val="1A1A1A"/>
          <w:sz w:val="21"/>
          <w:szCs w:val="21"/>
        </w:rPr>
        <w:t xml:space="preserve">, which epidemic-forecasting reviewers routinely request.</w:t>
      </w:r>
    </w:p>
    <w:p>
      <w:pPr>
        <w:spacing w:after="120" w:line="276"/>
        <w:jc w:val="both"/>
      </w:pPr>
      <w:r>
        <w:rPr>
          <w:color w:val="1A1A1A"/>
          <w:sz w:val="21"/>
          <w:szCs w:val="21"/>
        </w:rPr>
        <w:t xml:space="preserve">MAPE and R² are deliberately kept out of the headline tables: MAPE is undefined and explodes on Ebola's near-zero-count weeks, and R² adds little beyond RMSE/PCC. </w:t>
      </w:r>
      <w:r>
        <w:rPr>
          <w:b/>
          <w:bCs/>
          <w:color w:val="1A1A1A"/>
          <w:sz w:val="21"/>
          <w:szCs w:val="21"/>
        </w:rPr>
        <w:t xml:space="preserve">R² is relegated to a supplementary table</w:t>
      </w:r>
      <w:r>
        <w:rPr>
          <w:color w:val="1A1A1A"/>
          <w:sz w:val="21"/>
          <w:szCs w:val="21"/>
        </w:rPr>
        <w:t xml:space="preserve"> for readers who expect it.</w:t>
      </w:r>
    </w:p>
    <w:p>
      <w:pPr>
        <w:spacing w:after="120" w:line="276"/>
        <w:jc w:val="both"/>
      </w:pPr>
      <w:r>
        <w:rPr>
          <w:color w:val="1A1A1A"/>
          <w:sz w:val="21"/>
          <w:szCs w:val="21"/>
        </w:rPr>
        <w:t xml:space="preserve">Probabilistic metrics — </w:t>
      </w:r>
      <w:r>
        <w:rPr>
          <w:b/>
          <w:bCs/>
          <w:color w:val="1A1A1A"/>
          <w:sz w:val="21"/>
          <w:szCs w:val="21"/>
        </w:rPr>
        <w:t xml:space="preserve">CRPS, PICP (coverage), and mean interval width at 90% nominal coverage</w:t>
      </w:r>
      <w:r>
        <w:rPr>
          <w:color w:val="1A1A1A"/>
          <w:sz w:val="21"/>
          <w:szCs w:val="21"/>
        </w:rPr>
        <w:t xml:space="preserve"> — are added in Week 5 when calibrated uncertainty lands via </w:t>
      </w:r>
      <w:r>
        <w:rPr>
          <w:b/>
          <w:bCs/>
          <w:color w:val="1A1A1A"/>
          <w:sz w:val="21"/>
          <w:szCs w:val="21"/>
        </w:rPr>
        <w:t xml:space="preserve">conformal prediction</w:t>
      </w:r>
      <w:r>
        <w:rPr>
          <w:color w:val="1A1A1A"/>
          <w:sz w:val="21"/>
          <w:szCs w:val="21"/>
        </w:rPr>
        <w:t xml:space="preserve">. The metric interface is scaffolded now so these slot in without refactoring.</w:t>
      </w:r>
    </w:p>
    <w:p>
      <w:pPr>
        <w:pStyle w:val="Heading2"/>
        <w:spacing w:after="90" w:before="240"/>
      </w:pPr>
      <w:r>
        <w:rPr>
          <w:b/>
          <w:bCs/>
          <w:color w:val="1A1A1A"/>
          <w:sz w:val="24"/>
          <w:szCs w:val="24"/>
        </w:rPr>
        <w:t xml:space="preserve">2.2  Aggregation</w:t>
      </w:r>
    </w:p>
    <w:p>
      <w:pPr>
        <w:pStyle w:val="ListParagraph"/>
        <w:numPr>
          <w:ilvl w:val="0"/>
          <w:numId w:val="1"/>
        </w:numPr>
        <w:spacing w:after="70" w:line="268"/>
        <w:jc w:val="both"/>
      </w:pPr>
      <w:r>
        <w:rPr>
          <w:b/>
          <w:bCs/>
          <w:color w:val="1A1A1A"/>
          <w:sz w:val="21"/>
          <w:szCs w:val="21"/>
        </w:rPr>
        <w:t xml:space="preserve">Per horizon, never averaged across horizons. </w:t>
      </w:r>
      <w:r>
        <w:rPr>
          <w:color w:val="1A1A1A"/>
          <w:sz w:val="21"/>
          <w:szCs w:val="21"/>
        </w:rPr>
        <w:t xml:space="preserve">Error grows with h, so a single averaged figure would mask the degradation at longer horizons.</w:t>
      </w:r>
    </w:p>
    <w:p>
      <w:pPr>
        <w:pStyle w:val="ListParagraph"/>
        <w:numPr>
          <w:ilvl w:val="0"/>
          <w:numId w:val="1"/>
        </w:numPr>
        <w:spacing w:after="70" w:line="268"/>
        <w:jc w:val="both"/>
      </w:pPr>
      <w:r>
        <w:rPr>
          <w:b/>
          <w:bCs/>
          <w:color w:val="1A1A1A"/>
          <w:sz w:val="21"/>
          <w:szCs w:val="21"/>
        </w:rPr>
        <w:t xml:space="preserve">Macro-averaged across nodes, per disease </w:t>
      </w:r>
      <w:r>
        <w:rPr>
          <w:color w:val="1A1A1A"/>
          <w:sz w:val="21"/>
          <w:szCs w:val="21"/>
        </w:rPr>
        <w:t xml:space="preserve">(equal weight per node), so high-count hubs do not dominate the score.</w:t>
      </w:r>
    </w:p>
    <w:p>
      <w:pPr>
        <w:pStyle w:val="ListParagraph"/>
        <w:numPr>
          <w:ilvl w:val="0"/>
          <w:numId w:val="1"/>
        </w:numPr>
        <w:spacing w:after="70" w:line="268"/>
        <w:jc w:val="both"/>
      </w:pPr>
      <w:r>
        <w:rPr>
          <w:b/>
          <w:bCs/>
          <w:color w:val="1A1A1A"/>
          <w:sz w:val="21"/>
          <w:szCs w:val="21"/>
        </w:rPr>
        <w:t xml:space="preserve">Count-weighted variant reported alongside. </w:t>
      </w:r>
      <w:r>
        <w:rPr>
          <w:color w:val="1A1A1A"/>
          <w:sz w:val="21"/>
          <w:szCs w:val="21"/>
        </w:rPr>
        <w:t xml:space="preserve">Pure macro-averaging over many near-zero Ebola districts inflates scale-free metrics; the count-weighted view corrects for this.</w:t>
      </w:r>
    </w:p>
    <w:p>
      <w:pPr>
        <w:pStyle w:val="ListParagraph"/>
        <w:numPr>
          <w:ilvl w:val="0"/>
          <w:numId w:val="1"/>
        </w:numPr>
        <w:spacing w:after="70" w:line="268"/>
        <w:jc w:val="both"/>
      </w:pPr>
      <w:r>
        <w:rPr>
          <w:b/>
          <w:bCs/>
          <w:color w:val="1A1A1A"/>
          <w:sz w:val="21"/>
          <w:szCs w:val="21"/>
        </w:rPr>
        <w:t xml:space="preserve">Mean ± std over 5 seeds </w:t>
      </w:r>
      <w:r>
        <w:rPr>
          <w:rFonts w:ascii="Consolas" w:cs="Consolas" w:eastAsia="Consolas" w:hAnsi="Consolas"/>
          <w:color w:val="2E2E2E"/>
          <w:sz w:val="20"/>
          <w:szCs w:val="20"/>
        </w:rPr>
        <w:t xml:space="preserve">{42, 52, 62, 72, 82}</w:t>
      </w:r>
      <w:r>
        <w:rPr>
          <w:color w:val="1A1A1A"/>
          <w:sz w:val="21"/>
          <w:szCs w:val="21"/>
        </w:rPr>
        <w:t xml:space="preserve">, so variance is reported rather than a single lucky run.</w:t>
      </w:r>
    </w:p>
    <w:p>
      <w:pPr>
        <w:pStyle w:val="ListParagraph"/>
        <w:numPr>
          <w:ilvl w:val="0"/>
          <w:numId w:val="1"/>
        </w:numPr>
        <w:spacing w:after="70" w:line="268"/>
        <w:jc w:val="both"/>
      </w:pPr>
      <w:r>
        <w:rPr>
          <w:b/>
          <w:bCs/>
          <w:color w:val="1A1A1A"/>
          <w:sz w:val="21"/>
          <w:szCs w:val="21"/>
        </w:rPr>
        <w:t xml:space="preserve">Significance testing on headline comparisons </w:t>
      </w:r>
      <w:r>
        <w:rPr>
          <w:color w:val="1A1A1A"/>
          <w:sz w:val="21"/>
          <w:szCs w:val="21"/>
        </w:rPr>
        <w:t xml:space="preserve">(paired t-test or Wilcoxon over seeds/nodes), so any SOTA claim is statistically grounded.</w:t>
      </w:r>
    </w:p>
    <w:p>
      <w:pPr>
        <w:pStyle w:val="Heading2"/>
        <w:spacing w:after="90" w:before="240"/>
      </w:pPr>
      <w:r>
        <w:rPr>
          <w:b/>
          <w:bCs/>
          <w:color w:val="1A1A1A"/>
          <w:sz w:val="24"/>
          <w:szCs w:val="24"/>
        </w:rPr>
        <w:t xml:space="preserve">2.3  Validation protocol</w:t>
      </w:r>
    </w:p>
    <w:p>
      <w:pPr>
        <w:spacing w:after="120" w:line="276"/>
        <w:jc w:val="both"/>
      </w:pPr>
      <w:r>
        <w:rPr>
          <w:color w:val="1A1A1A"/>
          <w:sz w:val="21"/>
          <w:szCs w:val="21"/>
        </w:rPr>
        <w:t xml:space="preserve">Splits are </w:t>
      </w:r>
      <w:r>
        <w:rPr>
          <w:b/>
          <w:bCs/>
          <w:color w:val="1A1A1A"/>
          <w:sz w:val="21"/>
          <w:szCs w:val="21"/>
        </w:rPr>
        <w:t xml:space="preserve">chronological and never shuffled</w:t>
      </w:r>
      <w:r>
        <w:rPr>
          <w:color w:val="1A1A1A"/>
          <w:sz w:val="21"/>
          <w:szCs w:val="21"/>
        </w:rPr>
        <w:t xml:space="preserve">. Two complementary regimes are used, with distinct roles:</w:t>
      </w:r>
    </w:p>
    <w:tbl>
      <w:tblPr>
        <w:tblW w:type="pct" w:w="100%"/>
        <w:tblBorders>
          <w:top w:val="single" w:color="C9C9C9" w:sz="3"/>
          <w:left w:val="none" w:color="FFFFFF" w:sz="0"/>
          <w:bottom w:val="single" w:color="C9C9C9" w:sz="3"/>
          <w:right w:val="none" w:color="FFFFFF" w:sz="0"/>
          <w:insideH w:val="single" w:color="C9C9C9" w:sz="3"/>
          <w:insideV w:val="single" w:color="C9C9C9" w:sz="3"/>
        </w:tblBorders>
      </w:tblPr>
      <w:tblGrid>
        <w:gridCol w:w="2600"/>
        <w:gridCol w:w="6760"/>
      </w:tblGrid>
      <w:tr>
        <w:tc>
          <w:tcPr>
            <w:tcW w:type="dxa" w:w="2600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Baseline comparison</w:t>
            </w:r>
          </w:p>
        </w:tc>
        <w:tc>
          <w:tcPr>
            <w:tcW w:type="dxa" w:w="676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Fixed 50% train / 20% val / 30% test</w:t>
            </w:r>
            <w:r>
              <w:rPr>
                <w:color w:val="1A1A1A"/>
                <w:sz w:val="21"/>
                <w:szCs w:val="21"/>
              </w:rPr>
              <w:t xml:space="preserve">, in time order — the EpiGNN published ratio, chosen for direct comparability against the reproduced baselines.</w:t>
            </w:r>
          </w:p>
        </w:tc>
      </w:tr>
      <w:tr>
        <w:tc>
          <w:tcPr>
            <w:tcW w:type="dxa" w:w="2600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Robustness analysis</w:t>
            </w:r>
          </w:p>
        </w:tc>
        <w:tc>
          <w:tcPr>
            <w:tcW w:type="dxa" w:w="676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Rolling-origin / expanding-window backtesting</w:t>
            </w:r>
            <w:r>
              <w:rPr>
                <w:color w:val="1A1A1A"/>
                <w:sz w:val="21"/>
                <w:szCs w:val="21"/>
              </w:rPr>
              <w:t xml:space="preserve"> — expanding window, single-step origin advance, ~5 origins — to confirm results are not an artefact of one split point.</w:t>
            </w:r>
          </w:p>
        </w:tc>
      </w:tr>
      <w:tr>
        <w:tc>
          <w:tcPr>
            <w:tcW w:type="dxa" w:w="2600"/>
            <w:shd w:fill="F2F5F8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Ebola (few-shot holdout)</w:t>
            </w:r>
          </w:p>
        </w:tc>
        <w:tc>
          <w:tcPr>
            <w:tcW w:type="dxa" w:w="676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Handled as role = few_shot_holdout with a provisional split, </w:t>
            </w:r>
            <w:r>
              <w:rPr>
                <w:color w:val="1A1A1A"/>
                <w:sz w:val="21"/>
                <w:szCs w:val="21"/>
              </w:rPr>
              <w:t xml:space="preserve">not the standard 50/20/30. The scaler is fit only on the small few-shot support set; applying the standard split would leak outbreak-scale information into the scaler and quietly inflate the headline few-shot result.</w:t>
            </w:r>
          </w:p>
        </w:tc>
      </w:tr>
    </w:tbl>
    <w:p>
      <w:pPr>
        <w:pStyle w:val="Heading2"/>
        <w:spacing w:after="90" w:before="240"/>
      </w:pPr>
      <w:r>
        <w:rPr>
          <w:b/>
          <w:bCs/>
          <w:color w:val="1A1A1A"/>
          <w:sz w:val="24"/>
          <w:szCs w:val="24"/>
        </w:rPr>
        <w:t xml:space="preserve">2.4  Generalisation &amp; transfer</w:t>
      </w:r>
    </w:p>
    <w:p>
      <w:pPr>
        <w:spacing w:after="120" w:line="276"/>
        <w:jc w:val="both"/>
      </w:pPr>
      <w:r>
        <w:rPr>
          <w:b/>
          <w:bCs/>
          <w:color w:val="1A1A1A"/>
          <w:sz w:val="21"/>
          <w:szCs w:val="21"/>
        </w:rPr>
        <w:t xml:space="preserve">Leave-one-disease-out (LODO)</w:t>
      </w:r>
      <w:r>
        <w:rPr>
          <w:color w:val="1A1A1A"/>
          <w:sz w:val="21"/>
          <w:szCs w:val="21"/>
        </w:rPr>
        <w:t xml:space="preserve"> transfer across the development diseases is part of the protocol, reported </w:t>
      </w:r>
      <w:r>
        <w:rPr>
          <w:b/>
          <w:bCs/>
          <w:color w:val="1A1A1A"/>
          <w:sz w:val="21"/>
          <w:szCs w:val="21"/>
        </w:rPr>
        <w:t xml:space="preserve">both zero-shot and few-shot</w:t>
      </w:r>
      <w:r>
        <w:rPr>
          <w:color w:val="1A1A1A"/>
          <w:sz w:val="21"/>
          <w:szCs w:val="21"/>
        </w:rPr>
        <w:t xml:space="preserve">. The Ebola few-shot test uses a </w:t>
      </w:r>
      <w:r>
        <w:rPr>
          <w:b/>
          <w:bCs/>
          <w:color w:val="1A1A1A"/>
          <w:sz w:val="21"/>
          <w:szCs w:val="21"/>
        </w:rPr>
        <w:t xml:space="preserve">k-shot sweep starting at k = 2 weeks</w:t>
      </w:r>
      <w:r>
        <w:rPr>
          <w:color w:val="1A1A1A"/>
          <w:sz w:val="21"/>
          <w:szCs w:val="21"/>
        </w:rPr>
        <w:t xml:space="preserve"> and increasing, so the adaptation curve is visible rather than a single, potentially flattering, operating point.</w:t>
      </w:r>
    </w:p>
    <w:p>
      <w:pPr>
        <w:pStyle w:val="Heading2"/>
        <w:spacing w:after="90" w:before="240"/>
      </w:pPr>
      <w:r>
        <w:rPr>
          <w:b/>
          <w:bCs/>
          <w:color w:val="1A1A1A"/>
          <w:sz w:val="24"/>
          <w:szCs w:val="24"/>
        </w:rPr>
        <w:t xml:space="preserve">2.5  Leakage rules (non-negotiable)</w:t>
      </w:r>
    </w:p>
    <w:tbl>
      <w:tblPr>
        <w:tblW w:type="pct" w:w="100%"/>
        <w:tblBorders>
          <w:top w:val="single" w:color="1F4E79" w:sz="4"/>
          <w:left w:val="single" w:color="1F4E79" w:sz="12"/>
          <w:bottom w:val="single" w:color="1F4E79" w:sz="4"/>
          <w:right w:val="single" w:color="1F4E79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5F8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60" w:line="264"/>
            </w:pPr>
            <w:r>
              <w:rPr>
                <w:color w:val="1A1A1A"/>
                <w:sz w:val="21"/>
                <w:szCs w:val="21"/>
              </w:rPr>
              <w:t xml:space="preserve">Scalers are fit on the training split only; graph structure is learned on the training split only; no future-derived features are admitted; and horizon-</w:t>
            </w:r>
            <w:r>
              <w:rPr>
                <w:rFonts w:ascii="Consolas" w:cs="Consolas" w:eastAsia="Consolas" w:hAnsi="Consolas"/>
                <w:color w:val="2E2E2E"/>
                <w:sz w:val="20"/>
                <w:szCs w:val="20"/>
              </w:rPr>
              <w:t xml:space="preserve">h</w:t>
            </w:r>
            <w:r>
              <w:rPr>
                <w:color w:val="1A1A1A"/>
                <w:sz w:val="21"/>
                <w:szCs w:val="21"/>
              </w:rPr>
              <w:t xml:space="preserve"> targets never enter the model inputs. These rules apply uniformly to development diseases and to the Ebola holdout.</w:t>
            </w:r>
          </w:p>
        </w:tc>
      </w:tr>
    </w:tbl>
    <w:p>
      <w:pPr>
        <w:pBdr>
          <w:top w:val="single" w:color="C9C9C9" w:sz="6" w:space="6"/>
        </w:pBdr>
        <w:spacing w:after="0" w:before="260"/>
      </w:pPr>
      <w:r>
        <w:rPr>
          <w:i/>
          <w:iCs/>
          <w:color w:val="5A5A5A"/>
          <w:sz w:val="17"/>
          <w:szCs w:val="17"/>
        </w:rPr>
        <w:t xml:space="preserve">Internal — Phase 1 working document. Feeds problem_and_protocol.md and the manuscript's problem-setup and evaluation sections.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 — Problem Definition &amp; Evaluation Protocol</dc:title>
  <dc:creator>Engineering</dc:creator>
  <cp:lastModifiedBy>Un-named</cp:lastModifiedBy>
  <cp:revision>1</cp:revision>
  <dcterms:created xsi:type="dcterms:W3CDTF">2026-07-07T16:42:01.520Z</dcterms:created>
  <dcterms:modified xsi:type="dcterms:W3CDTF">2026-07-07T16:42:01.520Z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