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82793A">
      <w:pPr>
        <w:keepNext/>
        <w:spacing w:before="240" w:after="80"/>
      </w:pPr>
      <w:r>
        <w:rPr>
          <w:rFonts w:ascii="Times New Roman" w:hAnsi="Times New Roman" w:cs="Times New Roman"/>
          <w:b/>
          <w:i w:val="0"/>
          <w:sz w:val="26"/>
        </w:rPr>
        <w:t>2.  Related Work and Competitive Positioning</w:t>
      </w:r>
    </w:p>
    <w:p w14:paraId="3A92DE63">
      <w:pPr>
        <w:keepNext/>
        <w:spacing w:before="160" w:after="80"/>
      </w:pPr>
      <w:r>
        <w:rPr>
          <w:rFonts w:ascii="Times New Roman" w:hAnsi="Times New Roman" w:cs="Times New Roman"/>
          <w:b/>
          <w:i w:val="0"/>
          <w:sz w:val="24"/>
        </w:rPr>
        <w:t>2.1  Scope: graph neural networks for spatio-temporal epidemic forecasting</w:t>
      </w:r>
    </w:p>
    <w:p w14:paraId="23F4A193">
      <w:pPr>
        <w:spacing w:after="120" w:line="276" w:lineRule="auto"/>
        <w:jc w:val="both"/>
      </w:pPr>
      <w:r>
        <w:rPr>
          <w:rFonts w:ascii="Times New Roman" w:hAnsi="Times New Roman" w:cs="Times New Roman"/>
          <w:b w:val="0"/>
          <w:i w:val="0"/>
          <w:sz w:val="22"/>
        </w:rPr>
        <w:t>The standardised input representation introduced in the preceding section is only useful if it feeds a model class that can exploit the two structures every notifiable-disease surveillance stream carries at once: temporal autocorrelation within each reporting unit, and spatial coupling between units that share population flows, borders, or environmental drivers. Graph neural networks (GNNs) have become the dominant answer to this joint problem because they factorise a forecasting task over a graph whose nodes are regions and whose edges encode transmission-relevant relations, then compose that spatial operator with a temporal one. The rapid growth of this literature has been catalogued from two complementary vantage points, both of which we adopt as organising anchors. Liu, Wan, Prakash, Lau, and Jin (2024) survey GNNs specifically for epidemic modelling and separate the field into purely neural models and mechanistic-hybrid models, a distinction that recurs throughout our analysis; Jin, Koh, Wen, Zambon, Alippi, Webb, King, and Pan (2024), in their Transactions on Pattern Analysis and Machine Intelligence review and its companion GNN4TS resource, place epidemic forecasting inside the broader taxonomy of graph neural networks for time series, where the axes of interest are the spatial module, the temporal module, and the manner in which the graph itself is obtained.</w:t>
      </w:r>
    </w:p>
    <w:p w14:paraId="33AE171D">
      <w:pPr>
        <w:spacing w:after="120" w:line="276" w:lineRule="auto"/>
        <w:jc w:val="both"/>
        <w:rPr>
          <w:rFonts w:hint="default"/>
          <w:lang w:val="en-US"/>
        </w:rPr>
      </w:pPr>
      <w:r>
        <w:rPr>
          <w:rFonts w:ascii="Times New Roman" w:hAnsi="Times New Roman" w:cs="Times New Roman"/>
          <w:b w:val="0"/>
          <w:i w:val="0"/>
          <w:sz w:val="22"/>
        </w:rPr>
        <w:t xml:space="preserve">Read against the requirements of an operational early-warning system, the design space decomposes into six sub-problems, and no single line of work has closed all of them. A model must (a) capture temporal dynamics, typically with a recurrent, convolutional, or attention-based sequence encoder; (b) represent spatial coupling, through graph convolution, attention, or a learned adjacency; (c) decide whether to inject mechanistic epidemiological structure such as a compartmental prior; (d) quantify predictive uncertainty in a way a public-health decision-maker can act on; (e) explain its outputs; and (f) transfer what it has learned to a disease or region where labelled history is scarce. The sections that follow synthesise the literature by the sub-problem each method family was built to solve, </w:t>
      </w:r>
      <w:r>
        <w:rPr>
          <w:rFonts w:hint="default" w:cs="Times New Roman"/>
          <w:b w:val="0"/>
          <w:i w:val="0"/>
          <w:sz w:val="22"/>
          <w:lang w:val="en-US"/>
        </w:rPr>
        <w:t>and read each one according to their prime focus before proposing a new approach.</w:t>
      </w:r>
    </w:p>
    <w:p w14:paraId="443B3606">
      <w:pPr>
        <w:keepNext/>
        <w:spacing w:before="160" w:after="80"/>
      </w:pPr>
      <w:r>
        <w:rPr>
          <w:rFonts w:ascii="Times New Roman" w:hAnsi="Times New Roman" w:cs="Times New Roman"/>
          <w:b/>
          <w:i w:val="0"/>
          <w:sz w:val="24"/>
        </w:rPr>
        <w:t>2.2  Method families and what each one solves</w:t>
      </w:r>
    </w:p>
    <w:p w14:paraId="0490889E">
      <w:pPr>
        <w:spacing w:after="120" w:line="276" w:lineRule="auto"/>
        <w:jc w:val="both"/>
      </w:pPr>
      <w:r>
        <w:rPr>
          <w:rFonts w:ascii="Times New Roman" w:hAnsi="Times New Roman" w:cs="Times New Roman"/>
          <w:b w:val="0"/>
          <w:i w:val="0"/>
          <w:sz w:val="22"/>
        </w:rPr>
        <w:t>General-purpose spatio-temporal GNNs as the non-epidemic control. The architectural vocabulary of epidemic GNNs is largely inherited from traffic and multivariate-sensor forecasting, and it is instructive to treat that lineage as a control group that shares the machinery but none of the epidemiological intent. STGCN (Yu, Yin, and Zhu, 2018) and DCRNN (Li, Yu, Shahabi, and Liu, 2018) established, respectively, the fully convolutional and the diffusion-recurrent templates for graph time series. Graph WaveNet (Wu, Pan, Long, Jiang, and Zhang, 2019) added the idea that proved most consequential for the epidemic setting: rather than fixing the adjacency from geography, it learns a self-adaptive dependency matrix from node embeddings and couples it to a stack of dilated causal convolutions, so the graph becomes a parameter rather than an input. MTGNN (Wu, Pan, Long, Jiang, Chang, and Zhang, 2020) generalised this into an explicit graph-learning layer with dilated inception temporal convolutions. These models are strong precisely because they impose no domain structure, which is also their limitation here: evaluated on traffic and energy benchmarks, they carry no notion of transmission, offer no calibrated uncertainty, and were never asked to move between diseases. They define the floor that any epidemic-specific contribution must clear, and we retain one of them (Graph WaveNet) in the competitive analysis and reproduce another (MTGNN) as a sanity control.</w:t>
      </w:r>
    </w:p>
    <w:p w14:paraId="34340422">
      <w:pPr>
        <w:spacing w:after="120" w:line="276" w:lineRule="auto"/>
        <w:jc w:val="both"/>
      </w:pPr>
      <w:r>
        <w:rPr>
          <w:rFonts w:ascii="Times New Roman" w:hAnsi="Times New Roman" w:cs="Times New Roman"/>
          <w:b w:val="0"/>
          <w:i w:val="0"/>
          <w:sz w:val="22"/>
        </w:rPr>
        <w:t>Cross-location attention. The first sub-problem the epidemic community isolated was that geographic adjacency is a poor proxy for epidemiological coupling: two regions can be distant yet epidemically synchronised through travel or shared seasonality. Cola-GNN (Deng, Wang, Rangwala, Wang, and Ning, 2020) addressed this by learning a directed, asymmetric location-aware attention matrix from recurrent hidden states and fusing it with a normalised geographic adjacency through a learned gate, then propagating messages over the resulting graph while a multi-scale dilated convolution reads short- and long-range temporal patterns. Its interpretability case study, which contrasts the learned attention with the geolocation and correlation matrices, is an early example of the field taking explanation seriously. The model is nonetheless single-disease by construction, trained separately for each influenza lead time, and produces point forecasts without any uncertainty statement.</w:t>
      </w:r>
    </w:p>
    <w:p w14:paraId="51816D9F">
      <w:pPr>
        <w:spacing w:after="120" w:line="276" w:lineRule="auto"/>
        <w:jc w:val="both"/>
      </w:pPr>
      <w:r>
        <w:rPr>
          <w:rFonts w:ascii="Times New Roman" w:hAnsi="Times New Roman" w:cs="Times New Roman"/>
          <w:b w:val="0"/>
          <w:i w:val="0"/>
          <w:sz w:val="22"/>
        </w:rPr>
        <w:t>Region-aware and transmission-risk encoding. EpiGNN (Xie, Zhang, Li, Zhou, and Tan, 2022) refined the graph-learning idea for epidemics by encoding a notion of spatial transmission risk directly. Its Region-Aware Graph Learner constructs a directed correlation graph from temporal features and fuses it with a degree-gated geographic adjacency and, optionally, an external human-mobility matrix, while local and global transmission-risk encodings summarise how exposed each region is within the network. Notably, EpiGNN is one of the few incumbents evaluated on more than one disease, spanning three influenza benchmarks and two COVID-19 datasets, and it exposes interpretable risk signals. Even so, each dataset is fitted with its own model; the multi-disease evaluation is a breadth-of-testing claim, not a transfer claim, and there is neither a mechanistic prior nor a calibrated interval. We adopt EpiGNN both as a competitor and, because it reproduces faithfully, as a load-bearing baseline.</w:t>
      </w:r>
    </w:p>
    <w:p w14:paraId="4178E150">
      <w:pPr>
        <w:spacing w:after="120" w:line="276" w:lineRule="auto"/>
        <w:jc w:val="both"/>
      </w:pPr>
      <w:r>
        <w:rPr>
          <w:rFonts w:ascii="Times New Roman" w:hAnsi="Times New Roman" w:cs="Times New Roman"/>
          <w:b w:val="0"/>
          <w:i w:val="0"/>
          <w:sz w:val="22"/>
        </w:rPr>
        <w:t>Metapopulation and mechanistic-hybrid models. A parallel family accepts that data-driven graphs discard hard-won epidemiological knowledge and re-injects a compartmental prior. MepoGNN (Cao, Jiang, Yang, Fan, Song, and Shibasaki, 2022) embeds a metapopulation Susceptible-Infected-Recovered process inside a spatio-temporal GNN, learning an adaptive graph from commuter surveys and a dynamic graph from origin-destination flows so that the compartmental coupling is informed by mobility. CausalGNN (Wang, Adiga, Chen, Sadilek, Venkatramanan, and Marathe, 2022) couples an attention-based dynamic graph with a single-patch SIRD ordinary-differential-equation module, letting the mechanistic parameters and the graph representation refine one another and yielding epidemiologically meaningful quantities such as transmissibility and recovery rate. The trend has intensified in the most recent work: BDGSTN (Mao, Han, Tanaka, and Wang, 2023) fuses a trainable backbone graph with a convolution-derived temporal graph and drives a decomposition-linear predictor with an SIR module; HeatGNN (Zheng, Jiang, Chen, Zhou, Zhan, Nguyen, and Yin, 2024) fits a time-varying SIR per location under a physics-informed loss and reads out a mechanistic affinity graph that exposes cross-location similarity; and STOEP (Ruan, Li, Wei, Xu, Bao, Xu, Qiu, Wang, Wang, and Yuan, 2026) combines a metapopulation SIR with implicit spatio-temporal priors and an explicit expert-guided thresholding rule that stabilises the estimated transmission rate. STAN (Gao, Sharma, Qian, Glass, Spaeder, Romberg, Sun, and Xiao, 2021) belongs to the same spirit, coupling a graph-attention network and a gated recurrent unit over a geographic-proximity graph with transmission dynamics learned from real-world claims data. This family is the most epidemiologically principled, and several of its members offer parameter-level interpretability; yet with the partial exception discussed below, every one of them is trained and evaluated on a single disease (or two, separately), reports point forecasts without calibrated coverage, and explicitly lists cross-disease transfer as future work.</w:t>
      </w:r>
    </w:p>
    <w:p w14:paraId="29617968">
      <w:pPr>
        <w:spacing w:after="120" w:line="276" w:lineRule="auto"/>
        <w:jc w:val="both"/>
      </w:pPr>
      <w:r>
        <w:rPr>
          <w:rFonts w:ascii="Times New Roman" w:hAnsi="Times New Roman" w:cs="Times New Roman"/>
          <w:b w:val="0"/>
          <w:i w:val="0"/>
          <w:sz w:val="22"/>
        </w:rPr>
        <w:t>Transformer and mobility-centred variants. A further strand keeps the spatial graph simple and invests in the temporal operator or the feature set. The graph-based transformer models LTGCN and GTGCN (Ezzat, Malek, AbdelKader, and Badr, 2026) place node-wise or global self-attention over a static mobility graph pruned by a disparity backbone, and their controlled temporal-mechanism swap usefully shows that the graph-convolutional encoder, not the attention, drives most of the accuracy; the authors state plainly that their model emits deterministic predictions without calibrated uncertainty. At the applied end, single-country COVID-19 studies use the same components without a transfer or calibration objective: the multiresolution ATMGNN of Nguyen, Hy, Tran-Thanh, and Nghiem (2023), whose public code we reuse as a baseline, pairs a learned graph-coarsening hierarchy with a transformer over a static border graph; the Dutch municipality model of Croft, van Iersel, and Della Santina (2023) combines gated recurrent units with GATv2 (Brody, Alon, and Yahav, 2022) over a static commuter graph and enriches it with sewage signals; and two mobility-driven forecasters dispense with a graph almost entirely, one coupling per-district long short-term memory networks through traffic-sensor adjacency (Munoz-Organero, 2022) and one treating mobility categories as covariates to an LSTM-transformer stack (Jiao, Wang, Ye, Nagahara, and Sakurai, 2025). These works are valuable demonstrations of feature engineering and locale-specific accuracy, but each is confined to a single disease in a single country, without uncertainty, explanation, or transfer.</w:t>
      </w:r>
    </w:p>
    <w:p w14:paraId="1C760E71">
      <w:pPr>
        <w:spacing w:after="120" w:line="276" w:lineRule="auto"/>
        <w:jc w:val="both"/>
      </w:pPr>
      <w:r>
        <w:rPr>
          <w:rFonts w:ascii="Times New Roman" w:hAnsi="Times New Roman" w:cs="Times New Roman"/>
          <w:b w:val="0"/>
          <w:i w:val="0"/>
          <w:sz w:val="22"/>
        </w:rPr>
        <w:t>Uncertainty, explainability, and transfer as the three open axes. Stepping back from individual architectures, the properties an operational emerging-disease system most needs are exactly the ones the literature treats least uniformly. Calibrated uncertainty is almost absent: the mechanistic-hybrid models report point forecasts, and where confidence figures appear they are typically run-to-run variability over random seeds rather than a statement about predictive coverage, as in CausalGNN's seed intervals. Explainability is more common but shallow, usually amounting to visualising an attention matrix or recovered compartmental parameters rather than attributing a specific forecast to specific inputs. Transfer has been studied, but along the wrong axis for our problem: Panagopoulos, Nikolentzos, and Vazirgiannis (2021) use model-agnostic meta-learning to carry a mobility GNN from data-rich to data-poor countries, demonstrating cross-location transfer for a single disease, and several models generalise across regions by leave-one-region-out evaluation. The one work that comes closest to our own ambition is the dynamic spatio-temporal graph-attention model of Liu and Cao (2026), which forecasts influenza-like illness, hand-foot-and-mouth disease, dengue, and respiratory syncytial virus jointly from a shared encoder with disease-specific probabilistic decoders, and which reports genuinely calibrated quantile and distributional forecasts together with attention- and SHAP-based explanations. It is, on the calibration and explanation axes, the strongest incumbent. Its multi-disease capability, however, is joint multi-task learning over a fixed panel of four diseases rather than disease-agnosticism by construction, and its only cross-disease generalisation evidence is a leave-one-disease-out learning curve reported in a single figure, not a few-shot adaptation protocol with held-out metrics; the model is also, unlike the framework proposed here, not accompanied by public code. It therefore sharpens rather than closes the gap: it shows that calibration and explanation are attainable, while leaving disease-agnostic construction and few-shot adaptation to a genuinely unseen, data-scarce pathogen unaddressed.</w:t>
      </w:r>
    </w:p>
    <w:p w14:paraId="5284CF9F">
      <w:pPr>
        <w:keepNext/>
        <w:spacing w:before="160" w:after="80"/>
      </w:pPr>
      <w:r>
        <w:rPr>
          <w:rFonts w:ascii="Times New Roman" w:hAnsi="Times New Roman" w:cs="Times New Roman"/>
          <w:b/>
          <w:i w:val="0"/>
          <w:sz w:val="24"/>
        </w:rPr>
        <w:t>2.3  Structured competitive analysis</w:t>
      </w:r>
    </w:p>
    <w:p w14:paraId="2A01EC39">
      <w:pPr>
        <w:spacing w:after="120" w:line="276" w:lineRule="auto"/>
        <w:jc w:val="both"/>
      </w:pPr>
      <w:r>
        <w:rPr>
          <w:rFonts w:ascii="Times New Roman" w:hAnsi="Times New Roman" w:cs="Times New Roman"/>
          <w:b w:val="0"/>
          <w:i w:val="0"/>
          <w:sz w:val="22"/>
        </w:rPr>
        <w:t>Table 1 renders the preceding synthesis as a single grid, scoring each representative model on the dimensions drawn from our design requirements: the spatial and temporal modules, how the graph is obtained, whether a mechanistic prior is present, whether predictive uncertainty and explanation are provided, which diseases are evaluated, whether cross-disease transfer is demonstrated, the datasets and metrics used, and whether code is public. Each cell was verified against the source paper or its released repository rather than from memory; a general-purpose spatio-temporal control (Graph WaveNet) is included to mark the non-epidemic floor, and the final row states the position of the framework proposed in this paper.</w:t>
      </w:r>
    </w:p>
    <w:p w14:paraId="77670CB3">
      <w:pPr>
        <w:sectPr>
          <w:pgSz w:w="12240" w:h="15840"/>
          <w:pgMar w:top="1440" w:right="1440" w:bottom="1440" w:left="1440" w:header="720" w:footer="720" w:gutter="0"/>
          <w:cols w:space="720" w:num="1"/>
          <w:docGrid w:linePitch="360" w:charSpace="0"/>
        </w:sectPr>
      </w:pPr>
    </w:p>
    <w:p w14:paraId="1329F3E2">
      <w:pPr>
        <w:keepNext/>
        <w:spacing w:before="160" w:after="60"/>
        <w:jc w:val="left"/>
      </w:pPr>
      <w:r>
        <w:rPr>
          <w:rFonts w:ascii="Times New Roman" w:hAnsi="Times New Roman" w:cs="Times New Roman"/>
          <w:b/>
          <w:i w:val="0"/>
          <w:sz w:val="20"/>
        </w:rPr>
        <w:t>Table 1.</w:t>
      </w:r>
      <w:r>
        <w:rPr>
          <w:rFonts w:ascii="Times New Roman" w:hAnsi="Times New Roman" w:cs="Times New Roman"/>
          <w:b w:val="0"/>
          <w:i w:val="0"/>
          <w:sz w:val="20"/>
        </w:rPr>
        <w:t xml:space="preserve">  Structured competitive analysis of representative spatio-temporal forecasting models (chronological). Abbreviations: conv. = convolution; TCN = temporal convolutional network; GCN/GAT = graph convolutional / attention network; SIR/SIRD = compartmental priors; n/s = not stated in source. The pattern down the “Uncert.”, “Explainability”, and “Transfer” columns is the evidentiary basis for the research gap in Section 4.</w:t>
      </w:r>
    </w:p>
    <w:tbl>
      <w:tblPr>
        <w:tblStyle w:val="35"/>
        <w:tblW w:w="125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7"/>
        <w:gridCol w:w="997"/>
        <w:gridCol w:w="997"/>
        <w:gridCol w:w="997"/>
        <w:gridCol w:w="997"/>
        <w:gridCol w:w="997"/>
        <w:gridCol w:w="997"/>
        <w:gridCol w:w="997"/>
        <w:gridCol w:w="997"/>
        <w:gridCol w:w="997"/>
        <w:gridCol w:w="997"/>
        <w:gridCol w:w="997"/>
        <w:gridCol w:w="997"/>
      </w:tblGrid>
      <w:tr w14:paraId="11DF4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81" w:type="dxa"/>
            <w:shd w:val="clear" w:color="auto" w:fill="D9D9D9"/>
          </w:tcPr>
          <w:p w14:paraId="16EA55D0">
            <w:pPr>
              <w:spacing w:before="12" w:after="12" w:line="240" w:lineRule="auto"/>
              <w:jc w:val="center"/>
            </w:pPr>
            <w:r>
              <w:rPr>
                <w:rFonts w:ascii="Times New Roman" w:hAnsi="Times New Roman" w:cs="Times New Roman"/>
                <w:b/>
                <w:i w:val="0"/>
                <w:sz w:val="15"/>
              </w:rPr>
              <w:t>Method</w:t>
            </w:r>
          </w:p>
        </w:tc>
        <w:tc>
          <w:tcPr>
            <w:tcW w:w="907" w:type="dxa"/>
            <w:shd w:val="clear" w:color="auto" w:fill="D9D9D9"/>
          </w:tcPr>
          <w:p w14:paraId="5DC69CA6">
            <w:pPr>
              <w:spacing w:before="12" w:after="12" w:line="240" w:lineRule="auto"/>
              <w:jc w:val="center"/>
            </w:pPr>
            <w:r>
              <w:rPr>
                <w:rFonts w:ascii="Times New Roman" w:hAnsi="Times New Roman" w:cs="Times New Roman"/>
                <w:b/>
                <w:i w:val="0"/>
                <w:sz w:val="15"/>
              </w:rPr>
              <w:t>Venue / Yr</w:t>
            </w:r>
          </w:p>
        </w:tc>
        <w:tc>
          <w:tcPr>
            <w:tcW w:w="1334" w:type="dxa"/>
            <w:shd w:val="clear" w:color="auto" w:fill="D9D9D9"/>
          </w:tcPr>
          <w:p w14:paraId="0269F41C">
            <w:pPr>
              <w:spacing w:before="12" w:after="12" w:line="240" w:lineRule="auto"/>
              <w:jc w:val="center"/>
            </w:pPr>
            <w:r>
              <w:rPr>
                <w:rFonts w:ascii="Times New Roman" w:hAnsi="Times New Roman" w:cs="Times New Roman"/>
                <w:b/>
                <w:i w:val="0"/>
                <w:sz w:val="15"/>
              </w:rPr>
              <w:t>Spatial module</w:t>
            </w:r>
          </w:p>
        </w:tc>
        <w:tc>
          <w:tcPr>
            <w:tcW w:w="1075" w:type="dxa"/>
            <w:shd w:val="clear" w:color="auto" w:fill="D9D9D9"/>
          </w:tcPr>
          <w:p w14:paraId="71A0071C">
            <w:pPr>
              <w:spacing w:before="12" w:after="12" w:line="240" w:lineRule="auto"/>
              <w:jc w:val="center"/>
            </w:pPr>
            <w:r>
              <w:rPr>
                <w:rFonts w:ascii="Times New Roman" w:hAnsi="Times New Roman" w:cs="Times New Roman"/>
                <w:b/>
                <w:i w:val="0"/>
                <w:sz w:val="15"/>
              </w:rPr>
              <w:t>Temporal module</w:t>
            </w:r>
          </w:p>
        </w:tc>
        <w:tc>
          <w:tcPr>
            <w:tcW w:w="1166" w:type="dxa"/>
            <w:shd w:val="clear" w:color="auto" w:fill="D9D9D9"/>
          </w:tcPr>
          <w:p w14:paraId="2CE46344">
            <w:pPr>
              <w:spacing w:before="12" w:after="12" w:line="240" w:lineRule="auto"/>
              <w:jc w:val="center"/>
            </w:pPr>
            <w:r>
              <w:rPr>
                <w:rFonts w:ascii="Times New Roman" w:hAnsi="Times New Roman" w:cs="Times New Roman"/>
                <w:b/>
                <w:i w:val="0"/>
                <w:sz w:val="15"/>
              </w:rPr>
              <w:t>Graph type</w:t>
            </w:r>
          </w:p>
        </w:tc>
        <w:tc>
          <w:tcPr>
            <w:tcW w:w="751" w:type="dxa"/>
            <w:shd w:val="clear" w:color="auto" w:fill="D9D9D9"/>
          </w:tcPr>
          <w:p w14:paraId="6A281231">
            <w:pPr>
              <w:spacing w:before="12" w:after="12" w:line="240" w:lineRule="auto"/>
              <w:jc w:val="center"/>
            </w:pPr>
            <w:r>
              <w:rPr>
                <w:rFonts w:ascii="Times New Roman" w:hAnsi="Times New Roman" w:cs="Times New Roman"/>
                <w:b/>
                <w:i w:val="0"/>
                <w:sz w:val="15"/>
              </w:rPr>
              <w:t>Mech. prior</w:t>
            </w:r>
          </w:p>
        </w:tc>
        <w:tc>
          <w:tcPr>
            <w:tcW w:w="751" w:type="dxa"/>
            <w:shd w:val="clear" w:color="auto" w:fill="D9D9D9"/>
          </w:tcPr>
          <w:p w14:paraId="5B65035C">
            <w:pPr>
              <w:spacing w:before="12" w:after="12" w:line="240" w:lineRule="auto"/>
              <w:jc w:val="center"/>
            </w:pPr>
            <w:r>
              <w:rPr>
                <w:rFonts w:ascii="Times New Roman" w:hAnsi="Times New Roman" w:cs="Times New Roman"/>
                <w:b/>
                <w:i w:val="0"/>
                <w:sz w:val="15"/>
              </w:rPr>
              <w:t>Uncert.</w:t>
            </w:r>
          </w:p>
        </w:tc>
        <w:tc>
          <w:tcPr>
            <w:tcW w:w="1062" w:type="dxa"/>
            <w:shd w:val="clear" w:color="auto" w:fill="D9D9D9"/>
          </w:tcPr>
          <w:p w14:paraId="63AE2180">
            <w:pPr>
              <w:spacing w:before="12" w:after="12" w:line="240" w:lineRule="auto"/>
              <w:jc w:val="center"/>
            </w:pPr>
            <w:r>
              <w:rPr>
                <w:rFonts w:ascii="Times New Roman" w:hAnsi="Times New Roman" w:cs="Times New Roman"/>
                <w:b/>
                <w:i w:val="0"/>
                <w:sz w:val="15"/>
              </w:rPr>
              <w:t>Explainability</w:t>
            </w:r>
          </w:p>
        </w:tc>
        <w:tc>
          <w:tcPr>
            <w:tcW w:w="1075" w:type="dxa"/>
            <w:shd w:val="clear" w:color="auto" w:fill="D9D9D9"/>
          </w:tcPr>
          <w:p w14:paraId="4BB32B17">
            <w:pPr>
              <w:spacing w:before="12" w:after="12" w:line="240" w:lineRule="auto"/>
              <w:jc w:val="center"/>
            </w:pPr>
            <w:r>
              <w:rPr>
                <w:rFonts w:ascii="Times New Roman" w:hAnsi="Times New Roman" w:cs="Times New Roman"/>
                <w:b/>
                <w:i w:val="0"/>
                <w:sz w:val="15"/>
              </w:rPr>
              <w:t>Diseases</w:t>
            </w:r>
          </w:p>
        </w:tc>
        <w:tc>
          <w:tcPr>
            <w:tcW w:w="933" w:type="dxa"/>
            <w:shd w:val="clear" w:color="auto" w:fill="D9D9D9"/>
          </w:tcPr>
          <w:p w14:paraId="126CD7D9">
            <w:pPr>
              <w:spacing w:before="12" w:after="12" w:line="240" w:lineRule="auto"/>
              <w:jc w:val="center"/>
            </w:pPr>
            <w:r>
              <w:rPr>
                <w:rFonts w:ascii="Times New Roman" w:hAnsi="Times New Roman" w:cs="Times New Roman"/>
                <w:b/>
                <w:i w:val="0"/>
                <w:sz w:val="15"/>
              </w:rPr>
              <w:t>Transfer</w:t>
            </w:r>
          </w:p>
        </w:tc>
        <w:tc>
          <w:tcPr>
            <w:tcW w:w="1270" w:type="dxa"/>
            <w:shd w:val="clear" w:color="auto" w:fill="D9D9D9"/>
          </w:tcPr>
          <w:p w14:paraId="33841D44">
            <w:pPr>
              <w:spacing w:before="12" w:after="12" w:line="240" w:lineRule="auto"/>
              <w:jc w:val="center"/>
            </w:pPr>
            <w:r>
              <w:rPr>
                <w:rFonts w:ascii="Times New Roman" w:hAnsi="Times New Roman" w:cs="Times New Roman"/>
                <w:b/>
                <w:i w:val="0"/>
                <w:sz w:val="15"/>
              </w:rPr>
              <w:t>Datasets</w:t>
            </w:r>
          </w:p>
        </w:tc>
        <w:tc>
          <w:tcPr>
            <w:tcW w:w="803" w:type="dxa"/>
            <w:shd w:val="clear" w:color="auto" w:fill="D9D9D9"/>
          </w:tcPr>
          <w:p w14:paraId="147A29AA">
            <w:pPr>
              <w:spacing w:before="12" w:after="12" w:line="240" w:lineRule="auto"/>
              <w:jc w:val="center"/>
            </w:pPr>
            <w:r>
              <w:rPr>
                <w:rFonts w:ascii="Times New Roman" w:hAnsi="Times New Roman" w:cs="Times New Roman"/>
                <w:b/>
                <w:i w:val="0"/>
                <w:sz w:val="15"/>
              </w:rPr>
              <w:t>Metrics</w:t>
            </w:r>
          </w:p>
        </w:tc>
        <w:tc>
          <w:tcPr>
            <w:tcW w:w="557" w:type="dxa"/>
            <w:shd w:val="clear" w:color="auto" w:fill="D9D9D9"/>
          </w:tcPr>
          <w:p w14:paraId="2A5C1E84">
            <w:pPr>
              <w:spacing w:before="12" w:after="12" w:line="240" w:lineRule="auto"/>
              <w:jc w:val="center"/>
            </w:pPr>
            <w:r>
              <w:rPr>
                <w:rFonts w:ascii="Times New Roman" w:hAnsi="Times New Roman" w:cs="Times New Roman"/>
                <w:b/>
                <w:i w:val="0"/>
                <w:sz w:val="15"/>
              </w:rPr>
              <w:t>Code</w:t>
            </w:r>
          </w:p>
        </w:tc>
      </w:tr>
      <w:tr w14:paraId="0A497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1" w:type="dxa"/>
          </w:tcPr>
          <w:p w14:paraId="3774D38B">
            <w:pPr>
              <w:spacing w:before="12" w:after="12" w:line="240" w:lineRule="auto"/>
              <w:jc w:val="left"/>
            </w:pPr>
            <w:r>
              <w:rPr>
                <w:rFonts w:ascii="Times New Roman" w:hAnsi="Times New Roman" w:cs="Times New Roman"/>
                <w:b w:val="0"/>
                <w:i w:val="0"/>
                <w:sz w:val="14"/>
              </w:rPr>
              <w:t>Graph WaveNet</w:t>
            </w:r>
          </w:p>
        </w:tc>
        <w:tc>
          <w:tcPr>
            <w:tcW w:w="907" w:type="dxa"/>
          </w:tcPr>
          <w:p w14:paraId="2FDD500E">
            <w:pPr>
              <w:spacing w:before="12" w:after="12" w:line="240" w:lineRule="auto"/>
              <w:jc w:val="left"/>
            </w:pPr>
            <w:r>
              <w:rPr>
                <w:rFonts w:ascii="Times New Roman" w:hAnsi="Times New Roman" w:cs="Times New Roman"/>
                <w:b w:val="0"/>
                <w:i w:val="0"/>
                <w:sz w:val="14"/>
              </w:rPr>
              <w:t>IJCAI 2019</w:t>
            </w:r>
          </w:p>
        </w:tc>
        <w:tc>
          <w:tcPr>
            <w:tcW w:w="1334" w:type="dxa"/>
          </w:tcPr>
          <w:p w14:paraId="5846F05B">
            <w:pPr>
              <w:spacing w:before="12" w:after="12" w:line="240" w:lineRule="auto"/>
              <w:jc w:val="left"/>
            </w:pPr>
            <w:r>
              <w:rPr>
                <w:rFonts w:ascii="Times New Roman" w:hAnsi="Times New Roman" w:cs="Times New Roman"/>
                <w:b w:val="0"/>
                <w:i w:val="0"/>
                <w:sz w:val="14"/>
              </w:rPr>
              <w:t>adaptive graph conv.</w:t>
            </w:r>
          </w:p>
        </w:tc>
        <w:tc>
          <w:tcPr>
            <w:tcW w:w="1075" w:type="dxa"/>
          </w:tcPr>
          <w:p w14:paraId="13C2B5DF">
            <w:pPr>
              <w:spacing w:before="12" w:after="12" w:line="240" w:lineRule="auto"/>
              <w:jc w:val="left"/>
            </w:pPr>
            <w:r>
              <w:rPr>
                <w:rFonts w:ascii="Times New Roman" w:hAnsi="Times New Roman" w:cs="Times New Roman"/>
                <w:b w:val="0"/>
                <w:i w:val="0"/>
                <w:sz w:val="14"/>
              </w:rPr>
              <w:t>dilated causal TCN</w:t>
            </w:r>
          </w:p>
        </w:tc>
        <w:tc>
          <w:tcPr>
            <w:tcW w:w="1166" w:type="dxa"/>
          </w:tcPr>
          <w:p w14:paraId="1FC2AEA3">
            <w:pPr>
              <w:spacing w:before="12" w:after="12" w:line="240" w:lineRule="auto"/>
              <w:jc w:val="left"/>
            </w:pPr>
            <w:r>
              <w:rPr>
                <w:rFonts w:ascii="Times New Roman" w:hAnsi="Times New Roman" w:cs="Times New Roman"/>
                <w:b w:val="0"/>
                <w:i w:val="0"/>
                <w:sz w:val="14"/>
              </w:rPr>
              <w:t>learned (adaptive)</w:t>
            </w:r>
          </w:p>
        </w:tc>
        <w:tc>
          <w:tcPr>
            <w:tcW w:w="751" w:type="dxa"/>
          </w:tcPr>
          <w:p w14:paraId="6B1B7A63">
            <w:pPr>
              <w:spacing w:before="12" w:after="12" w:line="240" w:lineRule="auto"/>
              <w:jc w:val="left"/>
            </w:pPr>
            <w:r>
              <w:rPr>
                <w:rFonts w:ascii="Times New Roman" w:hAnsi="Times New Roman" w:cs="Times New Roman"/>
                <w:b w:val="0"/>
                <w:i w:val="0"/>
                <w:sz w:val="14"/>
              </w:rPr>
              <w:t>none</w:t>
            </w:r>
          </w:p>
        </w:tc>
        <w:tc>
          <w:tcPr>
            <w:tcW w:w="751" w:type="dxa"/>
          </w:tcPr>
          <w:p w14:paraId="2BB2EDA5">
            <w:pPr>
              <w:spacing w:before="12" w:after="12" w:line="240" w:lineRule="auto"/>
              <w:jc w:val="center"/>
            </w:pPr>
            <w:r>
              <w:rPr>
                <w:rFonts w:ascii="Times New Roman" w:hAnsi="Times New Roman" w:cs="Times New Roman"/>
                <w:b w:val="0"/>
                <w:i w:val="0"/>
                <w:sz w:val="14"/>
              </w:rPr>
              <w:t>none</w:t>
            </w:r>
          </w:p>
        </w:tc>
        <w:tc>
          <w:tcPr>
            <w:tcW w:w="1062" w:type="dxa"/>
          </w:tcPr>
          <w:p w14:paraId="6F652D2A">
            <w:pPr>
              <w:spacing w:before="12" w:after="12" w:line="240" w:lineRule="auto"/>
              <w:jc w:val="left"/>
            </w:pPr>
            <w:r>
              <w:rPr>
                <w:rFonts w:ascii="Times New Roman" w:hAnsi="Times New Roman" w:cs="Times New Roman"/>
                <w:b w:val="0"/>
                <w:i w:val="0"/>
                <w:sz w:val="14"/>
              </w:rPr>
              <w:t>no</w:t>
            </w:r>
          </w:p>
        </w:tc>
        <w:tc>
          <w:tcPr>
            <w:tcW w:w="1075" w:type="dxa"/>
          </w:tcPr>
          <w:p w14:paraId="1FEB2EBC">
            <w:pPr>
              <w:spacing w:before="12" w:after="12" w:line="240" w:lineRule="auto"/>
              <w:jc w:val="left"/>
            </w:pPr>
            <w:r>
              <w:rPr>
                <w:rFonts w:ascii="Times New Roman" w:hAnsi="Times New Roman" w:cs="Times New Roman"/>
                <w:b w:val="0"/>
                <w:i w:val="0"/>
                <w:sz w:val="14"/>
              </w:rPr>
              <w:t>traffic (non-epi.)</w:t>
            </w:r>
          </w:p>
        </w:tc>
        <w:tc>
          <w:tcPr>
            <w:tcW w:w="933" w:type="dxa"/>
          </w:tcPr>
          <w:p w14:paraId="2B94D289">
            <w:pPr>
              <w:spacing w:before="12" w:after="12" w:line="240" w:lineRule="auto"/>
              <w:jc w:val="left"/>
            </w:pPr>
            <w:r>
              <w:rPr>
                <w:rFonts w:ascii="Times New Roman" w:hAnsi="Times New Roman" w:cs="Times New Roman"/>
                <w:b w:val="0"/>
                <w:i w:val="0"/>
                <w:sz w:val="14"/>
              </w:rPr>
              <w:t>no</w:t>
            </w:r>
          </w:p>
        </w:tc>
        <w:tc>
          <w:tcPr>
            <w:tcW w:w="1270" w:type="dxa"/>
          </w:tcPr>
          <w:p w14:paraId="326F23E9">
            <w:pPr>
              <w:spacing w:before="12" w:after="12" w:line="240" w:lineRule="auto"/>
              <w:jc w:val="left"/>
            </w:pPr>
            <w:r>
              <w:rPr>
                <w:rFonts w:ascii="Times New Roman" w:hAnsi="Times New Roman" w:cs="Times New Roman"/>
                <w:b w:val="0"/>
                <w:i w:val="0"/>
                <w:sz w:val="14"/>
              </w:rPr>
              <w:t>METR-LA; PEMS-BAY</w:t>
            </w:r>
          </w:p>
        </w:tc>
        <w:tc>
          <w:tcPr>
            <w:tcW w:w="803" w:type="dxa"/>
          </w:tcPr>
          <w:p w14:paraId="3AFE3BC7">
            <w:pPr>
              <w:spacing w:before="12" w:after="12" w:line="240" w:lineRule="auto"/>
              <w:jc w:val="left"/>
            </w:pPr>
            <w:r>
              <w:rPr>
                <w:rFonts w:ascii="Times New Roman" w:hAnsi="Times New Roman" w:cs="Times New Roman"/>
                <w:b w:val="0"/>
                <w:i w:val="0"/>
                <w:sz w:val="14"/>
              </w:rPr>
              <w:t>MAE, RMSE, MAPE</w:t>
            </w:r>
          </w:p>
        </w:tc>
        <w:tc>
          <w:tcPr>
            <w:tcW w:w="557" w:type="dxa"/>
          </w:tcPr>
          <w:p w14:paraId="6676606A">
            <w:pPr>
              <w:spacing w:before="12" w:after="12" w:line="240" w:lineRule="auto"/>
              <w:jc w:val="center"/>
            </w:pPr>
            <w:r>
              <w:rPr>
                <w:rFonts w:ascii="Times New Roman" w:hAnsi="Times New Roman" w:cs="Times New Roman"/>
                <w:b w:val="0"/>
                <w:i w:val="0"/>
                <w:sz w:val="14"/>
              </w:rPr>
              <w:t>yes</w:t>
            </w:r>
          </w:p>
        </w:tc>
      </w:tr>
      <w:tr w14:paraId="148C1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1" w:type="dxa"/>
          </w:tcPr>
          <w:p w14:paraId="218D14AB">
            <w:pPr>
              <w:spacing w:before="12" w:after="12" w:line="240" w:lineRule="auto"/>
              <w:jc w:val="left"/>
            </w:pPr>
            <w:r>
              <w:rPr>
                <w:rFonts w:ascii="Times New Roman" w:hAnsi="Times New Roman" w:cs="Times New Roman"/>
                <w:b w:val="0"/>
                <w:i w:val="0"/>
                <w:sz w:val="14"/>
              </w:rPr>
              <w:t>Cola-GNN</w:t>
            </w:r>
          </w:p>
        </w:tc>
        <w:tc>
          <w:tcPr>
            <w:tcW w:w="907" w:type="dxa"/>
          </w:tcPr>
          <w:p w14:paraId="3CA90123">
            <w:pPr>
              <w:spacing w:before="12" w:after="12" w:line="240" w:lineRule="auto"/>
              <w:jc w:val="left"/>
            </w:pPr>
            <w:r>
              <w:rPr>
                <w:rFonts w:ascii="Times New Roman" w:hAnsi="Times New Roman" w:cs="Times New Roman"/>
                <w:b w:val="0"/>
                <w:i w:val="0"/>
                <w:sz w:val="14"/>
              </w:rPr>
              <w:t>CIKM 2020</w:t>
            </w:r>
          </w:p>
        </w:tc>
        <w:tc>
          <w:tcPr>
            <w:tcW w:w="1334" w:type="dxa"/>
          </w:tcPr>
          <w:p w14:paraId="618CF81B">
            <w:pPr>
              <w:spacing w:before="12" w:after="12" w:line="240" w:lineRule="auto"/>
              <w:jc w:val="left"/>
            </w:pPr>
            <w:r>
              <w:rPr>
                <w:rFonts w:ascii="Times New Roman" w:hAnsi="Times New Roman" w:cs="Times New Roman"/>
                <w:b w:val="0"/>
                <w:i w:val="0"/>
                <w:sz w:val="14"/>
              </w:rPr>
              <w:t>cross-location attn.</w:t>
            </w:r>
          </w:p>
        </w:tc>
        <w:tc>
          <w:tcPr>
            <w:tcW w:w="1075" w:type="dxa"/>
          </w:tcPr>
          <w:p w14:paraId="22E4C2E5">
            <w:pPr>
              <w:spacing w:before="12" w:after="12" w:line="240" w:lineRule="auto"/>
              <w:jc w:val="left"/>
            </w:pPr>
            <w:r>
              <w:rPr>
                <w:rFonts w:ascii="Times New Roman" w:hAnsi="Times New Roman" w:cs="Times New Roman"/>
                <w:b w:val="0"/>
                <w:i w:val="0"/>
                <w:sz w:val="14"/>
              </w:rPr>
              <w:t>RNN + dilated conv.</w:t>
            </w:r>
          </w:p>
        </w:tc>
        <w:tc>
          <w:tcPr>
            <w:tcW w:w="1166" w:type="dxa"/>
          </w:tcPr>
          <w:p w14:paraId="26C4D1A1">
            <w:pPr>
              <w:spacing w:before="12" w:after="12" w:line="240" w:lineRule="auto"/>
              <w:jc w:val="left"/>
            </w:pPr>
            <w:r>
              <w:rPr>
                <w:rFonts w:ascii="Times New Roman" w:hAnsi="Times New Roman" w:cs="Times New Roman"/>
                <w:b w:val="0"/>
                <w:i w:val="0"/>
                <w:sz w:val="14"/>
              </w:rPr>
              <w:t>learned + geo (gated)</w:t>
            </w:r>
          </w:p>
        </w:tc>
        <w:tc>
          <w:tcPr>
            <w:tcW w:w="751" w:type="dxa"/>
          </w:tcPr>
          <w:p w14:paraId="2FE91988">
            <w:pPr>
              <w:spacing w:before="12" w:after="12" w:line="240" w:lineRule="auto"/>
              <w:jc w:val="left"/>
            </w:pPr>
            <w:r>
              <w:rPr>
                <w:rFonts w:ascii="Times New Roman" w:hAnsi="Times New Roman" w:cs="Times New Roman"/>
                <w:b w:val="0"/>
                <w:i w:val="0"/>
                <w:sz w:val="14"/>
              </w:rPr>
              <w:t>none</w:t>
            </w:r>
          </w:p>
        </w:tc>
        <w:tc>
          <w:tcPr>
            <w:tcW w:w="751" w:type="dxa"/>
          </w:tcPr>
          <w:p w14:paraId="29210CC0">
            <w:pPr>
              <w:spacing w:before="12" w:after="12" w:line="240" w:lineRule="auto"/>
              <w:jc w:val="center"/>
            </w:pPr>
            <w:r>
              <w:rPr>
                <w:rFonts w:ascii="Times New Roman" w:hAnsi="Times New Roman" w:cs="Times New Roman"/>
                <w:b w:val="0"/>
                <w:i w:val="0"/>
                <w:sz w:val="14"/>
              </w:rPr>
              <w:t>none</w:t>
            </w:r>
          </w:p>
        </w:tc>
        <w:tc>
          <w:tcPr>
            <w:tcW w:w="1062" w:type="dxa"/>
          </w:tcPr>
          <w:p w14:paraId="1B2EBF09">
            <w:pPr>
              <w:spacing w:before="12" w:after="12" w:line="240" w:lineRule="auto"/>
              <w:jc w:val="left"/>
            </w:pPr>
            <w:r>
              <w:rPr>
                <w:rFonts w:ascii="Times New Roman" w:hAnsi="Times New Roman" w:cs="Times New Roman"/>
                <w:b w:val="0"/>
                <w:i w:val="0"/>
                <w:sz w:val="14"/>
              </w:rPr>
              <w:t>yes — attention</w:t>
            </w:r>
          </w:p>
        </w:tc>
        <w:tc>
          <w:tcPr>
            <w:tcW w:w="1075" w:type="dxa"/>
          </w:tcPr>
          <w:p w14:paraId="35C926DB">
            <w:pPr>
              <w:spacing w:before="12" w:after="12" w:line="240" w:lineRule="auto"/>
              <w:jc w:val="left"/>
            </w:pPr>
            <w:r>
              <w:rPr>
                <w:rFonts w:ascii="Times New Roman" w:hAnsi="Times New Roman" w:cs="Times New Roman"/>
                <w:b w:val="0"/>
                <w:i w:val="0"/>
                <w:sz w:val="14"/>
              </w:rPr>
              <w:t>influenza (ILI)</w:t>
            </w:r>
          </w:p>
        </w:tc>
        <w:tc>
          <w:tcPr>
            <w:tcW w:w="933" w:type="dxa"/>
          </w:tcPr>
          <w:p w14:paraId="76EF0F0B">
            <w:pPr>
              <w:spacing w:before="12" w:after="12" w:line="240" w:lineRule="auto"/>
              <w:jc w:val="left"/>
            </w:pPr>
            <w:r>
              <w:rPr>
                <w:rFonts w:ascii="Times New Roman" w:hAnsi="Times New Roman" w:cs="Times New Roman"/>
                <w:b w:val="0"/>
                <w:i w:val="0"/>
                <w:sz w:val="14"/>
              </w:rPr>
              <w:t>no</w:t>
            </w:r>
          </w:p>
        </w:tc>
        <w:tc>
          <w:tcPr>
            <w:tcW w:w="1270" w:type="dxa"/>
          </w:tcPr>
          <w:p w14:paraId="2258A924">
            <w:pPr>
              <w:spacing w:before="12" w:after="12" w:line="240" w:lineRule="auto"/>
              <w:jc w:val="left"/>
            </w:pPr>
            <w:r>
              <w:rPr>
                <w:rFonts w:ascii="Times New Roman" w:hAnsi="Times New Roman" w:cs="Times New Roman"/>
                <w:b w:val="0"/>
                <w:i w:val="0"/>
                <w:sz w:val="14"/>
              </w:rPr>
              <w:t>Japan (47); US-Reg. (10); US-St. (49)</w:t>
            </w:r>
          </w:p>
        </w:tc>
        <w:tc>
          <w:tcPr>
            <w:tcW w:w="803" w:type="dxa"/>
          </w:tcPr>
          <w:p w14:paraId="6D022AA9">
            <w:pPr>
              <w:spacing w:before="12" w:after="12" w:line="240" w:lineRule="auto"/>
              <w:jc w:val="left"/>
            </w:pPr>
            <w:r>
              <w:rPr>
                <w:rFonts w:ascii="Times New Roman" w:hAnsi="Times New Roman" w:cs="Times New Roman"/>
                <w:b w:val="0"/>
                <w:i w:val="0"/>
                <w:sz w:val="14"/>
              </w:rPr>
              <w:t>RMSE, MAE, PCC</w:t>
            </w:r>
          </w:p>
        </w:tc>
        <w:tc>
          <w:tcPr>
            <w:tcW w:w="557" w:type="dxa"/>
          </w:tcPr>
          <w:p w14:paraId="3DBAE662">
            <w:pPr>
              <w:spacing w:before="12" w:after="12" w:line="240" w:lineRule="auto"/>
              <w:jc w:val="center"/>
            </w:pPr>
            <w:r>
              <w:rPr>
                <w:rFonts w:ascii="Times New Roman" w:hAnsi="Times New Roman" w:cs="Times New Roman"/>
                <w:b w:val="0"/>
                <w:i w:val="0"/>
                <w:sz w:val="14"/>
              </w:rPr>
              <w:t>yes</w:t>
            </w:r>
          </w:p>
        </w:tc>
      </w:tr>
      <w:tr w14:paraId="3CC8F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1" w:type="dxa"/>
          </w:tcPr>
          <w:p w14:paraId="23BA5318">
            <w:pPr>
              <w:spacing w:before="12" w:after="12" w:line="240" w:lineRule="auto"/>
              <w:jc w:val="left"/>
            </w:pPr>
            <w:r>
              <w:rPr>
                <w:rFonts w:ascii="Times New Roman" w:hAnsi="Times New Roman" w:cs="Times New Roman"/>
                <w:b w:val="0"/>
                <w:i w:val="0"/>
                <w:sz w:val="14"/>
              </w:rPr>
              <w:t>EpiGNN</w:t>
            </w:r>
          </w:p>
        </w:tc>
        <w:tc>
          <w:tcPr>
            <w:tcW w:w="907" w:type="dxa"/>
          </w:tcPr>
          <w:p w14:paraId="260EBD55">
            <w:pPr>
              <w:spacing w:before="12" w:after="12" w:line="240" w:lineRule="auto"/>
              <w:jc w:val="left"/>
            </w:pPr>
            <w:r>
              <w:rPr>
                <w:rFonts w:ascii="Times New Roman" w:hAnsi="Times New Roman" w:cs="Times New Roman"/>
                <w:b w:val="0"/>
                <w:i w:val="0"/>
                <w:sz w:val="14"/>
              </w:rPr>
              <w:t>ECML-PKDD 2022</w:t>
            </w:r>
          </w:p>
        </w:tc>
        <w:tc>
          <w:tcPr>
            <w:tcW w:w="1334" w:type="dxa"/>
          </w:tcPr>
          <w:p w14:paraId="369A3610">
            <w:pPr>
              <w:spacing w:before="12" w:after="12" w:line="240" w:lineRule="auto"/>
              <w:jc w:val="left"/>
            </w:pPr>
            <w:r>
              <w:rPr>
                <w:rFonts w:ascii="Times New Roman" w:hAnsi="Times New Roman" w:cs="Times New Roman"/>
                <w:b w:val="0"/>
                <w:i w:val="0"/>
                <w:sz w:val="14"/>
              </w:rPr>
              <w:t>region-aware graph-learn. + GCN</w:t>
            </w:r>
          </w:p>
        </w:tc>
        <w:tc>
          <w:tcPr>
            <w:tcW w:w="1075" w:type="dxa"/>
          </w:tcPr>
          <w:p w14:paraId="0CB6AF1B">
            <w:pPr>
              <w:spacing w:before="12" w:after="12" w:line="240" w:lineRule="auto"/>
              <w:jc w:val="left"/>
            </w:pPr>
            <w:r>
              <w:rPr>
                <w:rFonts w:ascii="Times New Roman" w:hAnsi="Times New Roman" w:cs="Times New Roman"/>
                <w:b w:val="0"/>
                <w:i w:val="0"/>
                <w:sz w:val="14"/>
              </w:rPr>
              <w:t>multi-scale CNN</w:t>
            </w:r>
          </w:p>
        </w:tc>
        <w:tc>
          <w:tcPr>
            <w:tcW w:w="1166" w:type="dxa"/>
          </w:tcPr>
          <w:p w14:paraId="6034A446">
            <w:pPr>
              <w:spacing w:before="12" w:after="12" w:line="240" w:lineRule="auto"/>
              <w:jc w:val="left"/>
            </w:pPr>
            <w:r>
              <w:rPr>
                <w:rFonts w:ascii="Times New Roman" w:hAnsi="Times New Roman" w:cs="Times New Roman"/>
                <w:b w:val="0"/>
                <w:i w:val="0"/>
                <w:sz w:val="14"/>
              </w:rPr>
              <w:t>learned + geo + opt. mobility</w:t>
            </w:r>
          </w:p>
        </w:tc>
        <w:tc>
          <w:tcPr>
            <w:tcW w:w="751" w:type="dxa"/>
          </w:tcPr>
          <w:p w14:paraId="0896EFA0">
            <w:pPr>
              <w:spacing w:before="12" w:after="12" w:line="240" w:lineRule="auto"/>
              <w:jc w:val="left"/>
            </w:pPr>
            <w:r>
              <w:rPr>
                <w:rFonts w:ascii="Times New Roman" w:hAnsi="Times New Roman" w:cs="Times New Roman"/>
                <w:b w:val="0"/>
                <w:i w:val="0"/>
                <w:sz w:val="14"/>
              </w:rPr>
              <w:t>none</w:t>
            </w:r>
          </w:p>
        </w:tc>
        <w:tc>
          <w:tcPr>
            <w:tcW w:w="751" w:type="dxa"/>
          </w:tcPr>
          <w:p w14:paraId="6F2D39BE">
            <w:pPr>
              <w:spacing w:before="12" w:after="12" w:line="240" w:lineRule="auto"/>
              <w:jc w:val="center"/>
            </w:pPr>
            <w:r>
              <w:rPr>
                <w:rFonts w:ascii="Times New Roman" w:hAnsi="Times New Roman" w:cs="Times New Roman"/>
                <w:b w:val="0"/>
                <w:i w:val="0"/>
                <w:sz w:val="14"/>
              </w:rPr>
              <w:t>none</w:t>
            </w:r>
          </w:p>
        </w:tc>
        <w:tc>
          <w:tcPr>
            <w:tcW w:w="1062" w:type="dxa"/>
          </w:tcPr>
          <w:p w14:paraId="2D0FF99A">
            <w:pPr>
              <w:spacing w:before="12" w:after="12" w:line="240" w:lineRule="auto"/>
              <w:jc w:val="left"/>
            </w:pPr>
            <w:r>
              <w:rPr>
                <w:rFonts w:ascii="Times New Roman" w:hAnsi="Times New Roman" w:cs="Times New Roman"/>
                <w:b w:val="0"/>
                <w:i w:val="0"/>
                <w:sz w:val="14"/>
              </w:rPr>
              <w:t>yes — transm. risk</w:t>
            </w:r>
          </w:p>
        </w:tc>
        <w:tc>
          <w:tcPr>
            <w:tcW w:w="1075" w:type="dxa"/>
          </w:tcPr>
          <w:p w14:paraId="2CA5BB82">
            <w:pPr>
              <w:spacing w:before="12" w:after="12" w:line="240" w:lineRule="auto"/>
              <w:jc w:val="left"/>
            </w:pPr>
            <w:r>
              <w:rPr>
                <w:rFonts w:ascii="Times New Roman" w:hAnsi="Times New Roman" w:cs="Times New Roman"/>
                <w:b w:val="0"/>
                <w:i w:val="0"/>
                <w:sz w:val="14"/>
              </w:rPr>
              <w:t>influenza + COVID</w:t>
            </w:r>
          </w:p>
        </w:tc>
        <w:tc>
          <w:tcPr>
            <w:tcW w:w="933" w:type="dxa"/>
          </w:tcPr>
          <w:p w14:paraId="5834967D">
            <w:pPr>
              <w:spacing w:before="12" w:after="12" w:line="240" w:lineRule="auto"/>
              <w:jc w:val="left"/>
            </w:pPr>
            <w:r>
              <w:rPr>
                <w:rFonts w:ascii="Times New Roman" w:hAnsi="Times New Roman" w:cs="Times New Roman"/>
                <w:b w:val="0"/>
                <w:i w:val="0"/>
                <w:sz w:val="14"/>
              </w:rPr>
              <w:t>no</w:t>
            </w:r>
          </w:p>
        </w:tc>
        <w:tc>
          <w:tcPr>
            <w:tcW w:w="1270" w:type="dxa"/>
          </w:tcPr>
          <w:p w14:paraId="35B38758">
            <w:pPr>
              <w:spacing w:before="12" w:after="12" w:line="240" w:lineRule="auto"/>
              <w:jc w:val="left"/>
            </w:pPr>
            <w:r>
              <w:rPr>
                <w:rFonts w:ascii="Times New Roman" w:hAnsi="Times New Roman" w:cs="Times New Roman"/>
                <w:b w:val="0"/>
                <w:i w:val="0"/>
                <w:sz w:val="14"/>
              </w:rPr>
              <w:t>Japan/US ILI; AU-, ES-COVID</w:t>
            </w:r>
          </w:p>
        </w:tc>
        <w:tc>
          <w:tcPr>
            <w:tcW w:w="803" w:type="dxa"/>
          </w:tcPr>
          <w:p w14:paraId="66A49F9A">
            <w:pPr>
              <w:spacing w:before="12" w:after="12" w:line="240" w:lineRule="auto"/>
              <w:jc w:val="left"/>
            </w:pPr>
            <w:r>
              <w:rPr>
                <w:rFonts w:ascii="Times New Roman" w:hAnsi="Times New Roman" w:cs="Times New Roman"/>
                <w:b w:val="0"/>
                <w:i w:val="0"/>
                <w:sz w:val="14"/>
              </w:rPr>
              <w:t>RMSE, PCC</w:t>
            </w:r>
          </w:p>
        </w:tc>
        <w:tc>
          <w:tcPr>
            <w:tcW w:w="557" w:type="dxa"/>
          </w:tcPr>
          <w:p w14:paraId="24CC1FA9">
            <w:pPr>
              <w:spacing w:before="12" w:after="12" w:line="240" w:lineRule="auto"/>
              <w:jc w:val="center"/>
            </w:pPr>
            <w:r>
              <w:rPr>
                <w:rFonts w:ascii="Times New Roman" w:hAnsi="Times New Roman" w:cs="Times New Roman"/>
                <w:b w:val="0"/>
                <w:i w:val="0"/>
                <w:sz w:val="14"/>
              </w:rPr>
              <w:t>yes</w:t>
            </w:r>
          </w:p>
        </w:tc>
      </w:tr>
      <w:tr w14:paraId="45D68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1" w:type="dxa"/>
          </w:tcPr>
          <w:p w14:paraId="1BCBA1D8">
            <w:pPr>
              <w:spacing w:before="12" w:after="12" w:line="240" w:lineRule="auto"/>
              <w:jc w:val="left"/>
            </w:pPr>
            <w:r>
              <w:rPr>
                <w:rFonts w:ascii="Times New Roman" w:hAnsi="Times New Roman" w:cs="Times New Roman"/>
                <w:b w:val="0"/>
                <w:i w:val="0"/>
                <w:sz w:val="14"/>
              </w:rPr>
              <w:t>CausalGNN</w:t>
            </w:r>
          </w:p>
        </w:tc>
        <w:tc>
          <w:tcPr>
            <w:tcW w:w="907" w:type="dxa"/>
          </w:tcPr>
          <w:p w14:paraId="189C3A3D">
            <w:pPr>
              <w:spacing w:before="12" w:after="12" w:line="240" w:lineRule="auto"/>
              <w:jc w:val="left"/>
            </w:pPr>
            <w:r>
              <w:rPr>
                <w:rFonts w:ascii="Times New Roman" w:hAnsi="Times New Roman" w:cs="Times New Roman"/>
                <w:b w:val="0"/>
                <w:i w:val="0"/>
                <w:sz w:val="14"/>
              </w:rPr>
              <w:t>AAAI 2022</w:t>
            </w:r>
          </w:p>
        </w:tc>
        <w:tc>
          <w:tcPr>
            <w:tcW w:w="1334" w:type="dxa"/>
          </w:tcPr>
          <w:p w14:paraId="06FB49D0">
            <w:pPr>
              <w:spacing w:before="12" w:after="12" w:line="240" w:lineRule="auto"/>
              <w:jc w:val="left"/>
            </w:pPr>
            <w:r>
              <w:rPr>
                <w:rFonts w:ascii="Times New Roman" w:hAnsi="Times New Roman" w:cs="Times New Roman"/>
                <w:b w:val="0"/>
                <w:i w:val="0"/>
                <w:sz w:val="14"/>
              </w:rPr>
              <w:t>attn.-based dynamic GCN</w:t>
            </w:r>
          </w:p>
        </w:tc>
        <w:tc>
          <w:tcPr>
            <w:tcW w:w="1075" w:type="dxa"/>
          </w:tcPr>
          <w:p w14:paraId="7F2F32B2">
            <w:pPr>
              <w:spacing w:before="12" w:after="12" w:line="240" w:lineRule="auto"/>
              <w:jc w:val="left"/>
            </w:pPr>
            <w:r>
              <w:rPr>
                <w:rFonts w:ascii="Times New Roman" w:hAnsi="Times New Roman" w:cs="Times New Roman"/>
                <w:b w:val="0"/>
                <w:i w:val="0"/>
                <w:sz w:val="14"/>
              </w:rPr>
              <w:t>recurrent temporal enc.</w:t>
            </w:r>
          </w:p>
        </w:tc>
        <w:tc>
          <w:tcPr>
            <w:tcW w:w="1166" w:type="dxa"/>
          </w:tcPr>
          <w:p w14:paraId="6448505C">
            <w:pPr>
              <w:spacing w:before="12" w:after="12" w:line="240" w:lineRule="auto"/>
              <w:jc w:val="left"/>
            </w:pPr>
            <w:r>
              <w:rPr>
                <w:rFonts w:ascii="Times New Roman" w:hAnsi="Times New Roman" w:cs="Times New Roman"/>
                <w:b w:val="0"/>
                <w:i w:val="0"/>
                <w:sz w:val="14"/>
              </w:rPr>
              <w:t>learned dynamic (attn.)</w:t>
            </w:r>
          </w:p>
        </w:tc>
        <w:tc>
          <w:tcPr>
            <w:tcW w:w="751" w:type="dxa"/>
          </w:tcPr>
          <w:p w14:paraId="2C401AE1">
            <w:pPr>
              <w:spacing w:before="12" w:after="12" w:line="240" w:lineRule="auto"/>
              <w:jc w:val="left"/>
            </w:pPr>
            <w:r>
              <w:rPr>
                <w:rFonts w:ascii="Times New Roman" w:hAnsi="Times New Roman" w:cs="Times New Roman"/>
                <w:b w:val="0"/>
                <w:i w:val="0"/>
                <w:sz w:val="14"/>
              </w:rPr>
              <w:t>SIRD (ODE)</w:t>
            </w:r>
          </w:p>
        </w:tc>
        <w:tc>
          <w:tcPr>
            <w:tcW w:w="751" w:type="dxa"/>
          </w:tcPr>
          <w:p w14:paraId="1B58F421">
            <w:pPr>
              <w:spacing w:before="12" w:after="12" w:line="240" w:lineRule="auto"/>
              <w:jc w:val="center"/>
            </w:pPr>
            <w:r>
              <w:rPr>
                <w:rFonts w:ascii="Times New Roman" w:hAnsi="Times New Roman" w:cs="Times New Roman"/>
                <w:b w:val="0"/>
                <w:i w:val="0"/>
                <w:sz w:val="14"/>
              </w:rPr>
              <w:t>none (seed CI)</w:t>
            </w:r>
          </w:p>
        </w:tc>
        <w:tc>
          <w:tcPr>
            <w:tcW w:w="1062" w:type="dxa"/>
          </w:tcPr>
          <w:p w14:paraId="1BD9D085">
            <w:pPr>
              <w:spacing w:before="12" w:after="12" w:line="240" w:lineRule="auto"/>
              <w:jc w:val="left"/>
            </w:pPr>
            <w:r>
              <w:rPr>
                <w:rFonts w:ascii="Times New Roman" w:hAnsi="Times New Roman" w:cs="Times New Roman"/>
                <w:b w:val="0"/>
                <w:i w:val="0"/>
                <w:sz w:val="14"/>
              </w:rPr>
              <w:t>partial — causal params</w:t>
            </w:r>
          </w:p>
        </w:tc>
        <w:tc>
          <w:tcPr>
            <w:tcW w:w="1075" w:type="dxa"/>
          </w:tcPr>
          <w:p w14:paraId="2A95F96A">
            <w:pPr>
              <w:spacing w:before="12" w:after="12" w:line="240" w:lineRule="auto"/>
              <w:jc w:val="left"/>
            </w:pPr>
            <w:r>
              <w:rPr>
                <w:rFonts w:ascii="Times New Roman" w:hAnsi="Times New Roman" w:cs="Times New Roman"/>
                <w:b w:val="0"/>
                <w:i w:val="0"/>
                <w:sz w:val="14"/>
              </w:rPr>
              <w:t>COVID-19</w:t>
            </w:r>
          </w:p>
        </w:tc>
        <w:tc>
          <w:tcPr>
            <w:tcW w:w="933" w:type="dxa"/>
          </w:tcPr>
          <w:p w14:paraId="288C5538">
            <w:pPr>
              <w:spacing w:before="12" w:after="12" w:line="240" w:lineRule="auto"/>
              <w:jc w:val="left"/>
            </w:pPr>
            <w:r>
              <w:rPr>
                <w:rFonts w:ascii="Times New Roman" w:hAnsi="Times New Roman" w:cs="Times New Roman"/>
                <w:b w:val="0"/>
                <w:i w:val="0"/>
                <w:sz w:val="14"/>
              </w:rPr>
              <w:t>no</w:t>
            </w:r>
          </w:p>
        </w:tc>
        <w:tc>
          <w:tcPr>
            <w:tcW w:w="1270" w:type="dxa"/>
          </w:tcPr>
          <w:p w14:paraId="2B28E3FD">
            <w:pPr>
              <w:spacing w:before="12" w:after="12" w:line="240" w:lineRule="auto"/>
              <w:jc w:val="left"/>
            </w:pPr>
            <w:r>
              <w:rPr>
                <w:rFonts w:ascii="Times New Roman" w:hAnsi="Times New Roman" w:cs="Times New Roman"/>
                <w:b w:val="0"/>
                <w:i w:val="0"/>
                <w:sz w:val="14"/>
              </w:rPr>
              <w:t>Global; US state / county</w:t>
            </w:r>
          </w:p>
        </w:tc>
        <w:tc>
          <w:tcPr>
            <w:tcW w:w="803" w:type="dxa"/>
          </w:tcPr>
          <w:p w14:paraId="212F5EC0">
            <w:pPr>
              <w:spacing w:before="12" w:after="12" w:line="240" w:lineRule="auto"/>
              <w:jc w:val="left"/>
            </w:pPr>
            <w:r>
              <w:rPr>
                <w:rFonts w:ascii="Times New Roman" w:hAnsi="Times New Roman" w:cs="Times New Roman"/>
                <w:b w:val="0"/>
                <w:i w:val="0"/>
                <w:sz w:val="14"/>
              </w:rPr>
              <w:t>MAE, MAPE</w:t>
            </w:r>
          </w:p>
        </w:tc>
        <w:tc>
          <w:tcPr>
            <w:tcW w:w="557" w:type="dxa"/>
          </w:tcPr>
          <w:p w14:paraId="0D74305E">
            <w:pPr>
              <w:spacing w:before="12" w:after="12" w:line="240" w:lineRule="auto"/>
              <w:jc w:val="center"/>
            </w:pPr>
            <w:r>
              <w:rPr>
                <w:rFonts w:ascii="Times New Roman" w:hAnsi="Times New Roman" w:cs="Times New Roman"/>
                <w:b w:val="0"/>
                <w:i w:val="0"/>
                <w:sz w:val="14"/>
              </w:rPr>
              <w:t>n/s</w:t>
            </w:r>
          </w:p>
        </w:tc>
      </w:tr>
      <w:tr w14:paraId="02BF5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1" w:type="dxa"/>
          </w:tcPr>
          <w:p w14:paraId="48BA2BD8">
            <w:pPr>
              <w:spacing w:before="12" w:after="12" w:line="240" w:lineRule="auto"/>
              <w:jc w:val="left"/>
            </w:pPr>
            <w:r>
              <w:rPr>
                <w:rFonts w:ascii="Times New Roman" w:hAnsi="Times New Roman" w:cs="Times New Roman"/>
                <w:b w:val="0"/>
                <w:i w:val="0"/>
                <w:sz w:val="14"/>
              </w:rPr>
              <w:t>MepoGNN</w:t>
            </w:r>
          </w:p>
        </w:tc>
        <w:tc>
          <w:tcPr>
            <w:tcW w:w="907" w:type="dxa"/>
          </w:tcPr>
          <w:p w14:paraId="1A671A86">
            <w:pPr>
              <w:spacing w:before="12" w:after="12" w:line="240" w:lineRule="auto"/>
              <w:jc w:val="left"/>
            </w:pPr>
            <w:r>
              <w:rPr>
                <w:rFonts w:ascii="Times New Roman" w:hAnsi="Times New Roman" w:cs="Times New Roman"/>
                <w:b w:val="0"/>
                <w:i w:val="0"/>
                <w:sz w:val="14"/>
              </w:rPr>
              <w:t>ECML-PKDD 2022</w:t>
            </w:r>
          </w:p>
        </w:tc>
        <w:tc>
          <w:tcPr>
            <w:tcW w:w="1334" w:type="dxa"/>
          </w:tcPr>
          <w:p w14:paraId="2D19B445">
            <w:pPr>
              <w:spacing w:before="12" w:after="12" w:line="240" w:lineRule="auto"/>
              <w:jc w:val="left"/>
            </w:pPr>
            <w:r>
              <w:rPr>
                <w:rFonts w:ascii="Times New Roman" w:hAnsi="Times New Roman" w:cs="Times New Roman"/>
                <w:b w:val="0"/>
                <w:i w:val="0"/>
                <w:sz w:val="14"/>
              </w:rPr>
              <w:t>metapop. graph-learn. + GCN</w:t>
            </w:r>
          </w:p>
        </w:tc>
        <w:tc>
          <w:tcPr>
            <w:tcW w:w="1075" w:type="dxa"/>
          </w:tcPr>
          <w:p w14:paraId="537D33B3">
            <w:pPr>
              <w:spacing w:before="12" w:after="12" w:line="240" w:lineRule="auto"/>
              <w:jc w:val="left"/>
            </w:pPr>
            <w:r>
              <w:rPr>
                <w:rFonts w:ascii="Times New Roman" w:hAnsi="Times New Roman" w:cs="Times New Roman"/>
                <w:b w:val="0"/>
                <w:i w:val="0"/>
                <w:sz w:val="14"/>
              </w:rPr>
              <w:t>spatio-temporal conv.</w:t>
            </w:r>
          </w:p>
        </w:tc>
        <w:tc>
          <w:tcPr>
            <w:tcW w:w="1166" w:type="dxa"/>
          </w:tcPr>
          <w:p w14:paraId="1D519768">
            <w:pPr>
              <w:spacing w:before="12" w:after="12" w:line="240" w:lineRule="auto"/>
              <w:jc w:val="left"/>
            </w:pPr>
            <w:r>
              <w:rPr>
                <w:rFonts w:ascii="Times New Roman" w:hAnsi="Times New Roman" w:cs="Times New Roman"/>
                <w:b w:val="0"/>
                <w:i w:val="0"/>
                <w:sz w:val="14"/>
              </w:rPr>
              <w:t>learned: commuter + OD flow</w:t>
            </w:r>
          </w:p>
        </w:tc>
        <w:tc>
          <w:tcPr>
            <w:tcW w:w="751" w:type="dxa"/>
          </w:tcPr>
          <w:p w14:paraId="2910F050">
            <w:pPr>
              <w:spacing w:before="12" w:after="12" w:line="240" w:lineRule="auto"/>
              <w:jc w:val="left"/>
            </w:pPr>
            <w:r>
              <w:rPr>
                <w:rFonts w:ascii="Times New Roman" w:hAnsi="Times New Roman" w:cs="Times New Roman"/>
                <w:b w:val="0"/>
                <w:i w:val="0"/>
                <w:sz w:val="14"/>
              </w:rPr>
              <w:t>metapop. SIR</w:t>
            </w:r>
          </w:p>
        </w:tc>
        <w:tc>
          <w:tcPr>
            <w:tcW w:w="751" w:type="dxa"/>
          </w:tcPr>
          <w:p w14:paraId="2EB48EC6">
            <w:pPr>
              <w:spacing w:before="12" w:after="12" w:line="240" w:lineRule="auto"/>
              <w:jc w:val="center"/>
            </w:pPr>
            <w:r>
              <w:rPr>
                <w:rFonts w:ascii="Times New Roman" w:hAnsi="Times New Roman" w:cs="Times New Roman"/>
                <w:b w:val="0"/>
                <w:i w:val="0"/>
                <w:sz w:val="14"/>
              </w:rPr>
              <w:t>none</w:t>
            </w:r>
          </w:p>
        </w:tc>
        <w:tc>
          <w:tcPr>
            <w:tcW w:w="1062" w:type="dxa"/>
          </w:tcPr>
          <w:p w14:paraId="299C1244">
            <w:pPr>
              <w:spacing w:before="12" w:after="12" w:line="240" w:lineRule="auto"/>
              <w:jc w:val="left"/>
            </w:pPr>
            <w:r>
              <w:rPr>
                <w:rFonts w:ascii="Times New Roman" w:hAnsi="Times New Roman" w:cs="Times New Roman"/>
                <w:b w:val="0"/>
                <w:i w:val="0"/>
                <w:sz w:val="14"/>
              </w:rPr>
              <w:t>partial — graph / SIR</w:t>
            </w:r>
          </w:p>
        </w:tc>
        <w:tc>
          <w:tcPr>
            <w:tcW w:w="1075" w:type="dxa"/>
          </w:tcPr>
          <w:p w14:paraId="3A9498F0">
            <w:pPr>
              <w:spacing w:before="12" w:after="12" w:line="240" w:lineRule="auto"/>
              <w:jc w:val="left"/>
            </w:pPr>
            <w:r>
              <w:rPr>
                <w:rFonts w:ascii="Times New Roman" w:hAnsi="Times New Roman" w:cs="Times New Roman"/>
                <w:b w:val="0"/>
                <w:i w:val="0"/>
                <w:sz w:val="14"/>
              </w:rPr>
              <w:t>COVID-19</w:t>
            </w:r>
          </w:p>
        </w:tc>
        <w:tc>
          <w:tcPr>
            <w:tcW w:w="933" w:type="dxa"/>
          </w:tcPr>
          <w:p w14:paraId="02E9673B">
            <w:pPr>
              <w:spacing w:before="12" w:after="12" w:line="240" w:lineRule="auto"/>
              <w:jc w:val="left"/>
            </w:pPr>
            <w:r>
              <w:rPr>
                <w:rFonts w:ascii="Times New Roman" w:hAnsi="Times New Roman" w:cs="Times New Roman"/>
                <w:b w:val="0"/>
                <w:i w:val="0"/>
                <w:sz w:val="14"/>
              </w:rPr>
              <w:t>no</w:t>
            </w:r>
          </w:p>
        </w:tc>
        <w:tc>
          <w:tcPr>
            <w:tcW w:w="1270" w:type="dxa"/>
          </w:tcPr>
          <w:p w14:paraId="499FE0C3">
            <w:pPr>
              <w:spacing w:before="12" w:after="12" w:line="240" w:lineRule="auto"/>
              <w:jc w:val="left"/>
            </w:pPr>
            <w:r>
              <w:rPr>
                <w:rFonts w:ascii="Times New Roman" w:hAnsi="Times New Roman" w:cs="Times New Roman"/>
                <w:b w:val="0"/>
                <w:i w:val="0"/>
                <w:sz w:val="14"/>
              </w:rPr>
              <w:t>Japan-COVID (47 pref.)</w:t>
            </w:r>
          </w:p>
        </w:tc>
        <w:tc>
          <w:tcPr>
            <w:tcW w:w="803" w:type="dxa"/>
          </w:tcPr>
          <w:p w14:paraId="3F1EC0C5">
            <w:pPr>
              <w:spacing w:before="12" w:after="12" w:line="240" w:lineRule="auto"/>
              <w:jc w:val="left"/>
            </w:pPr>
            <w:r>
              <w:rPr>
                <w:rFonts w:ascii="Times New Roman" w:hAnsi="Times New Roman" w:cs="Times New Roman"/>
                <w:b w:val="0"/>
                <w:i w:val="0"/>
                <w:sz w:val="14"/>
              </w:rPr>
              <w:t>RMSE, MAE, MAPE, RAE</w:t>
            </w:r>
          </w:p>
        </w:tc>
        <w:tc>
          <w:tcPr>
            <w:tcW w:w="557" w:type="dxa"/>
          </w:tcPr>
          <w:p w14:paraId="4B04467B">
            <w:pPr>
              <w:spacing w:before="12" w:after="12" w:line="240" w:lineRule="auto"/>
              <w:jc w:val="center"/>
            </w:pPr>
            <w:r>
              <w:rPr>
                <w:rFonts w:ascii="Times New Roman" w:hAnsi="Times New Roman" w:cs="Times New Roman"/>
                <w:b w:val="0"/>
                <w:i w:val="0"/>
                <w:sz w:val="14"/>
              </w:rPr>
              <w:t>yes</w:t>
            </w:r>
          </w:p>
        </w:tc>
      </w:tr>
      <w:tr w14:paraId="247C0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1" w:type="dxa"/>
          </w:tcPr>
          <w:p w14:paraId="2D5E1FC9">
            <w:pPr>
              <w:spacing w:before="12" w:after="12" w:line="240" w:lineRule="auto"/>
              <w:jc w:val="left"/>
            </w:pPr>
            <w:r>
              <w:rPr>
                <w:rFonts w:ascii="Times New Roman" w:hAnsi="Times New Roman" w:cs="Times New Roman"/>
                <w:b w:val="0"/>
                <w:i w:val="0"/>
                <w:sz w:val="14"/>
              </w:rPr>
              <w:t>BDGSTN</w:t>
            </w:r>
          </w:p>
        </w:tc>
        <w:tc>
          <w:tcPr>
            <w:tcW w:w="907" w:type="dxa"/>
          </w:tcPr>
          <w:p w14:paraId="61772B56">
            <w:pPr>
              <w:spacing w:before="12" w:after="12" w:line="240" w:lineRule="auto"/>
              <w:jc w:val="left"/>
            </w:pPr>
            <w:r>
              <w:rPr>
                <w:rFonts w:ascii="Times New Roman" w:hAnsi="Times New Roman" w:cs="Times New Roman"/>
                <w:b w:val="0"/>
                <w:i w:val="0"/>
                <w:sz w:val="14"/>
              </w:rPr>
              <w:t>preprint 2023</w:t>
            </w:r>
          </w:p>
        </w:tc>
        <w:tc>
          <w:tcPr>
            <w:tcW w:w="1334" w:type="dxa"/>
          </w:tcPr>
          <w:p w14:paraId="6D97C6F3">
            <w:pPr>
              <w:spacing w:before="12" w:after="12" w:line="240" w:lineRule="auto"/>
              <w:jc w:val="left"/>
            </w:pPr>
            <w:r>
              <w:rPr>
                <w:rFonts w:ascii="Times New Roman" w:hAnsi="Times New Roman" w:cs="Times New Roman"/>
                <w:b w:val="0"/>
                <w:i w:val="0"/>
                <w:sz w:val="14"/>
              </w:rPr>
              <w:t>GCN on dynamic graph</w:t>
            </w:r>
          </w:p>
        </w:tc>
        <w:tc>
          <w:tcPr>
            <w:tcW w:w="1075" w:type="dxa"/>
          </w:tcPr>
          <w:p w14:paraId="45D06F5F">
            <w:pPr>
              <w:spacing w:before="12" w:after="12" w:line="240" w:lineRule="auto"/>
              <w:jc w:val="left"/>
            </w:pPr>
            <w:r>
              <w:rPr>
                <w:rFonts w:ascii="Times New Roman" w:hAnsi="Times New Roman" w:cs="Times New Roman"/>
                <w:b w:val="0"/>
                <w:i w:val="0"/>
                <w:sz w:val="14"/>
              </w:rPr>
              <w:t>DLinear (+ TCN)</w:t>
            </w:r>
          </w:p>
        </w:tc>
        <w:tc>
          <w:tcPr>
            <w:tcW w:w="1166" w:type="dxa"/>
          </w:tcPr>
          <w:p w14:paraId="7BE93042">
            <w:pPr>
              <w:spacing w:before="12" w:after="12" w:line="240" w:lineRule="auto"/>
              <w:jc w:val="left"/>
            </w:pPr>
            <w:r>
              <w:rPr>
                <w:rFonts w:ascii="Times New Roman" w:hAnsi="Times New Roman" w:cs="Times New Roman"/>
                <w:b w:val="0"/>
                <w:i w:val="0"/>
                <w:sz w:val="14"/>
              </w:rPr>
              <w:t>learned: backbone + temporal</w:t>
            </w:r>
          </w:p>
        </w:tc>
        <w:tc>
          <w:tcPr>
            <w:tcW w:w="751" w:type="dxa"/>
          </w:tcPr>
          <w:p w14:paraId="0C4BA8BE">
            <w:pPr>
              <w:spacing w:before="12" w:after="12" w:line="240" w:lineRule="auto"/>
              <w:jc w:val="left"/>
            </w:pPr>
            <w:r>
              <w:rPr>
                <w:rFonts w:ascii="Times New Roman" w:hAnsi="Times New Roman" w:cs="Times New Roman"/>
                <w:b w:val="0"/>
                <w:i w:val="0"/>
                <w:sz w:val="14"/>
              </w:rPr>
              <w:t>SIR module</w:t>
            </w:r>
          </w:p>
        </w:tc>
        <w:tc>
          <w:tcPr>
            <w:tcW w:w="751" w:type="dxa"/>
          </w:tcPr>
          <w:p w14:paraId="70429582">
            <w:pPr>
              <w:spacing w:before="12" w:after="12" w:line="240" w:lineRule="auto"/>
              <w:jc w:val="center"/>
            </w:pPr>
            <w:r>
              <w:rPr>
                <w:rFonts w:ascii="Times New Roman" w:hAnsi="Times New Roman" w:cs="Times New Roman"/>
                <w:b w:val="0"/>
                <w:i w:val="0"/>
                <w:sz w:val="14"/>
              </w:rPr>
              <w:t>none</w:t>
            </w:r>
          </w:p>
        </w:tc>
        <w:tc>
          <w:tcPr>
            <w:tcW w:w="1062" w:type="dxa"/>
          </w:tcPr>
          <w:p w14:paraId="00E297E0">
            <w:pPr>
              <w:spacing w:before="12" w:after="12" w:line="240" w:lineRule="auto"/>
              <w:jc w:val="left"/>
            </w:pPr>
            <w:r>
              <w:rPr>
                <w:rFonts w:ascii="Times New Roman" w:hAnsi="Times New Roman" w:cs="Times New Roman"/>
                <w:b w:val="0"/>
                <w:i w:val="0"/>
                <w:sz w:val="14"/>
              </w:rPr>
              <w:t>no (post-hoc graph)</w:t>
            </w:r>
          </w:p>
        </w:tc>
        <w:tc>
          <w:tcPr>
            <w:tcW w:w="1075" w:type="dxa"/>
          </w:tcPr>
          <w:p w14:paraId="336B7528">
            <w:pPr>
              <w:spacing w:before="12" w:after="12" w:line="240" w:lineRule="auto"/>
              <w:jc w:val="left"/>
            </w:pPr>
            <w:r>
              <w:rPr>
                <w:rFonts w:ascii="Times New Roman" w:hAnsi="Times New Roman" w:cs="Times New Roman"/>
                <w:b w:val="0"/>
                <w:i w:val="0"/>
                <w:sz w:val="14"/>
              </w:rPr>
              <w:t>COVID-19</w:t>
            </w:r>
          </w:p>
        </w:tc>
        <w:tc>
          <w:tcPr>
            <w:tcW w:w="933" w:type="dxa"/>
          </w:tcPr>
          <w:p w14:paraId="3A95647E">
            <w:pPr>
              <w:spacing w:before="12" w:after="12" w:line="240" w:lineRule="auto"/>
              <w:jc w:val="left"/>
            </w:pPr>
            <w:r>
              <w:rPr>
                <w:rFonts w:ascii="Times New Roman" w:hAnsi="Times New Roman" w:cs="Times New Roman"/>
                <w:b w:val="0"/>
                <w:i w:val="0"/>
                <w:sz w:val="14"/>
              </w:rPr>
              <w:t>no</w:t>
            </w:r>
          </w:p>
        </w:tc>
        <w:tc>
          <w:tcPr>
            <w:tcW w:w="1270" w:type="dxa"/>
          </w:tcPr>
          <w:p w14:paraId="072335FF">
            <w:pPr>
              <w:spacing w:before="12" w:after="12" w:line="240" w:lineRule="auto"/>
              <w:jc w:val="left"/>
            </w:pPr>
            <w:r>
              <w:rPr>
                <w:rFonts w:ascii="Times New Roman" w:hAnsi="Times New Roman" w:cs="Times New Roman"/>
                <w:b w:val="0"/>
                <w:i w:val="0"/>
                <w:sz w:val="14"/>
              </w:rPr>
              <w:t>US (52); Japan (47)</w:t>
            </w:r>
          </w:p>
        </w:tc>
        <w:tc>
          <w:tcPr>
            <w:tcW w:w="803" w:type="dxa"/>
          </w:tcPr>
          <w:p w14:paraId="7337998C">
            <w:pPr>
              <w:spacing w:before="12" w:after="12" w:line="240" w:lineRule="auto"/>
              <w:jc w:val="left"/>
            </w:pPr>
            <w:r>
              <w:rPr>
                <w:rFonts w:ascii="Times New Roman" w:hAnsi="Times New Roman" w:cs="Times New Roman"/>
                <w:b w:val="0"/>
                <w:i w:val="0"/>
                <w:sz w:val="14"/>
              </w:rPr>
              <w:t>MAE, RMSE, MAPE, PCC, CCC</w:t>
            </w:r>
          </w:p>
        </w:tc>
        <w:tc>
          <w:tcPr>
            <w:tcW w:w="557" w:type="dxa"/>
          </w:tcPr>
          <w:p w14:paraId="6D7D064F">
            <w:pPr>
              <w:spacing w:before="12" w:after="12" w:line="240" w:lineRule="auto"/>
              <w:jc w:val="center"/>
            </w:pPr>
            <w:r>
              <w:rPr>
                <w:rFonts w:ascii="Times New Roman" w:hAnsi="Times New Roman" w:cs="Times New Roman"/>
                <w:b w:val="0"/>
                <w:i w:val="0"/>
                <w:sz w:val="14"/>
              </w:rPr>
              <w:t>n/s</w:t>
            </w:r>
          </w:p>
        </w:tc>
      </w:tr>
      <w:tr w14:paraId="18E98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1" w:type="dxa"/>
          </w:tcPr>
          <w:p w14:paraId="54649479">
            <w:pPr>
              <w:spacing w:before="12" w:after="12" w:line="240" w:lineRule="auto"/>
              <w:jc w:val="left"/>
            </w:pPr>
            <w:r>
              <w:rPr>
                <w:rFonts w:ascii="Times New Roman" w:hAnsi="Times New Roman" w:cs="Times New Roman"/>
                <w:b w:val="0"/>
                <w:i w:val="0"/>
                <w:sz w:val="14"/>
              </w:rPr>
              <w:t>HeatGNN</w:t>
            </w:r>
          </w:p>
        </w:tc>
        <w:tc>
          <w:tcPr>
            <w:tcW w:w="907" w:type="dxa"/>
          </w:tcPr>
          <w:p w14:paraId="01CD5D3D">
            <w:pPr>
              <w:spacing w:before="12" w:after="12" w:line="240" w:lineRule="auto"/>
              <w:jc w:val="left"/>
            </w:pPr>
            <w:r>
              <w:rPr>
                <w:rFonts w:ascii="Times New Roman" w:hAnsi="Times New Roman" w:cs="Times New Roman"/>
                <w:b w:val="0"/>
                <w:i w:val="0"/>
                <w:sz w:val="14"/>
              </w:rPr>
              <w:t>preprint 2024</w:t>
            </w:r>
          </w:p>
        </w:tc>
        <w:tc>
          <w:tcPr>
            <w:tcW w:w="1334" w:type="dxa"/>
          </w:tcPr>
          <w:p w14:paraId="66A14075">
            <w:pPr>
              <w:spacing w:before="12" w:after="12" w:line="240" w:lineRule="auto"/>
              <w:jc w:val="left"/>
            </w:pPr>
            <w:r>
              <w:rPr>
                <w:rFonts w:ascii="Times New Roman" w:hAnsi="Times New Roman" w:cs="Times New Roman"/>
                <w:b w:val="0"/>
                <w:i w:val="0"/>
                <w:sz w:val="14"/>
              </w:rPr>
              <w:t>region-aware + spectral GCN</w:t>
            </w:r>
          </w:p>
        </w:tc>
        <w:tc>
          <w:tcPr>
            <w:tcW w:w="1075" w:type="dxa"/>
          </w:tcPr>
          <w:p w14:paraId="2B78590E">
            <w:pPr>
              <w:spacing w:before="12" w:after="12" w:line="240" w:lineRule="auto"/>
              <w:jc w:val="left"/>
            </w:pPr>
            <w:r>
              <w:rPr>
                <w:rFonts w:ascii="Times New Roman" w:hAnsi="Times New Roman" w:cs="Times New Roman"/>
                <w:b w:val="0"/>
                <w:i w:val="0"/>
                <w:sz w:val="14"/>
              </w:rPr>
              <w:t>gated TCN / CNN</w:t>
            </w:r>
          </w:p>
        </w:tc>
        <w:tc>
          <w:tcPr>
            <w:tcW w:w="1166" w:type="dxa"/>
          </w:tcPr>
          <w:p w14:paraId="3CF72DF0">
            <w:pPr>
              <w:spacing w:before="12" w:after="12" w:line="240" w:lineRule="auto"/>
              <w:jc w:val="left"/>
            </w:pPr>
            <w:r>
              <w:rPr>
                <w:rFonts w:ascii="Times New Roman" w:hAnsi="Times New Roman" w:cs="Times New Roman"/>
                <w:b w:val="0"/>
                <w:i w:val="0"/>
                <w:sz w:val="14"/>
              </w:rPr>
              <w:t>geo + learned + dynamic</w:t>
            </w:r>
          </w:p>
        </w:tc>
        <w:tc>
          <w:tcPr>
            <w:tcW w:w="751" w:type="dxa"/>
          </w:tcPr>
          <w:p w14:paraId="7B90B715">
            <w:pPr>
              <w:spacing w:before="12" w:after="12" w:line="240" w:lineRule="auto"/>
              <w:jc w:val="left"/>
            </w:pPr>
            <w:r>
              <w:rPr>
                <w:rFonts w:ascii="Times New Roman" w:hAnsi="Times New Roman" w:cs="Times New Roman"/>
                <w:b w:val="0"/>
                <w:i w:val="0"/>
                <w:sz w:val="14"/>
              </w:rPr>
              <w:t>SIR (time-varying, PINN)</w:t>
            </w:r>
          </w:p>
        </w:tc>
        <w:tc>
          <w:tcPr>
            <w:tcW w:w="751" w:type="dxa"/>
          </w:tcPr>
          <w:p w14:paraId="3A7B83CA">
            <w:pPr>
              <w:spacing w:before="12" w:after="12" w:line="240" w:lineRule="auto"/>
              <w:jc w:val="center"/>
            </w:pPr>
            <w:r>
              <w:rPr>
                <w:rFonts w:ascii="Times New Roman" w:hAnsi="Times New Roman" w:cs="Times New Roman"/>
                <w:b w:val="0"/>
                <w:i w:val="0"/>
                <w:sz w:val="14"/>
              </w:rPr>
              <w:t>none</w:t>
            </w:r>
          </w:p>
        </w:tc>
        <w:tc>
          <w:tcPr>
            <w:tcW w:w="1062" w:type="dxa"/>
          </w:tcPr>
          <w:p w14:paraId="0C6923EA">
            <w:pPr>
              <w:spacing w:before="12" w:after="12" w:line="240" w:lineRule="auto"/>
              <w:jc w:val="left"/>
            </w:pPr>
            <w:r>
              <w:rPr>
                <w:rFonts w:ascii="Times New Roman" w:hAnsi="Times New Roman" w:cs="Times New Roman"/>
                <w:b w:val="0"/>
                <w:i w:val="0"/>
                <w:sz w:val="14"/>
              </w:rPr>
              <w:t>yes — mechan. graph</w:t>
            </w:r>
          </w:p>
        </w:tc>
        <w:tc>
          <w:tcPr>
            <w:tcW w:w="1075" w:type="dxa"/>
          </w:tcPr>
          <w:p w14:paraId="1004596F">
            <w:pPr>
              <w:spacing w:before="12" w:after="12" w:line="240" w:lineRule="auto"/>
              <w:jc w:val="left"/>
            </w:pPr>
            <w:r>
              <w:rPr>
                <w:rFonts w:ascii="Times New Roman" w:hAnsi="Times New Roman" w:cs="Times New Roman"/>
                <w:b w:val="0"/>
                <w:i w:val="0"/>
                <w:sz w:val="14"/>
              </w:rPr>
              <w:t>influenza + COVID</w:t>
            </w:r>
          </w:p>
        </w:tc>
        <w:tc>
          <w:tcPr>
            <w:tcW w:w="933" w:type="dxa"/>
          </w:tcPr>
          <w:p w14:paraId="588FF364">
            <w:pPr>
              <w:spacing w:before="12" w:after="12" w:line="240" w:lineRule="auto"/>
              <w:jc w:val="left"/>
            </w:pPr>
            <w:r>
              <w:rPr>
                <w:rFonts w:ascii="Times New Roman" w:hAnsi="Times New Roman" w:cs="Times New Roman"/>
                <w:b w:val="0"/>
                <w:i w:val="0"/>
                <w:sz w:val="14"/>
              </w:rPr>
              <w:t>no</w:t>
            </w:r>
          </w:p>
        </w:tc>
        <w:tc>
          <w:tcPr>
            <w:tcW w:w="1270" w:type="dxa"/>
          </w:tcPr>
          <w:p w14:paraId="1AB81FF5">
            <w:pPr>
              <w:spacing w:before="12" w:after="12" w:line="240" w:lineRule="auto"/>
              <w:jc w:val="left"/>
            </w:pPr>
            <w:r>
              <w:rPr>
                <w:rFonts w:ascii="Times New Roman" w:hAnsi="Times New Roman" w:cs="Times New Roman"/>
                <w:b w:val="0"/>
                <w:i w:val="0"/>
                <w:sz w:val="14"/>
              </w:rPr>
              <w:t>Japan/US ILI; AU-COVID</w:t>
            </w:r>
          </w:p>
        </w:tc>
        <w:tc>
          <w:tcPr>
            <w:tcW w:w="803" w:type="dxa"/>
          </w:tcPr>
          <w:p w14:paraId="44C45EBF">
            <w:pPr>
              <w:spacing w:before="12" w:after="12" w:line="240" w:lineRule="auto"/>
              <w:jc w:val="left"/>
            </w:pPr>
            <w:r>
              <w:rPr>
                <w:rFonts w:ascii="Times New Roman" w:hAnsi="Times New Roman" w:cs="Times New Roman"/>
                <w:b w:val="0"/>
                <w:i w:val="0"/>
                <w:sz w:val="14"/>
              </w:rPr>
              <w:t>RMSE, PCC</w:t>
            </w:r>
          </w:p>
        </w:tc>
        <w:tc>
          <w:tcPr>
            <w:tcW w:w="557" w:type="dxa"/>
          </w:tcPr>
          <w:p w14:paraId="4FDAC7BF">
            <w:pPr>
              <w:spacing w:before="12" w:after="12" w:line="240" w:lineRule="auto"/>
              <w:jc w:val="center"/>
            </w:pPr>
            <w:r>
              <w:rPr>
                <w:rFonts w:ascii="Times New Roman" w:hAnsi="Times New Roman" w:cs="Times New Roman"/>
                <w:b w:val="0"/>
                <w:i w:val="0"/>
                <w:sz w:val="14"/>
              </w:rPr>
              <w:t>yes</w:t>
            </w:r>
          </w:p>
        </w:tc>
      </w:tr>
      <w:tr w14:paraId="79790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1" w:type="dxa"/>
          </w:tcPr>
          <w:p w14:paraId="01F279E8">
            <w:pPr>
              <w:spacing w:before="12" w:after="12" w:line="240" w:lineRule="auto"/>
              <w:jc w:val="left"/>
            </w:pPr>
            <w:r>
              <w:rPr>
                <w:rFonts w:ascii="Times New Roman" w:hAnsi="Times New Roman" w:cs="Times New Roman"/>
                <w:b w:val="0"/>
                <w:i w:val="0"/>
                <w:sz w:val="14"/>
              </w:rPr>
              <w:t>LTGCN / GTGCN</w:t>
            </w:r>
          </w:p>
        </w:tc>
        <w:tc>
          <w:tcPr>
            <w:tcW w:w="907" w:type="dxa"/>
          </w:tcPr>
          <w:p w14:paraId="215BD66D">
            <w:pPr>
              <w:spacing w:before="12" w:after="12" w:line="240" w:lineRule="auto"/>
              <w:jc w:val="left"/>
            </w:pPr>
            <w:r>
              <w:rPr>
                <w:rFonts w:ascii="Times New Roman" w:hAnsi="Times New Roman" w:cs="Times New Roman"/>
                <w:b w:val="0"/>
                <w:i w:val="0"/>
                <w:sz w:val="14"/>
              </w:rPr>
              <w:t>Int. J. Health Geogr. 2026</w:t>
            </w:r>
          </w:p>
        </w:tc>
        <w:tc>
          <w:tcPr>
            <w:tcW w:w="1334" w:type="dxa"/>
          </w:tcPr>
          <w:p w14:paraId="72E5B8DB">
            <w:pPr>
              <w:spacing w:before="12" w:after="12" w:line="240" w:lineRule="auto"/>
              <w:jc w:val="left"/>
            </w:pPr>
            <w:r>
              <w:rPr>
                <w:rFonts w:ascii="Times New Roman" w:hAnsi="Times New Roman" w:cs="Times New Roman"/>
                <w:b w:val="0"/>
                <w:i w:val="0"/>
                <w:sz w:val="14"/>
              </w:rPr>
              <w:t>GCN + attention fusion</w:t>
            </w:r>
          </w:p>
        </w:tc>
        <w:tc>
          <w:tcPr>
            <w:tcW w:w="1075" w:type="dxa"/>
          </w:tcPr>
          <w:p w14:paraId="30629937">
            <w:pPr>
              <w:spacing w:before="12" w:after="12" w:line="240" w:lineRule="auto"/>
              <w:jc w:val="left"/>
            </w:pPr>
            <w:r>
              <w:rPr>
                <w:rFonts w:ascii="Times New Roman" w:hAnsi="Times New Roman" w:cs="Times New Roman"/>
                <w:b w:val="0"/>
                <w:i w:val="0"/>
                <w:sz w:val="14"/>
              </w:rPr>
              <w:t>Transformer self-attn.</w:t>
            </w:r>
          </w:p>
        </w:tc>
        <w:tc>
          <w:tcPr>
            <w:tcW w:w="1166" w:type="dxa"/>
          </w:tcPr>
          <w:p w14:paraId="4A2444D0">
            <w:pPr>
              <w:spacing w:before="12" w:after="12" w:line="240" w:lineRule="auto"/>
              <w:jc w:val="left"/>
            </w:pPr>
            <w:r>
              <w:rPr>
                <w:rFonts w:ascii="Times New Roman" w:hAnsi="Times New Roman" w:cs="Times New Roman"/>
                <w:b w:val="0"/>
                <w:i w:val="0"/>
                <w:sz w:val="14"/>
              </w:rPr>
              <w:t>static mobility (backbone)</w:t>
            </w:r>
          </w:p>
        </w:tc>
        <w:tc>
          <w:tcPr>
            <w:tcW w:w="751" w:type="dxa"/>
          </w:tcPr>
          <w:p w14:paraId="3AC9619A">
            <w:pPr>
              <w:spacing w:before="12" w:after="12" w:line="240" w:lineRule="auto"/>
              <w:jc w:val="left"/>
            </w:pPr>
            <w:r>
              <w:rPr>
                <w:rFonts w:ascii="Times New Roman" w:hAnsi="Times New Roman" w:cs="Times New Roman"/>
                <w:b w:val="0"/>
                <w:i w:val="0"/>
                <w:sz w:val="14"/>
              </w:rPr>
              <w:t>none</w:t>
            </w:r>
          </w:p>
        </w:tc>
        <w:tc>
          <w:tcPr>
            <w:tcW w:w="751" w:type="dxa"/>
          </w:tcPr>
          <w:p w14:paraId="44A59554">
            <w:pPr>
              <w:spacing w:before="12" w:after="12" w:line="240" w:lineRule="auto"/>
              <w:jc w:val="center"/>
            </w:pPr>
            <w:r>
              <w:rPr>
                <w:rFonts w:ascii="Times New Roman" w:hAnsi="Times New Roman" w:cs="Times New Roman"/>
                <w:b w:val="0"/>
                <w:i w:val="0"/>
                <w:sz w:val="14"/>
              </w:rPr>
              <w:t>none (explicit)</w:t>
            </w:r>
          </w:p>
        </w:tc>
        <w:tc>
          <w:tcPr>
            <w:tcW w:w="1062" w:type="dxa"/>
          </w:tcPr>
          <w:p w14:paraId="648B30AD">
            <w:pPr>
              <w:spacing w:before="12" w:after="12" w:line="240" w:lineRule="auto"/>
              <w:jc w:val="left"/>
            </w:pPr>
            <w:r>
              <w:rPr>
                <w:rFonts w:ascii="Times New Roman" w:hAnsi="Times New Roman" w:cs="Times New Roman"/>
                <w:b w:val="0"/>
                <w:i w:val="0"/>
                <w:sz w:val="14"/>
              </w:rPr>
              <w:t>asserted only</w:t>
            </w:r>
          </w:p>
        </w:tc>
        <w:tc>
          <w:tcPr>
            <w:tcW w:w="1075" w:type="dxa"/>
          </w:tcPr>
          <w:p w14:paraId="155BE8FD">
            <w:pPr>
              <w:spacing w:before="12" w:after="12" w:line="240" w:lineRule="auto"/>
              <w:jc w:val="left"/>
            </w:pPr>
            <w:r>
              <w:rPr>
                <w:rFonts w:ascii="Times New Roman" w:hAnsi="Times New Roman" w:cs="Times New Roman"/>
                <w:b w:val="0"/>
                <w:i w:val="0"/>
                <w:sz w:val="14"/>
              </w:rPr>
              <w:t>COVID-19</w:t>
            </w:r>
          </w:p>
        </w:tc>
        <w:tc>
          <w:tcPr>
            <w:tcW w:w="933" w:type="dxa"/>
          </w:tcPr>
          <w:p w14:paraId="106FCC7C">
            <w:pPr>
              <w:spacing w:before="12" w:after="12" w:line="240" w:lineRule="auto"/>
              <w:jc w:val="left"/>
            </w:pPr>
            <w:r>
              <w:rPr>
                <w:rFonts w:ascii="Times New Roman" w:hAnsi="Times New Roman" w:cs="Times New Roman"/>
                <w:b w:val="0"/>
                <w:i w:val="0"/>
                <w:sz w:val="14"/>
              </w:rPr>
              <w:t>no (cross-country)</w:t>
            </w:r>
          </w:p>
        </w:tc>
        <w:tc>
          <w:tcPr>
            <w:tcW w:w="1270" w:type="dxa"/>
          </w:tcPr>
          <w:p w14:paraId="4A374AD1">
            <w:pPr>
              <w:spacing w:before="12" w:after="12" w:line="240" w:lineRule="auto"/>
              <w:jc w:val="left"/>
            </w:pPr>
            <w:r>
              <w:rPr>
                <w:rFonts w:ascii="Times New Roman" w:hAnsi="Times New Roman" w:cs="Times New Roman"/>
                <w:b w:val="0"/>
                <w:i w:val="0"/>
                <w:sz w:val="14"/>
              </w:rPr>
              <w:t>Brazil; Spain (52 prov.)</w:t>
            </w:r>
          </w:p>
        </w:tc>
        <w:tc>
          <w:tcPr>
            <w:tcW w:w="803" w:type="dxa"/>
          </w:tcPr>
          <w:p w14:paraId="5E1C284A">
            <w:pPr>
              <w:spacing w:before="12" w:after="12" w:line="240" w:lineRule="auto"/>
              <w:jc w:val="left"/>
            </w:pPr>
            <w:r>
              <w:rPr>
                <w:rFonts w:ascii="Times New Roman" w:hAnsi="Times New Roman" w:cs="Times New Roman"/>
                <w:b w:val="0"/>
                <w:i w:val="0"/>
                <w:sz w:val="14"/>
              </w:rPr>
              <w:t>RMSE, sMAPE, MDA</w:t>
            </w:r>
          </w:p>
        </w:tc>
        <w:tc>
          <w:tcPr>
            <w:tcW w:w="557" w:type="dxa"/>
          </w:tcPr>
          <w:p w14:paraId="04355D44">
            <w:pPr>
              <w:spacing w:before="12" w:after="12" w:line="240" w:lineRule="auto"/>
              <w:jc w:val="center"/>
            </w:pPr>
            <w:r>
              <w:rPr>
                <w:rFonts w:ascii="Times New Roman" w:hAnsi="Times New Roman" w:cs="Times New Roman"/>
                <w:b w:val="0"/>
                <w:i w:val="0"/>
                <w:sz w:val="14"/>
              </w:rPr>
              <w:t>yes</w:t>
            </w:r>
          </w:p>
        </w:tc>
      </w:tr>
      <w:tr w14:paraId="354FB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1" w:type="dxa"/>
          </w:tcPr>
          <w:p w14:paraId="38B84071">
            <w:pPr>
              <w:spacing w:before="12" w:after="12" w:line="240" w:lineRule="auto"/>
              <w:jc w:val="left"/>
            </w:pPr>
            <w:r>
              <w:rPr>
                <w:rFonts w:ascii="Times New Roman" w:hAnsi="Times New Roman" w:cs="Times New Roman"/>
                <w:b w:val="0"/>
                <w:i w:val="0"/>
                <w:sz w:val="14"/>
              </w:rPr>
              <w:t>STOEP</w:t>
            </w:r>
          </w:p>
        </w:tc>
        <w:tc>
          <w:tcPr>
            <w:tcW w:w="907" w:type="dxa"/>
          </w:tcPr>
          <w:p w14:paraId="4ADE1841">
            <w:pPr>
              <w:spacing w:before="12" w:after="12" w:line="240" w:lineRule="auto"/>
              <w:jc w:val="left"/>
            </w:pPr>
            <w:r>
              <w:rPr>
                <w:rFonts w:ascii="Times New Roman" w:hAnsi="Times New Roman" w:cs="Times New Roman"/>
                <w:b w:val="0"/>
                <w:i w:val="0"/>
                <w:sz w:val="14"/>
              </w:rPr>
              <w:t>preprint 2026</w:t>
            </w:r>
          </w:p>
        </w:tc>
        <w:tc>
          <w:tcPr>
            <w:tcW w:w="1334" w:type="dxa"/>
          </w:tcPr>
          <w:p w14:paraId="4977AAA5">
            <w:pPr>
              <w:spacing w:before="12" w:after="12" w:line="240" w:lineRule="auto"/>
              <w:jc w:val="left"/>
            </w:pPr>
            <w:r>
              <w:rPr>
                <w:rFonts w:ascii="Times New Roman" w:hAnsi="Times New Roman" w:cs="Times New Roman"/>
                <w:b w:val="0"/>
                <w:i w:val="0"/>
                <w:sz w:val="14"/>
              </w:rPr>
              <w:t>case-aware graph-learn. + attn.</w:t>
            </w:r>
          </w:p>
        </w:tc>
        <w:tc>
          <w:tcPr>
            <w:tcW w:w="1075" w:type="dxa"/>
          </w:tcPr>
          <w:p w14:paraId="53A04718">
            <w:pPr>
              <w:spacing w:before="12" w:after="12" w:line="240" w:lineRule="auto"/>
              <w:jc w:val="left"/>
            </w:pPr>
            <w:r>
              <w:rPr>
                <w:rFonts w:ascii="Times New Roman" w:hAnsi="Times New Roman" w:cs="Times New Roman"/>
                <w:b w:val="0"/>
                <w:i w:val="0"/>
                <w:sz w:val="14"/>
              </w:rPr>
              <w:t>GraphWaveNet (dilated)</w:t>
            </w:r>
          </w:p>
        </w:tc>
        <w:tc>
          <w:tcPr>
            <w:tcW w:w="1166" w:type="dxa"/>
          </w:tcPr>
          <w:p w14:paraId="62676759">
            <w:pPr>
              <w:spacing w:before="12" w:after="12" w:line="240" w:lineRule="auto"/>
              <w:jc w:val="left"/>
            </w:pPr>
            <w:r>
              <w:rPr>
                <w:rFonts w:ascii="Times New Roman" w:hAnsi="Times New Roman" w:cs="Times New Roman"/>
                <w:b w:val="0"/>
                <w:i w:val="0"/>
                <w:sz w:val="14"/>
              </w:rPr>
              <w:t>mobility + learned / dynamic</w:t>
            </w:r>
          </w:p>
        </w:tc>
        <w:tc>
          <w:tcPr>
            <w:tcW w:w="751" w:type="dxa"/>
          </w:tcPr>
          <w:p w14:paraId="3DDD15C4">
            <w:pPr>
              <w:spacing w:before="12" w:after="12" w:line="240" w:lineRule="auto"/>
              <w:jc w:val="left"/>
            </w:pPr>
            <w:r>
              <w:rPr>
                <w:rFonts w:ascii="Times New Roman" w:hAnsi="Times New Roman" w:cs="Times New Roman"/>
                <w:b w:val="0"/>
                <w:i w:val="0"/>
                <w:sz w:val="14"/>
              </w:rPr>
              <w:t>metapop. SIR + expert</w:t>
            </w:r>
          </w:p>
        </w:tc>
        <w:tc>
          <w:tcPr>
            <w:tcW w:w="751" w:type="dxa"/>
          </w:tcPr>
          <w:p w14:paraId="0BB21C60">
            <w:pPr>
              <w:spacing w:before="12" w:after="12" w:line="240" w:lineRule="auto"/>
              <w:jc w:val="center"/>
            </w:pPr>
            <w:r>
              <w:rPr>
                <w:rFonts w:ascii="Times New Roman" w:hAnsi="Times New Roman" w:cs="Times New Roman"/>
                <w:b w:val="0"/>
                <w:i w:val="0"/>
                <w:sz w:val="14"/>
              </w:rPr>
              <w:t>none</w:t>
            </w:r>
          </w:p>
        </w:tc>
        <w:tc>
          <w:tcPr>
            <w:tcW w:w="1062" w:type="dxa"/>
          </w:tcPr>
          <w:p w14:paraId="694E73C1">
            <w:pPr>
              <w:spacing w:before="12" w:after="12" w:line="240" w:lineRule="auto"/>
              <w:jc w:val="left"/>
            </w:pPr>
            <w:r>
              <w:rPr>
                <w:rFonts w:ascii="Times New Roman" w:hAnsi="Times New Roman" w:cs="Times New Roman"/>
                <w:b w:val="0"/>
                <w:i w:val="0"/>
                <w:sz w:val="14"/>
              </w:rPr>
              <w:t>yes — SIR params</w:t>
            </w:r>
          </w:p>
        </w:tc>
        <w:tc>
          <w:tcPr>
            <w:tcW w:w="1075" w:type="dxa"/>
          </w:tcPr>
          <w:p w14:paraId="26054A0E">
            <w:pPr>
              <w:spacing w:before="12" w:after="12" w:line="240" w:lineRule="auto"/>
              <w:jc w:val="left"/>
            </w:pPr>
            <w:r>
              <w:rPr>
                <w:rFonts w:ascii="Times New Roman" w:hAnsi="Times New Roman" w:cs="Times New Roman"/>
                <w:b w:val="0"/>
                <w:i w:val="0"/>
                <w:sz w:val="14"/>
              </w:rPr>
              <w:t>COVID-19 + influenza</w:t>
            </w:r>
          </w:p>
        </w:tc>
        <w:tc>
          <w:tcPr>
            <w:tcW w:w="933" w:type="dxa"/>
          </w:tcPr>
          <w:p w14:paraId="4064AA94">
            <w:pPr>
              <w:spacing w:before="12" w:after="12" w:line="240" w:lineRule="auto"/>
              <w:jc w:val="left"/>
            </w:pPr>
            <w:r>
              <w:rPr>
                <w:rFonts w:ascii="Times New Roman" w:hAnsi="Times New Roman" w:cs="Times New Roman"/>
                <w:b w:val="0"/>
                <w:i w:val="0"/>
                <w:sz w:val="14"/>
              </w:rPr>
              <w:t>no (future work)</w:t>
            </w:r>
          </w:p>
        </w:tc>
        <w:tc>
          <w:tcPr>
            <w:tcW w:w="1270" w:type="dxa"/>
          </w:tcPr>
          <w:p w14:paraId="217BFEA7">
            <w:pPr>
              <w:spacing w:before="12" w:after="12" w:line="240" w:lineRule="auto"/>
              <w:jc w:val="left"/>
            </w:pPr>
            <w:r>
              <w:rPr>
                <w:rFonts w:ascii="Times New Roman" w:hAnsi="Times New Roman" w:cs="Times New Roman"/>
                <w:b w:val="0"/>
                <w:i w:val="0"/>
                <w:sz w:val="14"/>
              </w:rPr>
              <w:t>Japan-COVID (47); Zhejiang (11)</w:t>
            </w:r>
          </w:p>
        </w:tc>
        <w:tc>
          <w:tcPr>
            <w:tcW w:w="803" w:type="dxa"/>
          </w:tcPr>
          <w:p w14:paraId="1670E184">
            <w:pPr>
              <w:spacing w:before="12" w:after="12" w:line="240" w:lineRule="auto"/>
              <w:jc w:val="left"/>
            </w:pPr>
            <w:r>
              <w:rPr>
                <w:rFonts w:ascii="Times New Roman" w:hAnsi="Times New Roman" w:cs="Times New Roman"/>
                <w:b w:val="0"/>
                <w:i w:val="0"/>
                <w:sz w:val="14"/>
              </w:rPr>
              <w:t>RMSE, MAE, sMAPE, RAE</w:t>
            </w:r>
          </w:p>
        </w:tc>
        <w:tc>
          <w:tcPr>
            <w:tcW w:w="557" w:type="dxa"/>
          </w:tcPr>
          <w:p w14:paraId="7EDCA9A7">
            <w:pPr>
              <w:spacing w:before="12" w:after="12" w:line="240" w:lineRule="auto"/>
              <w:jc w:val="center"/>
            </w:pPr>
            <w:r>
              <w:rPr>
                <w:rFonts w:ascii="Times New Roman" w:hAnsi="Times New Roman" w:cs="Times New Roman"/>
                <w:b w:val="0"/>
                <w:i w:val="0"/>
                <w:sz w:val="14"/>
              </w:rPr>
              <w:t>yes</w:t>
            </w:r>
          </w:p>
        </w:tc>
      </w:tr>
      <w:tr w14:paraId="4016F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1" w:type="dxa"/>
          </w:tcPr>
          <w:p w14:paraId="4A3C72D4">
            <w:pPr>
              <w:spacing w:before="12" w:after="12" w:line="240" w:lineRule="auto"/>
              <w:jc w:val="left"/>
            </w:pPr>
            <w:r>
              <w:rPr>
                <w:rFonts w:ascii="Times New Roman" w:hAnsi="Times New Roman" w:cs="Times New Roman"/>
                <w:b w:val="0"/>
                <w:i w:val="0"/>
                <w:sz w:val="14"/>
              </w:rPr>
              <w:t>ST-GAT (multi-disease)</w:t>
            </w:r>
          </w:p>
        </w:tc>
        <w:tc>
          <w:tcPr>
            <w:tcW w:w="907" w:type="dxa"/>
          </w:tcPr>
          <w:p w14:paraId="18C11538">
            <w:pPr>
              <w:spacing w:before="12" w:after="12" w:line="240" w:lineRule="auto"/>
              <w:jc w:val="left"/>
            </w:pPr>
            <w:r>
              <w:rPr>
                <w:rFonts w:ascii="Times New Roman" w:hAnsi="Times New Roman" w:cs="Times New Roman"/>
                <w:b w:val="0"/>
                <w:i w:val="0"/>
                <w:sz w:val="14"/>
              </w:rPr>
              <w:t>Front. Public Health 2026</w:t>
            </w:r>
          </w:p>
        </w:tc>
        <w:tc>
          <w:tcPr>
            <w:tcW w:w="1334" w:type="dxa"/>
          </w:tcPr>
          <w:p w14:paraId="256269FE">
            <w:pPr>
              <w:spacing w:before="12" w:after="12" w:line="240" w:lineRule="auto"/>
              <w:jc w:val="left"/>
            </w:pPr>
            <w:r>
              <w:rPr>
                <w:rFonts w:ascii="Times New Roman" w:hAnsi="Times New Roman" w:cs="Times New Roman"/>
                <w:b w:val="0"/>
                <w:i w:val="0"/>
                <w:sz w:val="14"/>
              </w:rPr>
              <w:t>multi-relational GAT</w:t>
            </w:r>
          </w:p>
        </w:tc>
        <w:tc>
          <w:tcPr>
            <w:tcW w:w="1075" w:type="dxa"/>
          </w:tcPr>
          <w:p w14:paraId="42A223DB">
            <w:pPr>
              <w:spacing w:before="12" w:after="12" w:line="240" w:lineRule="auto"/>
              <w:jc w:val="left"/>
            </w:pPr>
            <w:r>
              <w:rPr>
                <w:rFonts w:ascii="Times New Roman" w:hAnsi="Times New Roman" w:cs="Times New Roman"/>
                <w:b w:val="0"/>
                <w:i w:val="0"/>
                <w:sz w:val="14"/>
              </w:rPr>
              <w:t>causal Transformer</w:t>
            </w:r>
          </w:p>
        </w:tc>
        <w:tc>
          <w:tcPr>
            <w:tcW w:w="1166" w:type="dxa"/>
          </w:tcPr>
          <w:p w14:paraId="45ABD6F2">
            <w:pPr>
              <w:spacing w:before="12" w:after="12" w:line="240" w:lineRule="auto"/>
              <w:jc w:val="left"/>
            </w:pPr>
            <w:r>
              <w:rPr>
                <w:rFonts w:ascii="Times New Roman" w:hAnsi="Times New Roman" w:cs="Times New Roman"/>
                <w:b w:val="0"/>
                <w:i w:val="0"/>
                <w:sz w:val="14"/>
              </w:rPr>
              <w:t>dynamic geo + OD mobility</w:t>
            </w:r>
          </w:p>
        </w:tc>
        <w:tc>
          <w:tcPr>
            <w:tcW w:w="751" w:type="dxa"/>
          </w:tcPr>
          <w:p w14:paraId="3254724A">
            <w:pPr>
              <w:spacing w:before="12" w:after="12" w:line="240" w:lineRule="auto"/>
              <w:jc w:val="left"/>
            </w:pPr>
            <w:r>
              <w:rPr>
                <w:rFonts w:ascii="Times New Roman" w:hAnsi="Times New Roman" w:cs="Times New Roman"/>
                <w:b w:val="0"/>
                <w:i w:val="0"/>
                <w:sz w:val="14"/>
              </w:rPr>
              <w:t>none (NB/ZINB)</w:t>
            </w:r>
          </w:p>
        </w:tc>
        <w:tc>
          <w:tcPr>
            <w:tcW w:w="751" w:type="dxa"/>
          </w:tcPr>
          <w:p w14:paraId="17414986">
            <w:pPr>
              <w:spacing w:before="12" w:after="12" w:line="240" w:lineRule="auto"/>
              <w:jc w:val="center"/>
            </w:pPr>
            <w:r>
              <w:rPr>
                <w:rFonts w:ascii="Times New Roman" w:hAnsi="Times New Roman" w:cs="Times New Roman"/>
                <w:b w:val="0"/>
                <w:i w:val="0"/>
                <w:sz w:val="14"/>
              </w:rPr>
              <w:t>quantile + distrib.</w:t>
            </w:r>
          </w:p>
        </w:tc>
        <w:tc>
          <w:tcPr>
            <w:tcW w:w="1062" w:type="dxa"/>
          </w:tcPr>
          <w:p w14:paraId="36A14D53">
            <w:pPr>
              <w:spacing w:before="12" w:after="12" w:line="240" w:lineRule="auto"/>
              <w:jc w:val="left"/>
            </w:pPr>
            <w:r>
              <w:rPr>
                <w:rFonts w:ascii="Times New Roman" w:hAnsi="Times New Roman" w:cs="Times New Roman"/>
                <w:b w:val="0"/>
                <w:i w:val="0"/>
                <w:sz w:val="14"/>
              </w:rPr>
              <w:t>yes — attn. + SHAP</w:t>
            </w:r>
          </w:p>
        </w:tc>
        <w:tc>
          <w:tcPr>
            <w:tcW w:w="1075" w:type="dxa"/>
          </w:tcPr>
          <w:p w14:paraId="7675E39E">
            <w:pPr>
              <w:spacing w:before="12" w:after="12" w:line="240" w:lineRule="auto"/>
              <w:jc w:val="left"/>
            </w:pPr>
            <w:r>
              <w:rPr>
                <w:rFonts w:ascii="Times New Roman" w:hAnsi="Times New Roman" w:cs="Times New Roman"/>
                <w:b w:val="0"/>
                <w:i w:val="0"/>
                <w:sz w:val="14"/>
              </w:rPr>
              <w:t>ILI, HFMD, dengue, RSV (joint)</w:t>
            </w:r>
          </w:p>
        </w:tc>
        <w:tc>
          <w:tcPr>
            <w:tcW w:w="933" w:type="dxa"/>
          </w:tcPr>
          <w:p w14:paraId="35321131">
            <w:pPr>
              <w:spacing w:before="12" w:after="12" w:line="240" w:lineRule="auto"/>
              <w:jc w:val="left"/>
            </w:pPr>
            <w:r>
              <w:rPr>
                <w:rFonts w:ascii="Times New Roman" w:hAnsi="Times New Roman" w:cs="Times New Roman"/>
                <w:b w:val="0"/>
                <w:i w:val="0"/>
                <w:sz w:val="14"/>
              </w:rPr>
              <w:t>LODO curve only</w:t>
            </w:r>
          </w:p>
        </w:tc>
        <w:tc>
          <w:tcPr>
            <w:tcW w:w="1270" w:type="dxa"/>
          </w:tcPr>
          <w:p w14:paraId="57D3CCBB">
            <w:pPr>
              <w:spacing w:before="12" w:after="12" w:line="240" w:lineRule="auto"/>
              <w:jc w:val="left"/>
            </w:pPr>
            <w:r>
              <w:rPr>
                <w:rFonts w:ascii="Times New Roman" w:hAnsi="Times New Roman" w:cs="Times New Roman"/>
                <w:b w:val="0"/>
                <w:i w:val="0"/>
                <w:sz w:val="14"/>
              </w:rPr>
              <w:t>10-region multi-source</w:t>
            </w:r>
          </w:p>
        </w:tc>
        <w:tc>
          <w:tcPr>
            <w:tcW w:w="803" w:type="dxa"/>
          </w:tcPr>
          <w:p w14:paraId="56F6E503">
            <w:pPr>
              <w:spacing w:before="12" w:after="12" w:line="240" w:lineRule="auto"/>
              <w:jc w:val="left"/>
            </w:pPr>
            <w:r>
              <w:rPr>
                <w:rFonts w:ascii="Times New Roman" w:hAnsi="Times New Roman" w:cs="Times New Roman"/>
                <w:b w:val="0"/>
                <w:i w:val="0"/>
                <w:sz w:val="14"/>
              </w:rPr>
              <w:t>MAE, RMSE, sMAPE, WIS, CRPS</w:t>
            </w:r>
          </w:p>
        </w:tc>
        <w:tc>
          <w:tcPr>
            <w:tcW w:w="557" w:type="dxa"/>
          </w:tcPr>
          <w:p w14:paraId="297F477B">
            <w:pPr>
              <w:spacing w:before="12" w:after="12" w:line="240" w:lineRule="auto"/>
              <w:jc w:val="center"/>
            </w:pPr>
            <w:r>
              <w:rPr>
                <w:rFonts w:ascii="Times New Roman" w:hAnsi="Times New Roman" w:cs="Times New Roman"/>
                <w:b w:val="0"/>
                <w:i w:val="0"/>
                <w:sz w:val="14"/>
              </w:rPr>
              <w:t>no</w:t>
            </w:r>
          </w:p>
        </w:tc>
      </w:tr>
      <w:tr w14:paraId="7E300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1" w:type="dxa"/>
          </w:tcPr>
          <w:p w14:paraId="7C3A89A3">
            <w:pPr>
              <w:spacing w:before="12" w:after="12" w:line="240" w:lineRule="auto"/>
              <w:jc w:val="left"/>
            </w:pPr>
            <w:r>
              <w:rPr>
                <w:rFonts w:ascii="Times New Roman" w:hAnsi="Times New Roman" w:cs="Times New Roman"/>
                <w:b w:val="0"/>
                <w:i w:val="0"/>
                <w:sz w:val="14"/>
              </w:rPr>
              <w:t>Ours</w:t>
            </w:r>
          </w:p>
        </w:tc>
        <w:tc>
          <w:tcPr>
            <w:tcW w:w="907" w:type="dxa"/>
          </w:tcPr>
          <w:p w14:paraId="084E8356">
            <w:pPr>
              <w:spacing w:before="12" w:after="12" w:line="240" w:lineRule="auto"/>
              <w:jc w:val="left"/>
            </w:pPr>
            <w:r>
              <w:rPr>
                <w:rFonts w:ascii="Times New Roman" w:hAnsi="Times New Roman" w:cs="Times New Roman"/>
                <w:b w:val="0"/>
                <w:i w:val="0"/>
                <w:sz w:val="14"/>
              </w:rPr>
              <w:t>this work</w:t>
            </w:r>
          </w:p>
        </w:tc>
        <w:tc>
          <w:tcPr>
            <w:tcW w:w="1334" w:type="dxa"/>
          </w:tcPr>
          <w:p w14:paraId="13272487">
            <w:pPr>
              <w:spacing w:before="12" w:after="12" w:line="240" w:lineRule="auto"/>
              <w:jc w:val="left"/>
            </w:pPr>
            <w:r>
              <w:rPr>
                <w:rFonts w:ascii="Times New Roman" w:hAnsi="Times New Roman" w:cs="Times New Roman"/>
                <w:b w:val="0"/>
                <w:i w:val="0"/>
                <w:sz w:val="14"/>
              </w:rPr>
              <w:t>disease-agnostic shared encoder</w:t>
            </w:r>
          </w:p>
        </w:tc>
        <w:tc>
          <w:tcPr>
            <w:tcW w:w="1075" w:type="dxa"/>
          </w:tcPr>
          <w:p w14:paraId="742FA4B4">
            <w:pPr>
              <w:spacing w:before="12" w:after="12" w:line="240" w:lineRule="auto"/>
              <w:jc w:val="left"/>
            </w:pPr>
            <w:r>
              <w:rPr>
                <w:rFonts w:ascii="Times New Roman" w:hAnsi="Times New Roman" w:cs="Times New Roman"/>
                <w:b w:val="0"/>
                <w:i w:val="0"/>
                <w:sz w:val="14"/>
              </w:rPr>
              <w:t>shared enc. (see Methods)</w:t>
            </w:r>
          </w:p>
        </w:tc>
        <w:tc>
          <w:tcPr>
            <w:tcW w:w="1166" w:type="dxa"/>
          </w:tcPr>
          <w:p w14:paraId="0D39A786">
            <w:pPr>
              <w:spacing w:before="12" w:after="12" w:line="240" w:lineRule="auto"/>
              <w:jc w:val="left"/>
            </w:pPr>
            <w:r>
              <w:rPr>
                <w:rFonts w:ascii="Times New Roman" w:hAnsi="Times New Roman" w:cs="Times New Roman"/>
                <w:b w:val="0"/>
                <w:i w:val="0"/>
                <w:sz w:val="14"/>
              </w:rPr>
              <w:t>learned + transferable</w:t>
            </w:r>
          </w:p>
        </w:tc>
        <w:tc>
          <w:tcPr>
            <w:tcW w:w="751" w:type="dxa"/>
          </w:tcPr>
          <w:p w14:paraId="3D1A2714">
            <w:pPr>
              <w:spacing w:before="12" w:after="12" w:line="240" w:lineRule="auto"/>
              <w:jc w:val="left"/>
            </w:pPr>
            <w:r>
              <w:rPr>
                <w:rFonts w:ascii="Times New Roman" w:hAnsi="Times New Roman" w:cs="Times New Roman"/>
                <w:b w:val="0"/>
                <w:i w:val="0"/>
                <w:sz w:val="14"/>
              </w:rPr>
              <w:t>pluggable / hybrid</w:t>
            </w:r>
          </w:p>
        </w:tc>
        <w:tc>
          <w:tcPr>
            <w:tcW w:w="751" w:type="dxa"/>
          </w:tcPr>
          <w:p w14:paraId="0CE00B31">
            <w:pPr>
              <w:spacing w:before="12" w:after="12" w:line="240" w:lineRule="auto"/>
              <w:jc w:val="center"/>
            </w:pPr>
            <w:r>
              <w:rPr>
                <w:rFonts w:ascii="Times New Roman" w:hAnsi="Times New Roman" w:cs="Times New Roman"/>
                <w:b w:val="0"/>
                <w:i w:val="0"/>
                <w:sz w:val="14"/>
              </w:rPr>
              <w:t>conformal (calibr.)</w:t>
            </w:r>
          </w:p>
        </w:tc>
        <w:tc>
          <w:tcPr>
            <w:tcW w:w="1062" w:type="dxa"/>
          </w:tcPr>
          <w:p w14:paraId="64A2AE6A">
            <w:pPr>
              <w:spacing w:before="12" w:after="12" w:line="240" w:lineRule="auto"/>
              <w:jc w:val="left"/>
            </w:pPr>
            <w:r>
              <w:rPr>
                <w:rFonts w:ascii="Times New Roman" w:hAnsi="Times New Roman" w:cs="Times New Roman"/>
                <w:b w:val="0"/>
                <w:i w:val="0"/>
                <w:sz w:val="14"/>
              </w:rPr>
              <w:t>yes — SHAP (glob.+loc.)</w:t>
            </w:r>
          </w:p>
        </w:tc>
        <w:tc>
          <w:tcPr>
            <w:tcW w:w="1075" w:type="dxa"/>
          </w:tcPr>
          <w:p w14:paraId="6258A14E">
            <w:pPr>
              <w:spacing w:before="12" w:after="12" w:line="240" w:lineRule="auto"/>
              <w:jc w:val="left"/>
            </w:pPr>
            <w:r>
              <w:rPr>
                <w:rFonts w:ascii="Times New Roman" w:hAnsi="Times New Roman" w:cs="Times New Roman"/>
                <w:b w:val="0"/>
                <w:i w:val="0"/>
                <w:sz w:val="14"/>
              </w:rPr>
              <w:t>dengue, influenza → Ebola</w:t>
            </w:r>
          </w:p>
        </w:tc>
        <w:tc>
          <w:tcPr>
            <w:tcW w:w="933" w:type="dxa"/>
          </w:tcPr>
          <w:p w14:paraId="2C22BE7E">
            <w:pPr>
              <w:spacing w:before="12" w:after="12" w:line="240" w:lineRule="auto"/>
              <w:jc w:val="left"/>
            </w:pPr>
            <w:r>
              <w:rPr>
                <w:rFonts w:ascii="Times New Roman" w:hAnsi="Times New Roman" w:cs="Times New Roman"/>
                <w:b w:val="0"/>
                <w:i w:val="0"/>
                <w:sz w:val="14"/>
              </w:rPr>
              <w:t>yes — few-shot (held-out)</w:t>
            </w:r>
          </w:p>
        </w:tc>
        <w:tc>
          <w:tcPr>
            <w:tcW w:w="1270" w:type="dxa"/>
          </w:tcPr>
          <w:p w14:paraId="2A176E49">
            <w:pPr>
              <w:spacing w:before="12" w:after="12" w:line="240" w:lineRule="auto"/>
              <w:jc w:val="left"/>
            </w:pPr>
            <w:r>
              <w:rPr>
                <w:rFonts w:ascii="Times New Roman" w:hAnsi="Times New Roman" w:cs="Times New Roman"/>
                <w:b w:val="0"/>
                <w:i w:val="0"/>
                <w:sz w:val="14"/>
              </w:rPr>
              <w:t>OpenDengue; ILI; Ebola (HDX/WHO)</w:t>
            </w:r>
          </w:p>
        </w:tc>
        <w:tc>
          <w:tcPr>
            <w:tcW w:w="803" w:type="dxa"/>
          </w:tcPr>
          <w:p w14:paraId="03074AE3">
            <w:pPr>
              <w:spacing w:before="12" w:after="12" w:line="240" w:lineRule="auto"/>
              <w:jc w:val="left"/>
            </w:pPr>
            <w:r>
              <w:rPr>
                <w:rFonts w:ascii="Times New Roman" w:hAnsi="Times New Roman" w:cs="Times New Roman"/>
                <w:b w:val="0"/>
                <w:i w:val="0"/>
                <w:sz w:val="14"/>
              </w:rPr>
              <w:t>RMSE, MAE, PCC, sMAPE, CRPS, cov.</w:t>
            </w:r>
          </w:p>
        </w:tc>
        <w:tc>
          <w:tcPr>
            <w:tcW w:w="557" w:type="dxa"/>
          </w:tcPr>
          <w:p w14:paraId="3AA56B96">
            <w:pPr>
              <w:spacing w:before="12" w:after="12" w:line="240" w:lineRule="auto"/>
              <w:jc w:val="center"/>
            </w:pPr>
            <w:r>
              <w:rPr>
                <w:rFonts w:ascii="Times New Roman" w:hAnsi="Times New Roman" w:cs="Times New Roman"/>
                <w:b w:val="0"/>
                <w:i w:val="0"/>
                <w:sz w:val="14"/>
              </w:rPr>
              <w:t>yes</w:t>
            </w:r>
          </w:p>
        </w:tc>
      </w:tr>
    </w:tbl>
    <w:p w14:paraId="3B2C9ACF">
      <w:pPr>
        <w:sectPr>
          <w:pgSz w:w="15840" w:h="12240" w:orient="landscape"/>
          <w:pgMar w:top="1440" w:right="1440" w:bottom="1440" w:left="1440" w:header="720" w:footer="720" w:gutter="0"/>
          <w:cols w:space="720" w:num="1"/>
          <w:docGrid w:linePitch="360" w:charSpace="0"/>
        </w:sectPr>
      </w:pPr>
    </w:p>
    <w:p w14:paraId="54687285">
      <w:pPr>
        <w:spacing w:after="120" w:line="276" w:lineRule="auto"/>
        <w:jc w:val="both"/>
      </w:pPr>
      <w:r>
        <w:rPr>
          <w:rFonts w:ascii="Times New Roman" w:hAnsi="Times New Roman" w:cs="Times New Roman"/>
          <w:b w:val="0"/>
          <w:i w:val="0"/>
          <w:sz w:val="22"/>
        </w:rPr>
        <w:t>Reading the table by column rather than by row exposes a consistent pattern that no amount of per-model excellence dissolves. The spatial and temporal modules have converged on a small, mature menu — learned or attention-based graphs paired with convolutional, recurrent, or transformer sequence encoders — and mechanistic priors have moved from rare to common, with SIR, SIRD, and metapopulation variants now appearing across the 2022–2026 cohort. Against that maturity, three columns stay conspicuously sparse. The uncertainty column is empty for every epidemic GNN except the single multi-task model of Liu and Cao (2026); the mechanistic hybrids, despite their epidemiological sophistication, report point forecasts. The explainability column is populated but shallow, dominated by attention visualisation and parameter read-out rather than input attribution. Most decisively, the transfer column reads “no” almost everywhere: models that evaluate two diseases still fit each separately, transfer that does exist is across locations for one disease (Panagopoulos et al., 2021), and the closest multi-disease system offers only a leave-one-disease-out learning curve rather than a few-shot protocol. The competitive picture is therefore not that any one property is unmet, but that the properties are met in isolation — no incumbent occupies the intersection.</w:t>
      </w:r>
    </w:p>
    <w:p w14:paraId="5FF34D66">
      <w:pPr>
        <w:keepNext/>
        <w:spacing w:before="240" w:after="80"/>
      </w:pPr>
      <w:r>
        <w:rPr>
          <w:rFonts w:ascii="Times New Roman" w:hAnsi="Times New Roman" w:cs="Times New Roman"/>
          <w:b/>
          <w:i w:val="0"/>
          <w:sz w:val="26"/>
        </w:rPr>
        <w:t>3.  Empirical Benchmark: A Reproduce-then-Compare Protocol</w:t>
      </w:r>
    </w:p>
    <w:p w14:paraId="57E7BDDF">
      <w:pPr>
        <w:spacing w:after="120" w:line="276" w:lineRule="auto"/>
        <w:jc w:val="both"/>
      </w:pPr>
      <w:r>
        <w:rPr>
          <w:rFonts w:ascii="Times New Roman" w:hAnsi="Times New Roman" w:cs="Times New Roman"/>
          <w:b w:val="0"/>
          <w:i w:val="0"/>
          <w:sz w:val="22"/>
        </w:rPr>
        <w:t>A competitive table records what each model was designed to do; it cannot, on its own, adjudicate which model is more accurate, because the published numbers were obtained under mutually incompatible datasets, splits, and metric definitions. To make any state-of-the-art claim defensible we therefore separate the evaluation into two stages. The first re-runs each candidate on the exact dataset shipped with its repository, under the authors' intended configuration, and asks only whether our environment reproduces the published figures at the identical horizon and metric definition. The second re-runs the models that clear this fidelity bar under one common protocol — the same data, preprocessing, splits, horizons, metrics, and random seeds used for our own framework — so that every comparative number is produced by a single pipeline rather than transcribed from heterogeneous papers. The present phase delivers the first stage in full together with a frozen specification of the second; the head-to-head results the protocol is built to produce belong to the comparative phase that follows, and no comparative number is asserted here.</w:t>
      </w:r>
    </w:p>
    <w:p w14:paraId="1E6BB325">
      <w:pPr>
        <w:keepNext/>
        <w:spacing w:before="160" w:after="80"/>
      </w:pPr>
      <w:r>
        <w:rPr>
          <w:rFonts w:ascii="Times New Roman" w:hAnsi="Times New Roman" w:cs="Times New Roman"/>
          <w:b/>
          <w:i w:val="0"/>
          <w:sz w:val="24"/>
        </w:rPr>
        <w:t>3.1  Stage one: reproduction fidelity</w:t>
      </w:r>
    </w:p>
    <w:p w14:paraId="1D7AA3D3">
      <w:pPr>
        <w:spacing w:after="120" w:line="276" w:lineRule="auto"/>
        <w:jc w:val="both"/>
      </w:pPr>
      <w:r>
        <w:rPr>
          <w:rFonts w:ascii="Times New Roman" w:hAnsi="Times New Roman" w:cs="Times New Roman"/>
          <w:b w:val="0"/>
          <w:i w:val="0"/>
          <w:sz w:val="22"/>
        </w:rPr>
        <w:t>A model is treated as reproduced when its measured metric falls inside the paper's reported mean and standard-deviation band, or within roughly five percent of a published point estimate, at the same dataset, forecast horizon, and metric definition; any mismatch in horizon, metric, or dataset marks the result not comparable rather than a pass or a failure. Under this rule, three of the epidemic and control models reproduce cleanly. EpiGNN, run on the US-Regions benchmark at a five-week horizon with the repository's configuration, attains a global root-mean-square error of 765.12 against the published 774 and a Pearson correlation of 0.851 against 0.842 — marginally better than the paper on both, once the global metric is compared against the global figure rather than the per-region variant. MepoGNN in its dynamic-graph configuration, run on the 47-prefecture Japan COVID-19 data, lands inside or better than the published standard-deviation band at every three-, seven-, and fourteen-day step and in aggregate, which is the intended bar for a single-seed run compared against a multi-seed mean. MTGNN, retained as a generic multivariate control on the METR-LA traffic benchmark, shows the expected monotone growth of error with horizon at the correct scale after a full hundred-epoch run, confirming a healthy reproduction even though a formal published-claim comparison is out of scope for a traffic model. Tables 2 and 3 report these figures.</w:t>
      </w:r>
    </w:p>
    <w:p w14:paraId="587071CF">
      <w:pPr>
        <w:keepNext/>
        <w:spacing w:before="160" w:after="60"/>
        <w:jc w:val="left"/>
      </w:pPr>
      <w:r>
        <w:rPr>
          <w:rFonts w:ascii="Times New Roman" w:hAnsi="Times New Roman" w:cs="Times New Roman"/>
          <w:b/>
          <w:i w:val="0"/>
          <w:sz w:val="20"/>
        </w:rPr>
        <w:t>Table 2.</w:t>
      </w:r>
      <w:r>
        <w:rPr>
          <w:rFonts w:ascii="Times New Roman" w:hAnsi="Times New Roman" w:cs="Times New Roman"/>
          <w:b w:val="0"/>
          <w:i w:val="0"/>
          <w:sz w:val="20"/>
        </w:rPr>
        <w:t xml:space="preserve">  Point-forecast reproductions that clear the fidelity bar. Deviation is signed relative to the published figure; negative RMSE and positive PCC deviations are improvements.</w:t>
      </w:r>
    </w:p>
    <w:tbl>
      <w:tblPr>
        <w:tblStyle w:val="35"/>
        <w:tblW w:w="9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14:paraId="4BBC5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23" w:type="dxa"/>
            <w:shd w:val="clear" w:color="auto" w:fill="D9D9D9"/>
          </w:tcPr>
          <w:p w14:paraId="01F0A5C0">
            <w:pPr>
              <w:spacing w:before="40" w:after="40" w:line="240" w:lineRule="auto"/>
              <w:jc w:val="center"/>
            </w:pPr>
            <w:r>
              <w:rPr>
                <w:rFonts w:ascii="Times New Roman" w:hAnsi="Times New Roman" w:cs="Times New Roman"/>
                <w:b/>
                <w:i w:val="0"/>
                <w:sz w:val="18"/>
              </w:rPr>
              <w:t>Model</w:t>
            </w:r>
          </w:p>
        </w:tc>
        <w:tc>
          <w:tcPr>
            <w:tcW w:w="1872" w:type="dxa"/>
            <w:shd w:val="clear" w:color="auto" w:fill="D9D9D9"/>
          </w:tcPr>
          <w:p w14:paraId="0EB7E557">
            <w:pPr>
              <w:spacing w:before="40" w:after="40" w:line="240" w:lineRule="auto"/>
              <w:jc w:val="center"/>
            </w:pPr>
            <w:r>
              <w:rPr>
                <w:rFonts w:ascii="Times New Roman" w:hAnsi="Times New Roman" w:cs="Times New Roman"/>
                <w:b/>
                <w:i w:val="0"/>
                <w:sz w:val="18"/>
              </w:rPr>
              <w:t>Dataset / horizon</w:t>
            </w:r>
          </w:p>
        </w:tc>
        <w:tc>
          <w:tcPr>
            <w:tcW w:w="1872" w:type="dxa"/>
            <w:shd w:val="clear" w:color="auto" w:fill="D9D9D9"/>
          </w:tcPr>
          <w:p w14:paraId="019D7903">
            <w:pPr>
              <w:spacing w:before="40" w:after="40" w:line="240" w:lineRule="auto"/>
              <w:jc w:val="center"/>
            </w:pPr>
            <w:r>
              <w:rPr>
                <w:rFonts w:ascii="Times New Roman" w:hAnsi="Times New Roman" w:cs="Times New Roman"/>
                <w:b/>
                <w:i w:val="0"/>
                <w:sz w:val="18"/>
              </w:rPr>
              <w:t>Metric</w:t>
            </w:r>
          </w:p>
        </w:tc>
        <w:tc>
          <w:tcPr>
            <w:tcW w:w="1872" w:type="dxa"/>
            <w:shd w:val="clear" w:color="auto" w:fill="D9D9D9"/>
          </w:tcPr>
          <w:p w14:paraId="33A972D7">
            <w:pPr>
              <w:spacing w:before="40" w:after="40" w:line="240" w:lineRule="auto"/>
              <w:jc w:val="center"/>
            </w:pPr>
            <w:r>
              <w:rPr>
                <w:rFonts w:ascii="Times New Roman" w:hAnsi="Times New Roman" w:cs="Times New Roman"/>
                <w:b/>
                <w:i w:val="0"/>
                <w:sz w:val="18"/>
              </w:rPr>
              <w:t>Our run</w:t>
            </w:r>
          </w:p>
        </w:tc>
        <w:tc>
          <w:tcPr>
            <w:tcW w:w="1310" w:type="dxa"/>
            <w:shd w:val="clear" w:color="auto" w:fill="D9D9D9"/>
          </w:tcPr>
          <w:p w14:paraId="64F7DD4E">
            <w:pPr>
              <w:spacing w:before="40" w:after="40" w:line="240" w:lineRule="auto"/>
              <w:jc w:val="center"/>
            </w:pPr>
            <w:r>
              <w:rPr>
                <w:rFonts w:ascii="Times New Roman" w:hAnsi="Times New Roman" w:cs="Times New Roman"/>
                <w:b/>
                <w:i w:val="0"/>
                <w:sz w:val="18"/>
              </w:rPr>
              <w:t>Paper</w:t>
            </w:r>
          </w:p>
        </w:tc>
        <w:tc>
          <w:tcPr>
            <w:tcW w:w="1310" w:type="dxa"/>
            <w:shd w:val="clear" w:color="auto" w:fill="D9D9D9"/>
          </w:tcPr>
          <w:p w14:paraId="0B18814A">
            <w:pPr>
              <w:spacing w:before="40" w:after="40" w:line="240" w:lineRule="auto"/>
              <w:jc w:val="center"/>
            </w:pPr>
            <w:r>
              <w:rPr>
                <w:rFonts w:ascii="Times New Roman" w:hAnsi="Times New Roman" w:cs="Times New Roman"/>
                <w:b/>
                <w:i w:val="0"/>
                <w:sz w:val="18"/>
              </w:rPr>
              <w:t>Deviation</w:t>
            </w:r>
          </w:p>
        </w:tc>
      </w:tr>
      <w:tr w14:paraId="4453F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3" w:type="dxa"/>
          </w:tcPr>
          <w:p w14:paraId="6D329760">
            <w:pPr>
              <w:spacing w:before="40" w:after="40" w:line="240" w:lineRule="auto"/>
              <w:jc w:val="left"/>
            </w:pPr>
            <w:r>
              <w:rPr>
                <w:rFonts w:ascii="Times New Roman" w:hAnsi="Times New Roman" w:cs="Times New Roman"/>
                <w:b w:val="0"/>
                <w:i w:val="0"/>
                <w:sz w:val="18"/>
              </w:rPr>
              <w:t>EpiGNN</w:t>
            </w:r>
          </w:p>
        </w:tc>
        <w:tc>
          <w:tcPr>
            <w:tcW w:w="1872" w:type="dxa"/>
          </w:tcPr>
          <w:p w14:paraId="11780811">
            <w:pPr>
              <w:spacing w:before="40" w:after="40" w:line="240" w:lineRule="auto"/>
              <w:jc w:val="left"/>
            </w:pPr>
            <w:r>
              <w:rPr>
                <w:rFonts w:ascii="Times New Roman" w:hAnsi="Times New Roman" w:cs="Times New Roman"/>
                <w:b w:val="0"/>
                <w:i w:val="0"/>
                <w:sz w:val="18"/>
              </w:rPr>
              <w:t>US-Regions, h = 5</w:t>
            </w:r>
          </w:p>
        </w:tc>
        <w:tc>
          <w:tcPr>
            <w:tcW w:w="1872" w:type="dxa"/>
          </w:tcPr>
          <w:p w14:paraId="2CEDCA79">
            <w:pPr>
              <w:spacing w:before="40" w:after="40" w:line="240" w:lineRule="auto"/>
              <w:jc w:val="left"/>
            </w:pPr>
            <w:r>
              <w:rPr>
                <w:rFonts w:ascii="Times New Roman" w:hAnsi="Times New Roman" w:cs="Times New Roman"/>
                <w:b w:val="0"/>
                <w:i w:val="0"/>
                <w:sz w:val="18"/>
              </w:rPr>
              <w:t>RMSE</w:t>
            </w:r>
          </w:p>
        </w:tc>
        <w:tc>
          <w:tcPr>
            <w:tcW w:w="1872" w:type="dxa"/>
          </w:tcPr>
          <w:p w14:paraId="54BB0D47">
            <w:pPr>
              <w:spacing w:before="40" w:after="40" w:line="240" w:lineRule="auto"/>
              <w:jc w:val="center"/>
            </w:pPr>
            <w:r>
              <w:rPr>
                <w:rFonts w:ascii="Times New Roman" w:hAnsi="Times New Roman" w:cs="Times New Roman"/>
                <w:b w:val="0"/>
                <w:i w:val="0"/>
                <w:sz w:val="18"/>
              </w:rPr>
              <w:t>765.12</w:t>
            </w:r>
          </w:p>
        </w:tc>
        <w:tc>
          <w:tcPr>
            <w:tcW w:w="1310" w:type="dxa"/>
          </w:tcPr>
          <w:p w14:paraId="5700B6C9">
            <w:pPr>
              <w:spacing w:before="40" w:after="40" w:line="240" w:lineRule="auto"/>
              <w:jc w:val="center"/>
            </w:pPr>
            <w:r>
              <w:rPr>
                <w:rFonts w:ascii="Times New Roman" w:hAnsi="Times New Roman" w:cs="Times New Roman"/>
                <w:b w:val="0"/>
                <w:i w:val="0"/>
                <w:sz w:val="18"/>
              </w:rPr>
              <w:t>774</w:t>
            </w:r>
          </w:p>
        </w:tc>
        <w:tc>
          <w:tcPr>
            <w:tcW w:w="1310" w:type="dxa"/>
          </w:tcPr>
          <w:p w14:paraId="209390FC">
            <w:pPr>
              <w:spacing w:before="40" w:after="40" w:line="240" w:lineRule="auto"/>
              <w:jc w:val="center"/>
            </w:pPr>
            <w:r>
              <w:rPr>
                <w:rFonts w:ascii="Times New Roman" w:hAnsi="Times New Roman" w:cs="Times New Roman"/>
                <w:b w:val="0"/>
                <w:i w:val="0"/>
                <w:sz w:val="18"/>
              </w:rPr>
              <w:t>−1.1%  (better)</w:t>
            </w:r>
          </w:p>
        </w:tc>
      </w:tr>
      <w:tr w14:paraId="0D7C5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3" w:type="dxa"/>
          </w:tcPr>
          <w:p w14:paraId="79C9D74C">
            <w:pPr>
              <w:spacing w:before="40" w:after="40" w:line="240" w:lineRule="auto"/>
              <w:jc w:val="left"/>
            </w:pPr>
            <w:r>
              <w:rPr>
                <w:rFonts w:ascii="Times New Roman" w:hAnsi="Times New Roman" w:cs="Times New Roman"/>
                <w:b w:val="0"/>
                <w:i w:val="0"/>
                <w:sz w:val="18"/>
              </w:rPr>
              <w:t>EpiGNN</w:t>
            </w:r>
          </w:p>
        </w:tc>
        <w:tc>
          <w:tcPr>
            <w:tcW w:w="1872" w:type="dxa"/>
          </w:tcPr>
          <w:p w14:paraId="6484CF7D">
            <w:pPr>
              <w:spacing w:before="40" w:after="40" w:line="240" w:lineRule="auto"/>
              <w:jc w:val="left"/>
            </w:pPr>
            <w:r>
              <w:rPr>
                <w:rFonts w:ascii="Times New Roman" w:hAnsi="Times New Roman" w:cs="Times New Roman"/>
                <w:b w:val="0"/>
                <w:i w:val="0"/>
                <w:sz w:val="18"/>
              </w:rPr>
              <w:t>US-Regions, h = 5</w:t>
            </w:r>
          </w:p>
        </w:tc>
        <w:tc>
          <w:tcPr>
            <w:tcW w:w="1872" w:type="dxa"/>
          </w:tcPr>
          <w:p w14:paraId="6BA40573">
            <w:pPr>
              <w:spacing w:before="40" w:after="40" w:line="240" w:lineRule="auto"/>
              <w:jc w:val="left"/>
            </w:pPr>
            <w:r>
              <w:rPr>
                <w:rFonts w:ascii="Times New Roman" w:hAnsi="Times New Roman" w:cs="Times New Roman"/>
                <w:b w:val="0"/>
                <w:i w:val="0"/>
                <w:sz w:val="18"/>
              </w:rPr>
              <w:t>PCC</w:t>
            </w:r>
          </w:p>
        </w:tc>
        <w:tc>
          <w:tcPr>
            <w:tcW w:w="1872" w:type="dxa"/>
          </w:tcPr>
          <w:p w14:paraId="6FCA6E0C">
            <w:pPr>
              <w:spacing w:before="40" w:after="40" w:line="240" w:lineRule="auto"/>
              <w:jc w:val="center"/>
            </w:pPr>
            <w:r>
              <w:rPr>
                <w:rFonts w:ascii="Times New Roman" w:hAnsi="Times New Roman" w:cs="Times New Roman"/>
                <w:b w:val="0"/>
                <w:i w:val="0"/>
                <w:sz w:val="18"/>
              </w:rPr>
              <w:t>0.8509</w:t>
            </w:r>
          </w:p>
        </w:tc>
        <w:tc>
          <w:tcPr>
            <w:tcW w:w="1310" w:type="dxa"/>
          </w:tcPr>
          <w:p w14:paraId="6CAB3EFF">
            <w:pPr>
              <w:spacing w:before="40" w:after="40" w:line="240" w:lineRule="auto"/>
              <w:jc w:val="center"/>
            </w:pPr>
            <w:r>
              <w:rPr>
                <w:rFonts w:ascii="Times New Roman" w:hAnsi="Times New Roman" w:cs="Times New Roman"/>
                <w:b w:val="0"/>
                <w:i w:val="0"/>
                <w:sz w:val="18"/>
              </w:rPr>
              <w:t>0.842</w:t>
            </w:r>
          </w:p>
        </w:tc>
        <w:tc>
          <w:tcPr>
            <w:tcW w:w="1310" w:type="dxa"/>
          </w:tcPr>
          <w:p w14:paraId="221FEB60">
            <w:pPr>
              <w:spacing w:before="40" w:after="40" w:line="240" w:lineRule="auto"/>
              <w:jc w:val="center"/>
            </w:pPr>
            <w:r>
              <w:rPr>
                <w:rFonts w:ascii="Times New Roman" w:hAnsi="Times New Roman" w:cs="Times New Roman"/>
                <w:b w:val="0"/>
                <w:i w:val="0"/>
                <w:sz w:val="18"/>
              </w:rPr>
              <w:t>+1.0%  (better)</w:t>
            </w:r>
          </w:p>
        </w:tc>
      </w:tr>
      <w:tr w14:paraId="2BC21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3" w:type="dxa"/>
          </w:tcPr>
          <w:p w14:paraId="7DB97AFE">
            <w:pPr>
              <w:spacing w:before="40" w:after="40" w:line="240" w:lineRule="auto"/>
              <w:jc w:val="left"/>
            </w:pPr>
            <w:r>
              <w:rPr>
                <w:rFonts w:ascii="Times New Roman" w:hAnsi="Times New Roman" w:cs="Times New Roman"/>
                <w:b w:val="0"/>
                <w:i w:val="0"/>
                <w:sz w:val="18"/>
              </w:rPr>
              <w:t>MTGNN</w:t>
            </w:r>
          </w:p>
        </w:tc>
        <w:tc>
          <w:tcPr>
            <w:tcW w:w="1872" w:type="dxa"/>
          </w:tcPr>
          <w:p w14:paraId="0644333B">
            <w:pPr>
              <w:spacing w:before="40" w:after="40" w:line="240" w:lineRule="auto"/>
              <w:jc w:val="left"/>
            </w:pPr>
            <w:r>
              <w:rPr>
                <w:rFonts w:ascii="Times New Roman" w:hAnsi="Times New Roman" w:cs="Times New Roman"/>
                <w:b w:val="0"/>
                <w:i w:val="0"/>
                <w:sz w:val="18"/>
              </w:rPr>
              <w:t>METR-LA, h = 3</w:t>
            </w:r>
          </w:p>
        </w:tc>
        <w:tc>
          <w:tcPr>
            <w:tcW w:w="1872" w:type="dxa"/>
          </w:tcPr>
          <w:p w14:paraId="047FC8F5">
            <w:pPr>
              <w:spacing w:before="40" w:after="40" w:line="240" w:lineRule="auto"/>
              <w:jc w:val="left"/>
            </w:pPr>
            <w:r>
              <w:rPr>
                <w:rFonts w:ascii="Times New Roman" w:hAnsi="Times New Roman" w:cs="Times New Roman"/>
                <w:b w:val="0"/>
                <w:i w:val="0"/>
                <w:sz w:val="18"/>
              </w:rPr>
              <w:t>MAE / RMSE / MAPE</w:t>
            </w:r>
          </w:p>
        </w:tc>
        <w:tc>
          <w:tcPr>
            <w:tcW w:w="1872" w:type="dxa"/>
          </w:tcPr>
          <w:p w14:paraId="2080EA55">
            <w:pPr>
              <w:spacing w:before="40" w:after="40" w:line="240" w:lineRule="auto"/>
              <w:jc w:val="center"/>
            </w:pPr>
            <w:r>
              <w:rPr>
                <w:rFonts w:ascii="Times New Roman" w:hAnsi="Times New Roman" w:cs="Times New Roman"/>
                <w:b w:val="0"/>
                <w:i w:val="0"/>
                <w:sz w:val="18"/>
              </w:rPr>
              <w:t>2.678 / 5.155 / 6.80%</w:t>
            </w:r>
          </w:p>
        </w:tc>
        <w:tc>
          <w:tcPr>
            <w:tcW w:w="1310" w:type="dxa"/>
          </w:tcPr>
          <w:p w14:paraId="1E07831C">
            <w:pPr>
              <w:spacing w:before="40" w:after="40" w:line="240" w:lineRule="auto"/>
              <w:jc w:val="center"/>
            </w:pPr>
            <w:r>
              <w:rPr>
                <w:rFonts w:ascii="Times New Roman" w:hAnsi="Times New Roman" w:cs="Times New Roman"/>
                <w:b w:val="0"/>
                <w:i w:val="0"/>
                <w:sz w:val="18"/>
              </w:rPr>
              <w:t>— (control)</w:t>
            </w:r>
          </w:p>
        </w:tc>
        <w:tc>
          <w:tcPr>
            <w:tcW w:w="1310" w:type="dxa"/>
          </w:tcPr>
          <w:p w14:paraId="030EBF1E">
            <w:pPr>
              <w:spacing w:before="40" w:after="40" w:line="240" w:lineRule="auto"/>
              <w:jc w:val="center"/>
            </w:pPr>
            <w:r>
              <w:rPr>
                <w:rFonts w:ascii="Times New Roman" w:hAnsi="Times New Roman" w:cs="Times New Roman"/>
                <w:b w:val="0"/>
                <w:i w:val="0"/>
                <w:sz w:val="18"/>
              </w:rPr>
              <w:t>healthy scale</w:t>
            </w:r>
          </w:p>
        </w:tc>
      </w:tr>
      <w:tr w14:paraId="4C7EE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3" w:type="dxa"/>
          </w:tcPr>
          <w:p w14:paraId="69848983">
            <w:pPr>
              <w:spacing w:before="40" w:after="40" w:line="240" w:lineRule="auto"/>
              <w:jc w:val="left"/>
            </w:pPr>
            <w:r>
              <w:rPr>
                <w:rFonts w:ascii="Times New Roman" w:hAnsi="Times New Roman" w:cs="Times New Roman"/>
                <w:b w:val="0"/>
                <w:i w:val="0"/>
                <w:sz w:val="18"/>
              </w:rPr>
              <w:t>MTGNN</w:t>
            </w:r>
          </w:p>
        </w:tc>
        <w:tc>
          <w:tcPr>
            <w:tcW w:w="1872" w:type="dxa"/>
          </w:tcPr>
          <w:p w14:paraId="565B5055">
            <w:pPr>
              <w:spacing w:before="40" w:after="40" w:line="240" w:lineRule="auto"/>
              <w:jc w:val="left"/>
            </w:pPr>
            <w:r>
              <w:rPr>
                <w:rFonts w:ascii="Times New Roman" w:hAnsi="Times New Roman" w:cs="Times New Roman"/>
                <w:b w:val="0"/>
                <w:i w:val="0"/>
                <w:sz w:val="18"/>
              </w:rPr>
              <w:t>METR-LA, h = 6</w:t>
            </w:r>
          </w:p>
        </w:tc>
        <w:tc>
          <w:tcPr>
            <w:tcW w:w="1872" w:type="dxa"/>
          </w:tcPr>
          <w:p w14:paraId="78B301C6">
            <w:pPr>
              <w:spacing w:before="40" w:after="40" w:line="240" w:lineRule="auto"/>
              <w:jc w:val="left"/>
            </w:pPr>
            <w:r>
              <w:rPr>
                <w:rFonts w:ascii="Times New Roman" w:hAnsi="Times New Roman" w:cs="Times New Roman"/>
                <w:b w:val="0"/>
                <w:i w:val="0"/>
                <w:sz w:val="18"/>
              </w:rPr>
              <w:t>MAE / RMSE / MAPE</w:t>
            </w:r>
          </w:p>
        </w:tc>
        <w:tc>
          <w:tcPr>
            <w:tcW w:w="1872" w:type="dxa"/>
          </w:tcPr>
          <w:p w14:paraId="3D5664B0">
            <w:pPr>
              <w:spacing w:before="40" w:after="40" w:line="240" w:lineRule="auto"/>
              <w:jc w:val="center"/>
            </w:pPr>
            <w:r>
              <w:rPr>
                <w:rFonts w:ascii="Times New Roman" w:hAnsi="Times New Roman" w:cs="Times New Roman"/>
                <w:b w:val="0"/>
                <w:i w:val="0"/>
                <w:sz w:val="18"/>
              </w:rPr>
              <w:t>3.029 / 6.127 / 8.17%</w:t>
            </w:r>
          </w:p>
        </w:tc>
        <w:tc>
          <w:tcPr>
            <w:tcW w:w="1310" w:type="dxa"/>
          </w:tcPr>
          <w:p w14:paraId="185D2734">
            <w:pPr>
              <w:spacing w:before="40" w:after="40" w:line="240" w:lineRule="auto"/>
              <w:jc w:val="center"/>
            </w:pPr>
            <w:r>
              <w:rPr>
                <w:rFonts w:ascii="Times New Roman" w:hAnsi="Times New Roman" w:cs="Times New Roman"/>
                <w:b w:val="0"/>
                <w:i w:val="0"/>
                <w:sz w:val="18"/>
              </w:rPr>
              <w:t>— (control)</w:t>
            </w:r>
          </w:p>
        </w:tc>
        <w:tc>
          <w:tcPr>
            <w:tcW w:w="1310" w:type="dxa"/>
          </w:tcPr>
          <w:p w14:paraId="209BC5D5">
            <w:pPr>
              <w:spacing w:before="40" w:after="40" w:line="240" w:lineRule="auto"/>
              <w:jc w:val="center"/>
            </w:pPr>
            <w:r>
              <w:rPr>
                <w:rFonts w:ascii="Times New Roman" w:hAnsi="Times New Roman" w:cs="Times New Roman"/>
                <w:b w:val="0"/>
                <w:i w:val="0"/>
                <w:sz w:val="18"/>
              </w:rPr>
              <w:t>monotone</w:t>
            </w:r>
          </w:p>
        </w:tc>
      </w:tr>
      <w:tr w14:paraId="58161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3" w:type="dxa"/>
          </w:tcPr>
          <w:p w14:paraId="65FA7ECE">
            <w:pPr>
              <w:spacing w:before="40" w:after="40" w:line="240" w:lineRule="auto"/>
              <w:jc w:val="left"/>
            </w:pPr>
            <w:r>
              <w:rPr>
                <w:rFonts w:ascii="Times New Roman" w:hAnsi="Times New Roman" w:cs="Times New Roman"/>
                <w:b w:val="0"/>
                <w:i w:val="0"/>
                <w:sz w:val="18"/>
              </w:rPr>
              <w:t>MTGNN</w:t>
            </w:r>
          </w:p>
        </w:tc>
        <w:tc>
          <w:tcPr>
            <w:tcW w:w="1872" w:type="dxa"/>
          </w:tcPr>
          <w:p w14:paraId="52EB76D5">
            <w:pPr>
              <w:spacing w:before="40" w:after="40" w:line="240" w:lineRule="auto"/>
              <w:jc w:val="left"/>
            </w:pPr>
            <w:r>
              <w:rPr>
                <w:rFonts w:ascii="Times New Roman" w:hAnsi="Times New Roman" w:cs="Times New Roman"/>
                <w:b w:val="0"/>
                <w:i w:val="0"/>
                <w:sz w:val="18"/>
              </w:rPr>
              <w:t>METR-LA, h = 12</w:t>
            </w:r>
          </w:p>
        </w:tc>
        <w:tc>
          <w:tcPr>
            <w:tcW w:w="1872" w:type="dxa"/>
          </w:tcPr>
          <w:p w14:paraId="4B719590">
            <w:pPr>
              <w:spacing w:before="40" w:after="40" w:line="240" w:lineRule="auto"/>
              <w:jc w:val="left"/>
            </w:pPr>
            <w:r>
              <w:rPr>
                <w:rFonts w:ascii="Times New Roman" w:hAnsi="Times New Roman" w:cs="Times New Roman"/>
                <w:b w:val="0"/>
                <w:i w:val="0"/>
                <w:sz w:val="18"/>
              </w:rPr>
              <w:t>MAE / RMSE / MAPE</w:t>
            </w:r>
          </w:p>
        </w:tc>
        <w:tc>
          <w:tcPr>
            <w:tcW w:w="1872" w:type="dxa"/>
          </w:tcPr>
          <w:p w14:paraId="13CAB89A">
            <w:pPr>
              <w:spacing w:before="40" w:after="40" w:line="240" w:lineRule="auto"/>
              <w:jc w:val="center"/>
            </w:pPr>
            <w:r>
              <w:rPr>
                <w:rFonts w:ascii="Times New Roman" w:hAnsi="Times New Roman" w:cs="Times New Roman"/>
                <w:b w:val="0"/>
                <w:i w:val="0"/>
                <w:sz w:val="18"/>
              </w:rPr>
              <w:t>3.475 / 7.184 / 10.02%</w:t>
            </w:r>
          </w:p>
        </w:tc>
        <w:tc>
          <w:tcPr>
            <w:tcW w:w="1310" w:type="dxa"/>
          </w:tcPr>
          <w:p w14:paraId="2C4ECF90">
            <w:pPr>
              <w:spacing w:before="40" w:after="40" w:line="240" w:lineRule="auto"/>
              <w:jc w:val="center"/>
            </w:pPr>
            <w:r>
              <w:rPr>
                <w:rFonts w:ascii="Times New Roman" w:hAnsi="Times New Roman" w:cs="Times New Roman"/>
                <w:b w:val="0"/>
                <w:i w:val="0"/>
                <w:sz w:val="18"/>
              </w:rPr>
              <w:t>— (control)</w:t>
            </w:r>
          </w:p>
        </w:tc>
        <w:tc>
          <w:tcPr>
            <w:tcW w:w="1310" w:type="dxa"/>
          </w:tcPr>
          <w:p w14:paraId="5A12443E">
            <w:pPr>
              <w:spacing w:before="40" w:after="40" w:line="240" w:lineRule="auto"/>
              <w:jc w:val="center"/>
            </w:pPr>
            <w:r>
              <w:rPr>
                <w:rFonts w:ascii="Times New Roman" w:hAnsi="Times New Roman" w:cs="Times New Roman"/>
                <w:b w:val="0"/>
                <w:i w:val="0"/>
                <w:sz w:val="18"/>
              </w:rPr>
              <w:t>monotone</w:t>
            </w:r>
          </w:p>
        </w:tc>
      </w:tr>
    </w:tbl>
    <w:p w14:paraId="0B1DED3D">
      <w:pPr>
        <w:keepNext/>
        <w:spacing w:before="160" w:after="60"/>
        <w:jc w:val="left"/>
      </w:pPr>
      <w:r>
        <w:rPr>
          <w:rFonts w:ascii="Times New Roman" w:hAnsi="Times New Roman" w:cs="Times New Roman"/>
          <w:b/>
          <w:i w:val="0"/>
          <w:sz w:val="20"/>
        </w:rPr>
        <w:t>Table 3.</w:t>
      </w:r>
      <w:r>
        <w:rPr>
          <w:rFonts w:ascii="Times New Roman" w:hAnsi="Times New Roman" w:cs="Times New Roman"/>
          <w:b w:val="0"/>
          <w:i w:val="0"/>
          <w:sz w:val="20"/>
        </w:rPr>
        <w:t xml:space="preserve">  MepoGNN (dynamic graph) multi-step reproduction on Japan COVID-19 (47 prefectures). MAPE is converted from the logged fraction to percentage points to match the published convention. “In band” denotes lying within, or better than, the paper's mean ± std.</w:t>
      </w:r>
    </w:p>
    <w:tbl>
      <w:tblPr>
        <w:tblStyle w:val="35"/>
        <w:tblW w:w="93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14:paraId="76C25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36" w:type="dxa"/>
            <w:shd w:val="clear" w:color="auto" w:fill="D9D9D9"/>
          </w:tcPr>
          <w:p w14:paraId="02B1830F">
            <w:pPr>
              <w:spacing w:before="40" w:after="40" w:line="240" w:lineRule="auto"/>
              <w:jc w:val="center"/>
            </w:pPr>
            <w:r>
              <w:rPr>
                <w:rFonts w:ascii="Times New Roman" w:hAnsi="Times New Roman" w:cs="Times New Roman"/>
                <w:b/>
                <w:i w:val="0"/>
                <w:sz w:val="18"/>
              </w:rPr>
              <w:t>Horizon</w:t>
            </w:r>
          </w:p>
        </w:tc>
        <w:tc>
          <w:tcPr>
            <w:tcW w:w="2012" w:type="dxa"/>
            <w:shd w:val="clear" w:color="auto" w:fill="D9D9D9"/>
          </w:tcPr>
          <w:p w14:paraId="623D897C">
            <w:pPr>
              <w:spacing w:before="40" w:after="40" w:line="240" w:lineRule="auto"/>
              <w:jc w:val="center"/>
            </w:pPr>
            <w:r>
              <w:rPr>
                <w:rFonts w:ascii="Times New Roman" w:hAnsi="Times New Roman" w:cs="Times New Roman"/>
                <w:b/>
                <w:i w:val="0"/>
                <w:sz w:val="18"/>
              </w:rPr>
              <w:t>RMSE (ours / paper)</w:t>
            </w:r>
          </w:p>
        </w:tc>
        <w:tc>
          <w:tcPr>
            <w:tcW w:w="1872" w:type="dxa"/>
            <w:shd w:val="clear" w:color="auto" w:fill="D9D9D9"/>
          </w:tcPr>
          <w:p w14:paraId="58B3DD9F">
            <w:pPr>
              <w:spacing w:before="40" w:after="40" w:line="240" w:lineRule="auto"/>
              <w:jc w:val="center"/>
            </w:pPr>
            <w:r>
              <w:rPr>
                <w:rFonts w:ascii="Times New Roman" w:hAnsi="Times New Roman" w:cs="Times New Roman"/>
                <w:b/>
                <w:i w:val="0"/>
                <w:sz w:val="18"/>
              </w:rPr>
              <w:t>MAE (ours / paper)</w:t>
            </w:r>
          </w:p>
        </w:tc>
        <w:tc>
          <w:tcPr>
            <w:tcW w:w="1684" w:type="dxa"/>
            <w:shd w:val="clear" w:color="auto" w:fill="D9D9D9"/>
          </w:tcPr>
          <w:p w14:paraId="0811A758">
            <w:pPr>
              <w:spacing w:before="40" w:after="40" w:line="240" w:lineRule="auto"/>
              <w:jc w:val="center"/>
            </w:pPr>
            <w:r>
              <w:rPr>
                <w:rFonts w:ascii="Times New Roman" w:hAnsi="Times New Roman" w:cs="Times New Roman"/>
                <w:b/>
                <w:i w:val="0"/>
                <w:sz w:val="18"/>
              </w:rPr>
              <w:t>MAPE (ours / paper)</w:t>
            </w:r>
          </w:p>
        </w:tc>
        <w:tc>
          <w:tcPr>
            <w:tcW w:w="1684" w:type="dxa"/>
            <w:shd w:val="clear" w:color="auto" w:fill="D9D9D9"/>
          </w:tcPr>
          <w:p w14:paraId="4B1E8561">
            <w:pPr>
              <w:spacing w:before="40" w:after="40" w:line="240" w:lineRule="auto"/>
              <w:jc w:val="center"/>
            </w:pPr>
            <w:r>
              <w:rPr>
                <w:rFonts w:ascii="Times New Roman" w:hAnsi="Times New Roman" w:cs="Times New Roman"/>
                <w:b/>
                <w:i w:val="0"/>
                <w:sz w:val="18"/>
              </w:rPr>
              <w:t>RAE (ours / paper)</w:t>
            </w:r>
          </w:p>
        </w:tc>
        <w:tc>
          <w:tcPr>
            <w:tcW w:w="1170" w:type="dxa"/>
            <w:shd w:val="clear" w:color="auto" w:fill="D9D9D9"/>
          </w:tcPr>
          <w:p w14:paraId="0293DDC6">
            <w:pPr>
              <w:spacing w:before="40" w:after="40" w:line="240" w:lineRule="auto"/>
              <w:jc w:val="center"/>
            </w:pPr>
            <w:r>
              <w:rPr>
                <w:rFonts w:ascii="Times New Roman" w:hAnsi="Times New Roman" w:cs="Times New Roman"/>
                <w:b/>
                <w:i w:val="0"/>
                <w:sz w:val="18"/>
              </w:rPr>
              <w:t>In band?</w:t>
            </w:r>
          </w:p>
        </w:tc>
      </w:tr>
      <w:tr w14:paraId="29D89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Pr>
          <w:p w14:paraId="7ED50DED">
            <w:pPr>
              <w:spacing w:before="40" w:after="40" w:line="240" w:lineRule="auto"/>
              <w:jc w:val="left"/>
            </w:pPr>
            <w:r>
              <w:rPr>
                <w:rFonts w:ascii="Times New Roman" w:hAnsi="Times New Roman" w:cs="Times New Roman"/>
                <w:b w:val="0"/>
                <w:i w:val="0"/>
                <w:sz w:val="18"/>
              </w:rPr>
              <w:t>3-day</w:t>
            </w:r>
          </w:p>
        </w:tc>
        <w:tc>
          <w:tcPr>
            <w:tcW w:w="2012" w:type="dxa"/>
          </w:tcPr>
          <w:p w14:paraId="60FC59EB">
            <w:pPr>
              <w:spacing w:before="40" w:after="40" w:line="240" w:lineRule="auto"/>
              <w:jc w:val="center"/>
            </w:pPr>
            <w:r>
              <w:rPr>
                <w:rFonts w:ascii="Times New Roman" w:hAnsi="Times New Roman" w:cs="Times New Roman"/>
                <w:b w:val="0"/>
                <w:i w:val="0"/>
                <w:sz w:val="18"/>
              </w:rPr>
              <w:t>142.65 / 135.9±17.8</w:t>
            </w:r>
          </w:p>
        </w:tc>
        <w:tc>
          <w:tcPr>
            <w:tcW w:w="1872" w:type="dxa"/>
          </w:tcPr>
          <w:p w14:paraId="7797DA92">
            <w:pPr>
              <w:spacing w:before="40" w:after="40" w:line="240" w:lineRule="auto"/>
              <w:jc w:val="center"/>
            </w:pPr>
            <w:r>
              <w:rPr>
                <w:rFonts w:ascii="Times New Roman" w:hAnsi="Times New Roman" w:cs="Times New Roman"/>
                <w:b w:val="0"/>
                <w:i w:val="0"/>
                <w:sz w:val="18"/>
              </w:rPr>
              <w:t>53.32 / 52.7±4.6</w:t>
            </w:r>
          </w:p>
        </w:tc>
        <w:tc>
          <w:tcPr>
            <w:tcW w:w="1684" w:type="dxa"/>
          </w:tcPr>
          <w:p w14:paraId="26533314">
            <w:pPr>
              <w:spacing w:before="40" w:after="40" w:line="240" w:lineRule="auto"/>
              <w:jc w:val="center"/>
            </w:pPr>
            <w:r>
              <w:rPr>
                <w:rFonts w:ascii="Times New Roman" w:hAnsi="Times New Roman" w:cs="Times New Roman"/>
                <w:b w:val="0"/>
                <w:i w:val="0"/>
                <w:sz w:val="18"/>
              </w:rPr>
              <w:t>35.3% / 34.2±0.7</w:t>
            </w:r>
          </w:p>
        </w:tc>
        <w:tc>
          <w:tcPr>
            <w:tcW w:w="1684" w:type="dxa"/>
          </w:tcPr>
          <w:p w14:paraId="69897ED5">
            <w:pPr>
              <w:spacing w:before="40" w:after="40" w:line="240" w:lineRule="auto"/>
              <w:jc w:val="center"/>
            </w:pPr>
            <w:r>
              <w:rPr>
                <w:rFonts w:ascii="Times New Roman" w:hAnsi="Times New Roman" w:cs="Times New Roman"/>
                <w:b w:val="0"/>
                <w:i w:val="0"/>
                <w:sz w:val="18"/>
              </w:rPr>
              <w:t>0.161 / 0.16±0.01</w:t>
            </w:r>
          </w:p>
        </w:tc>
        <w:tc>
          <w:tcPr>
            <w:tcW w:w="1170" w:type="dxa"/>
          </w:tcPr>
          <w:p w14:paraId="22ED44C9">
            <w:pPr>
              <w:spacing w:before="40" w:after="40" w:line="240" w:lineRule="auto"/>
              <w:jc w:val="center"/>
            </w:pPr>
            <w:r>
              <w:rPr>
                <w:rFonts w:ascii="Times New Roman" w:hAnsi="Times New Roman" w:cs="Times New Roman"/>
                <w:b w:val="0"/>
                <w:i w:val="0"/>
                <w:sz w:val="18"/>
              </w:rPr>
              <w:t>yes / marginal MAPE</w:t>
            </w:r>
          </w:p>
        </w:tc>
      </w:tr>
      <w:tr w14:paraId="3A64E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Pr>
          <w:p w14:paraId="047AB08C">
            <w:pPr>
              <w:spacing w:before="40" w:after="40" w:line="240" w:lineRule="auto"/>
              <w:jc w:val="left"/>
            </w:pPr>
            <w:r>
              <w:rPr>
                <w:rFonts w:ascii="Times New Roman" w:hAnsi="Times New Roman" w:cs="Times New Roman"/>
                <w:b w:val="0"/>
                <w:i w:val="0"/>
                <w:sz w:val="18"/>
              </w:rPr>
              <w:t>7-day</w:t>
            </w:r>
          </w:p>
        </w:tc>
        <w:tc>
          <w:tcPr>
            <w:tcW w:w="2012" w:type="dxa"/>
          </w:tcPr>
          <w:p w14:paraId="6168D36B">
            <w:pPr>
              <w:spacing w:before="40" w:after="40" w:line="240" w:lineRule="auto"/>
              <w:jc w:val="center"/>
            </w:pPr>
            <w:r>
              <w:rPr>
                <w:rFonts w:ascii="Times New Roman" w:hAnsi="Times New Roman" w:cs="Times New Roman"/>
                <w:b w:val="0"/>
                <w:i w:val="0"/>
                <w:sz w:val="18"/>
              </w:rPr>
              <w:t>163.75 / 160.6±4.5</w:t>
            </w:r>
          </w:p>
        </w:tc>
        <w:tc>
          <w:tcPr>
            <w:tcW w:w="1872" w:type="dxa"/>
          </w:tcPr>
          <w:p w14:paraId="6CA67876">
            <w:pPr>
              <w:spacing w:before="40" w:after="40" w:line="240" w:lineRule="auto"/>
              <w:jc w:val="center"/>
            </w:pPr>
            <w:r>
              <w:rPr>
                <w:rFonts w:ascii="Times New Roman" w:hAnsi="Times New Roman" w:cs="Times New Roman"/>
                <w:b w:val="0"/>
                <w:i w:val="0"/>
                <w:sz w:val="18"/>
              </w:rPr>
              <w:t>65.09 / 67.6±1.2</w:t>
            </w:r>
          </w:p>
        </w:tc>
        <w:tc>
          <w:tcPr>
            <w:tcW w:w="1684" w:type="dxa"/>
          </w:tcPr>
          <w:p w14:paraId="5CC5AC6E">
            <w:pPr>
              <w:spacing w:before="40" w:after="40" w:line="240" w:lineRule="auto"/>
              <w:jc w:val="center"/>
            </w:pPr>
            <w:r>
              <w:rPr>
                <w:rFonts w:ascii="Times New Roman" w:hAnsi="Times New Roman" w:cs="Times New Roman"/>
                <w:b w:val="0"/>
                <w:i w:val="0"/>
                <w:sz w:val="18"/>
              </w:rPr>
              <w:t>41.7% / 41.7±0.9</w:t>
            </w:r>
          </w:p>
        </w:tc>
        <w:tc>
          <w:tcPr>
            <w:tcW w:w="1684" w:type="dxa"/>
          </w:tcPr>
          <w:p w14:paraId="7B7B5104">
            <w:pPr>
              <w:spacing w:before="40" w:after="40" w:line="240" w:lineRule="auto"/>
              <w:jc w:val="center"/>
            </w:pPr>
            <w:r>
              <w:rPr>
                <w:rFonts w:ascii="Times New Roman" w:hAnsi="Times New Roman" w:cs="Times New Roman"/>
                <w:b w:val="0"/>
                <w:i w:val="0"/>
                <w:sz w:val="18"/>
              </w:rPr>
              <w:t>0.195 / 0.20±0.00</w:t>
            </w:r>
          </w:p>
        </w:tc>
        <w:tc>
          <w:tcPr>
            <w:tcW w:w="1170" w:type="dxa"/>
          </w:tcPr>
          <w:p w14:paraId="5B2B3D6E">
            <w:pPr>
              <w:spacing w:before="40" w:after="40" w:line="240" w:lineRule="auto"/>
              <w:jc w:val="center"/>
            </w:pPr>
            <w:r>
              <w:rPr>
                <w:rFonts w:ascii="Times New Roman" w:hAnsi="Times New Roman" w:cs="Times New Roman"/>
                <w:b w:val="0"/>
                <w:i w:val="0"/>
                <w:sz w:val="18"/>
              </w:rPr>
              <w:t>yes</w:t>
            </w:r>
          </w:p>
        </w:tc>
      </w:tr>
      <w:tr w14:paraId="41948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Pr>
          <w:p w14:paraId="686BCB70">
            <w:pPr>
              <w:spacing w:before="40" w:after="40" w:line="240" w:lineRule="auto"/>
              <w:jc w:val="left"/>
            </w:pPr>
            <w:r>
              <w:rPr>
                <w:rFonts w:ascii="Times New Roman" w:hAnsi="Times New Roman" w:cs="Times New Roman"/>
                <w:b w:val="0"/>
                <w:i w:val="0"/>
                <w:sz w:val="18"/>
              </w:rPr>
              <w:t>14-day</w:t>
            </w:r>
          </w:p>
        </w:tc>
        <w:tc>
          <w:tcPr>
            <w:tcW w:w="2012" w:type="dxa"/>
          </w:tcPr>
          <w:p w14:paraId="7E130D4C">
            <w:pPr>
              <w:spacing w:before="40" w:after="40" w:line="240" w:lineRule="auto"/>
              <w:jc w:val="center"/>
            </w:pPr>
            <w:r>
              <w:rPr>
                <w:rFonts w:ascii="Times New Roman" w:hAnsi="Times New Roman" w:cs="Times New Roman"/>
                <w:b w:val="0"/>
                <w:i w:val="0"/>
                <w:sz w:val="18"/>
              </w:rPr>
              <w:t>240.15 / 253.2±7.5</w:t>
            </w:r>
          </w:p>
        </w:tc>
        <w:tc>
          <w:tcPr>
            <w:tcW w:w="1872" w:type="dxa"/>
          </w:tcPr>
          <w:p w14:paraId="49E2FA24">
            <w:pPr>
              <w:spacing w:before="40" w:after="40" w:line="240" w:lineRule="auto"/>
              <w:jc w:val="center"/>
            </w:pPr>
            <w:r>
              <w:rPr>
                <w:rFonts w:ascii="Times New Roman" w:hAnsi="Times New Roman" w:cs="Times New Roman"/>
                <w:b w:val="0"/>
                <w:i w:val="0"/>
                <w:sz w:val="18"/>
              </w:rPr>
              <w:t>98.26 / 107.0±3.0</w:t>
            </w:r>
          </w:p>
        </w:tc>
        <w:tc>
          <w:tcPr>
            <w:tcW w:w="1684" w:type="dxa"/>
          </w:tcPr>
          <w:p w14:paraId="6231AF82">
            <w:pPr>
              <w:spacing w:before="40" w:after="40" w:line="240" w:lineRule="auto"/>
              <w:jc w:val="center"/>
            </w:pPr>
            <w:r>
              <w:rPr>
                <w:rFonts w:ascii="Times New Roman" w:hAnsi="Times New Roman" w:cs="Times New Roman"/>
                <w:b w:val="0"/>
                <w:i w:val="0"/>
                <w:sz w:val="18"/>
              </w:rPr>
              <w:t>61.2% / 62.0±2.0</w:t>
            </w:r>
          </w:p>
        </w:tc>
        <w:tc>
          <w:tcPr>
            <w:tcW w:w="1684" w:type="dxa"/>
          </w:tcPr>
          <w:p w14:paraId="0A88FD21">
            <w:pPr>
              <w:spacing w:before="40" w:after="40" w:line="240" w:lineRule="auto"/>
              <w:jc w:val="center"/>
            </w:pPr>
            <w:r>
              <w:rPr>
                <w:rFonts w:ascii="Times New Roman" w:hAnsi="Times New Roman" w:cs="Times New Roman"/>
                <w:b w:val="0"/>
                <w:i w:val="0"/>
                <w:sz w:val="18"/>
              </w:rPr>
              <w:t>0.295 / 0.32±0.01</w:t>
            </w:r>
          </w:p>
        </w:tc>
        <w:tc>
          <w:tcPr>
            <w:tcW w:w="1170" w:type="dxa"/>
          </w:tcPr>
          <w:p w14:paraId="328EBDC3">
            <w:pPr>
              <w:spacing w:before="40" w:after="40" w:line="240" w:lineRule="auto"/>
              <w:jc w:val="center"/>
            </w:pPr>
            <w:r>
              <w:rPr>
                <w:rFonts w:ascii="Times New Roman" w:hAnsi="Times New Roman" w:cs="Times New Roman"/>
                <w:b w:val="0"/>
                <w:i w:val="0"/>
                <w:sz w:val="18"/>
              </w:rPr>
              <w:t>better</w:t>
            </w:r>
          </w:p>
        </w:tc>
      </w:tr>
      <w:tr w14:paraId="3DAD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Pr>
          <w:p w14:paraId="76009707">
            <w:pPr>
              <w:spacing w:before="40" w:after="40" w:line="240" w:lineRule="auto"/>
              <w:jc w:val="left"/>
            </w:pPr>
            <w:r>
              <w:rPr>
                <w:rFonts w:ascii="Times New Roman" w:hAnsi="Times New Roman" w:cs="Times New Roman"/>
                <w:b w:val="0"/>
                <w:i w:val="0"/>
                <w:sz w:val="18"/>
              </w:rPr>
              <w:t>Overall</w:t>
            </w:r>
          </w:p>
        </w:tc>
        <w:tc>
          <w:tcPr>
            <w:tcW w:w="2012" w:type="dxa"/>
          </w:tcPr>
          <w:p w14:paraId="31357947">
            <w:pPr>
              <w:spacing w:before="40" w:after="40" w:line="240" w:lineRule="auto"/>
              <w:jc w:val="center"/>
            </w:pPr>
            <w:r>
              <w:rPr>
                <w:rFonts w:ascii="Times New Roman" w:hAnsi="Times New Roman" w:cs="Times New Roman"/>
                <w:b w:val="0"/>
                <w:i w:val="0"/>
                <w:sz w:val="18"/>
              </w:rPr>
              <w:t>181.41 / 186.1±5.0</w:t>
            </w:r>
          </w:p>
        </w:tc>
        <w:tc>
          <w:tcPr>
            <w:tcW w:w="1872" w:type="dxa"/>
          </w:tcPr>
          <w:p w14:paraId="0B1686A5">
            <w:pPr>
              <w:spacing w:before="40" w:after="40" w:line="240" w:lineRule="auto"/>
              <w:jc w:val="center"/>
            </w:pPr>
            <w:r>
              <w:rPr>
                <w:rFonts w:ascii="Times New Roman" w:hAnsi="Times New Roman" w:cs="Times New Roman"/>
                <w:b w:val="0"/>
                <w:i w:val="0"/>
                <w:sz w:val="18"/>
              </w:rPr>
              <w:t>70.91 / 74.3±2.0</w:t>
            </w:r>
          </w:p>
        </w:tc>
        <w:tc>
          <w:tcPr>
            <w:tcW w:w="1684" w:type="dxa"/>
          </w:tcPr>
          <w:p w14:paraId="392C7CE5">
            <w:pPr>
              <w:spacing w:before="40" w:after="40" w:line="240" w:lineRule="auto"/>
              <w:jc w:val="center"/>
            </w:pPr>
            <w:r>
              <w:rPr>
                <w:rFonts w:ascii="Times New Roman" w:hAnsi="Times New Roman" w:cs="Times New Roman"/>
                <w:b w:val="0"/>
                <w:i w:val="0"/>
                <w:sz w:val="18"/>
              </w:rPr>
              <w:t>44.3% / 44.4±0.8</w:t>
            </w:r>
          </w:p>
        </w:tc>
        <w:tc>
          <w:tcPr>
            <w:tcW w:w="1684" w:type="dxa"/>
          </w:tcPr>
          <w:p w14:paraId="14DC515F">
            <w:pPr>
              <w:spacing w:before="40" w:after="40" w:line="240" w:lineRule="auto"/>
              <w:jc w:val="center"/>
            </w:pPr>
            <w:r>
              <w:rPr>
                <w:rFonts w:ascii="Times New Roman" w:hAnsi="Times New Roman" w:cs="Times New Roman"/>
                <w:b w:val="0"/>
                <w:i w:val="0"/>
                <w:sz w:val="18"/>
              </w:rPr>
              <w:t>0.213 / 0.22±0.01</w:t>
            </w:r>
          </w:p>
        </w:tc>
        <w:tc>
          <w:tcPr>
            <w:tcW w:w="1170" w:type="dxa"/>
          </w:tcPr>
          <w:p w14:paraId="4E754BE5">
            <w:pPr>
              <w:spacing w:before="40" w:after="40" w:line="240" w:lineRule="auto"/>
              <w:jc w:val="center"/>
            </w:pPr>
            <w:r>
              <w:rPr>
                <w:rFonts w:ascii="Times New Roman" w:hAnsi="Times New Roman" w:cs="Times New Roman"/>
                <w:b w:val="0"/>
                <w:i w:val="0"/>
                <w:sz w:val="18"/>
              </w:rPr>
              <w:t>yes</w:t>
            </w:r>
          </w:p>
        </w:tc>
      </w:tr>
    </w:tbl>
    <w:p w14:paraId="4A40658A">
      <w:pPr>
        <w:spacing w:after="120" w:line="276" w:lineRule="auto"/>
        <w:jc w:val="both"/>
      </w:pPr>
      <w:r>
        <w:rPr>
          <w:rFonts w:ascii="Times New Roman" w:hAnsi="Times New Roman" w:cs="Times New Roman"/>
          <w:b w:val="0"/>
          <w:i w:val="0"/>
          <w:sz w:val="22"/>
        </w:rPr>
        <w:t>The remaining models are not yet comparable, and reporting why is part of an honest benchmark. Cola-GNN and HeatGNN were each run at a one-week horizon, whereas their papers report Japan results only at horizons of two weeks and beyond; both runs are healthy and on-trend — Cola-GNN reaches a root-mean-square error of 705.9 and a correlation of 0.963, and HeatGNN sits just under its nearest published cell once the paper's thousands-of-cases unit is matched — but neither can be placed against a published number until it is re-run at a shared horizon. STOEP is under review for a different reason: its shipped Japan run is scale-consistent with MepoGNN at an overall root-mean-square error of 182.9, yet the supplied paper table reports 63.5 on a different error metric, indicating that the printed table corresponds to a different dataset or metric block and cannot be aligned yet; importantly, STOEP against MepoGNN on our own identically-run pipeline remains a valid head-to-head, which MepoGNN wins on every metric. MSGNN could not be run at all on the target environment because it is pinned to a CUDA 10.1 toolchain with hand-compiled extensions that have no Windows build, and is deferred to a Linux environment. Table 4 summarises the scorecard.</w:t>
      </w:r>
    </w:p>
    <w:p w14:paraId="4E92BE18">
      <w:pPr>
        <w:keepNext/>
        <w:spacing w:before="160" w:after="60"/>
        <w:jc w:val="left"/>
      </w:pPr>
      <w:r>
        <w:rPr>
          <w:rFonts w:ascii="Times New Roman" w:hAnsi="Times New Roman" w:cs="Times New Roman"/>
          <w:b/>
          <w:i w:val="0"/>
          <w:sz w:val="20"/>
        </w:rPr>
        <w:t>Table 4.</w:t>
      </w:r>
      <w:r>
        <w:rPr>
          <w:rFonts w:ascii="Times New Roman" w:hAnsi="Times New Roman" w:cs="Times New Roman"/>
          <w:b w:val="0"/>
          <w:i w:val="0"/>
          <w:sz w:val="20"/>
        </w:rPr>
        <w:t xml:space="preserve">  Reproduction scorecard across the eight-model baseline suite. “Pass” = reproduced within tolerance; “rerun” = healthy but at a non-published horizon; “review” = dataset/metric provenance unresolved; “deferred” = environment-blocked.</w:t>
      </w:r>
    </w:p>
    <w:tbl>
      <w:tblPr>
        <w:tblStyle w:val="35"/>
        <w:tblW w:w="9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568ED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97" w:type="dxa"/>
            <w:shd w:val="clear" w:color="auto" w:fill="D9D9D9"/>
          </w:tcPr>
          <w:p w14:paraId="1BFCD39B">
            <w:pPr>
              <w:spacing w:before="40" w:after="40" w:line="240" w:lineRule="auto"/>
              <w:jc w:val="center"/>
            </w:pPr>
            <w:r>
              <w:rPr>
                <w:rFonts w:ascii="Times New Roman" w:hAnsi="Times New Roman" w:cs="Times New Roman"/>
                <w:b/>
                <w:i w:val="0"/>
                <w:sz w:val="18"/>
              </w:rPr>
              <w:t>Model</w:t>
            </w:r>
          </w:p>
        </w:tc>
        <w:tc>
          <w:tcPr>
            <w:tcW w:w="2340" w:type="dxa"/>
            <w:shd w:val="clear" w:color="auto" w:fill="D9D9D9"/>
          </w:tcPr>
          <w:p w14:paraId="546399C6">
            <w:pPr>
              <w:spacing w:before="40" w:after="40" w:line="240" w:lineRule="auto"/>
              <w:jc w:val="center"/>
            </w:pPr>
            <w:r>
              <w:rPr>
                <w:rFonts w:ascii="Times New Roman" w:hAnsi="Times New Roman" w:cs="Times New Roman"/>
                <w:b/>
                <w:i w:val="0"/>
                <w:sz w:val="18"/>
              </w:rPr>
              <w:t>Dataset / horizon</w:t>
            </w:r>
          </w:p>
        </w:tc>
        <w:tc>
          <w:tcPr>
            <w:tcW w:w="1310" w:type="dxa"/>
            <w:shd w:val="clear" w:color="auto" w:fill="D9D9D9"/>
          </w:tcPr>
          <w:p w14:paraId="70B97B7F">
            <w:pPr>
              <w:spacing w:before="40" w:after="40" w:line="240" w:lineRule="auto"/>
              <w:jc w:val="center"/>
            </w:pPr>
            <w:r>
              <w:rPr>
                <w:rFonts w:ascii="Times New Roman" w:hAnsi="Times New Roman" w:cs="Times New Roman"/>
                <w:b/>
                <w:i w:val="0"/>
                <w:sz w:val="18"/>
              </w:rPr>
              <w:t>Outcome</w:t>
            </w:r>
          </w:p>
        </w:tc>
        <w:tc>
          <w:tcPr>
            <w:tcW w:w="4212" w:type="dxa"/>
            <w:shd w:val="clear" w:color="auto" w:fill="D9D9D9"/>
          </w:tcPr>
          <w:p w14:paraId="7B0511D6">
            <w:pPr>
              <w:spacing w:before="40" w:after="40" w:line="240" w:lineRule="auto"/>
              <w:jc w:val="center"/>
            </w:pPr>
            <w:r>
              <w:rPr>
                <w:rFonts w:ascii="Times New Roman" w:hAnsi="Times New Roman" w:cs="Times New Roman"/>
                <w:b/>
                <w:i w:val="0"/>
                <w:sz w:val="18"/>
              </w:rPr>
              <w:t>Note</w:t>
            </w:r>
          </w:p>
        </w:tc>
      </w:tr>
      <w:tr w14:paraId="1AE3E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7" w:type="dxa"/>
          </w:tcPr>
          <w:p w14:paraId="2F824ED9">
            <w:pPr>
              <w:spacing w:before="40" w:after="40" w:line="240" w:lineRule="auto"/>
              <w:jc w:val="left"/>
            </w:pPr>
            <w:r>
              <w:rPr>
                <w:rFonts w:ascii="Times New Roman" w:hAnsi="Times New Roman" w:cs="Times New Roman"/>
                <w:b w:val="0"/>
                <w:i w:val="0"/>
                <w:sz w:val="18"/>
              </w:rPr>
              <w:t>EpiGNN</w:t>
            </w:r>
          </w:p>
        </w:tc>
        <w:tc>
          <w:tcPr>
            <w:tcW w:w="2340" w:type="dxa"/>
          </w:tcPr>
          <w:p w14:paraId="7FBBA336">
            <w:pPr>
              <w:spacing w:before="40" w:after="40" w:line="240" w:lineRule="auto"/>
              <w:jc w:val="left"/>
            </w:pPr>
            <w:r>
              <w:rPr>
                <w:rFonts w:ascii="Times New Roman" w:hAnsi="Times New Roman" w:cs="Times New Roman"/>
                <w:b w:val="0"/>
                <w:i w:val="0"/>
                <w:sz w:val="18"/>
              </w:rPr>
              <w:t>US-Regions, h = 5</w:t>
            </w:r>
          </w:p>
        </w:tc>
        <w:tc>
          <w:tcPr>
            <w:tcW w:w="1310" w:type="dxa"/>
          </w:tcPr>
          <w:p w14:paraId="13F3CA7D">
            <w:pPr>
              <w:spacing w:before="40" w:after="40" w:line="240" w:lineRule="auto"/>
              <w:jc w:val="center"/>
            </w:pPr>
            <w:r>
              <w:rPr>
                <w:rFonts w:ascii="Times New Roman" w:hAnsi="Times New Roman" w:cs="Times New Roman"/>
                <w:b w:val="0"/>
                <w:i w:val="0"/>
                <w:sz w:val="18"/>
              </w:rPr>
              <w:t>Pass</w:t>
            </w:r>
          </w:p>
        </w:tc>
        <w:tc>
          <w:tcPr>
            <w:tcW w:w="4212" w:type="dxa"/>
          </w:tcPr>
          <w:p w14:paraId="0CDF8CC8">
            <w:pPr>
              <w:spacing w:before="40" w:after="40" w:line="240" w:lineRule="auto"/>
              <w:jc w:val="left"/>
            </w:pPr>
            <w:r>
              <w:rPr>
                <w:rFonts w:ascii="Times New Roman" w:hAnsi="Times New Roman" w:cs="Times New Roman"/>
                <w:b w:val="0"/>
                <w:i w:val="0"/>
                <w:sz w:val="18"/>
              </w:rPr>
              <w:t>within ~1%, marginally better</w:t>
            </w:r>
          </w:p>
        </w:tc>
      </w:tr>
      <w:tr w14:paraId="4F23F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7" w:type="dxa"/>
          </w:tcPr>
          <w:p w14:paraId="552A1966">
            <w:pPr>
              <w:spacing w:before="40" w:after="40" w:line="240" w:lineRule="auto"/>
              <w:jc w:val="left"/>
            </w:pPr>
            <w:r>
              <w:rPr>
                <w:rFonts w:ascii="Times New Roman" w:hAnsi="Times New Roman" w:cs="Times New Roman"/>
                <w:b w:val="0"/>
                <w:i w:val="0"/>
                <w:sz w:val="18"/>
              </w:rPr>
              <w:t>MepoGNN (Dyn.)</w:t>
            </w:r>
          </w:p>
        </w:tc>
        <w:tc>
          <w:tcPr>
            <w:tcW w:w="2340" w:type="dxa"/>
          </w:tcPr>
          <w:p w14:paraId="1C454235">
            <w:pPr>
              <w:spacing w:before="40" w:after="40" w:line="240" w:lineRule="auto"/>
              <w:jc w:val="left"/>
            </w:pPr>
            <w:r>
              <w:rPr>
                <w:rFonts w:ascii="Times New Roman" w:hAnsi="Times New Roman" w:cs="Times New Roman"/>
                <w:b w:val="0"/>
                <w:i w:val="0"/>
                <w:sz w:val="18"/>
              </w:rPr>
              <w:t>Japan-COVID, 3/7/14-day</w:t>
            </w:r>
          </w:p>
        </w:tc>
        <w:tc>
          <w:tcPr>
            <w:tcW w:w="1310" w:type="dxa"/>
          </w:tcPr>
          <w:p w14:paraId="45370B76">
            <w:pPr>
              <w:spacing w:before="40" w:after="40" w:line="240" w:lineRule="auto"/>
              <w:jc w:val="center"/>
            </w:pPr>
            <w:r>
              <w:rPr>
                <w:rFonts w:ascii="Times New Roman" w:hAnsi="Times New Roman" w:cs="Times New Roman"/>
                <w:b w:val="0"/>
                <w:i w:val="0"/>
                <w:sz w:val="18"/>
              </w:rPr>
              <w:t>Pass</w:t>
            </w:r>
          </w:p>
        </w:tc>
        <w:tc>
          <w:tcPr>
            <w:tcW w:w="4212" w:type="dxa"/>
          </w:tcPr>
          <w:p w14:paraId="4133A8B6">
            <w:pPr>
              <w:spacing w:before="40" w:after="40" w:line="240" w:lineRule="auto"/>
              <w:jc w:val="left"/>
            </w:pPr>
            <w:r>
              <w:rPr>
                <w:rFonts w:ascii="Times New Roman" w:hAnsi="Times New Roman" w:cs="Times New Roman"/>
                <w:b w:val="0"/>
                <w:i w:val="0"/>
                <w:sz w:val="18"/>
              </w:rPr>
              <w:t>within / better than std bands</w:t>
            </w:r>
          </w:p>
        </w:tc>
      </w:tr>
      <w:tr w14:paraId="654F0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7" w:type="dxa"/>
          </w:tcPr>
          <w:p w14:paraId="1613116F">
            <w:pPr>
              <w:spacing w:before="40" w:after="40" w:line="240" w:lineRule="auto"/>
              <w:jc w:val="left"/>
            </w:pPr>
            <w:r>
              <w:rPr>
                <w:rFonts w:ascii="Times New Roman" w:hAnsi="Times New Roman" w:cs="Times New Roman"/>
                <w:b w:val="0"/>
                <w:i w:val="0"/>
                <w:sz w:val="18"/>
              </w:rPr>
              <w:t>MTGNN</w:t>
            </w:r>
          </w:p>
        </w:tc>
        <w:tc>
          <w:tcPr>
            <w:tcW w:w="2340" w:type="dxa"/>
          </w:tcPr>
          <w:p w14:paraId="4E714331">
            <w:pPr>
              <w:spacing w:before="40" w:after="40" w:line="240" w:lineRule="auto"/>
              <w:jc w:val="left"/>
            </w:pPr>
            <w:r>
              <w:rPr>
                <w:rFonts w:ascii="Times New Roman" w:hAnsi="Times New Roman" w:cs="Times New Roman"/>
                <w:b w:val="0"/>
                <w:i w:val="0"/>
                <w:sz w:val="18"/>
              </w:rPr>
              <w:t>METR-LA, h = 3/6/12</w:t>
            </w:r>
          </w:p>
        </w:tc>
        <w:tc>
          <w:tcPr>
            <w:tcW w:w="1310" w:type="dxa"/>
          </w:tcPr>
          <w:p w14:paraId="0587826C">
            <w:pPr>
              <w:spacing w:before="40" w:after="40" w:line="240" w:lineRule="auto"/>
              <w:jc w:val="center"/>
            </w:pPr>
            <w:r>
              <w:rPr>
                <w:rFonts w:ascii="Times New Roman" w:hAnsi="Times New Roman" w:cs="Times New Roman"/>
                <w:b w:val="0"/>
                <w:i w:val="0"/>
                <w:sz w:val="18"/>
              </w:rPr>
              <w:t>Pass</w:t>
            </w:r>
          </w:p>
        </w:tc>
        <w:tc>
          <w:tcPr>
            <w:tcW w:w="4212" w:type="dxa"/>
          </w:tcPr>
          <w:p w14:paraId="0BBC9ECD">
            <w:pPr>
              <w:spacing w:before="40" w:after="40" w:line="240" w:lineRule="auto"/>
              <w:jc w:val="left"/>
            </w:pPr>
            <w:r>
              <w:rPr>
                <w:rFonts w:ascii="Times New Roman" w:hAnsi="Times New Roman" w:cs="Times New Roman"/>
                <w:b w:val="0"/>
                <w:i w:val="0"/>
                <w:sz w:val="18"/>
              </w:rPr>
              <w:t>healthy control; claim table out of scope</w:t>
            </w:r>
          </w:p>
        </w:tc>
      </w:tr>
      <w:tr w14:paraId="62D45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7" w:type="dxa"/>
          </w:tcPr>
          <w:p w14:paraId="6569BA6B">
            <w:pPr>
              <w:spacing w:before="40" w:after="40" w:line="240" w:lineRule="auto"/>
              <w:jc w:val="left"/>
            </w:pPr>
            <w:r>
              <w:rPr>
                <w:rFonts w:ascii="Times New Roman" w:hAnsi="Times New Roman" w:cs="Times New Roman"/>
                <w:b w:val="0"/>
                <w:i w:val="0"/>
                <w:sz w:val="18"/>
              </w:rPr>
              <w:t>LTGCN-GTGCN</w:t>
            </w:r>
          </w:p>
        </w:tc>
        <w:tc>
          <w:tcPr>
            <w:tcW w:w="2340" w:type="dxa"/>
          </w:tcPr>
          <w:p w14:paraId="55C4F3AE">
            <w:pPr>
              <w:spacing w:before="40" w:after="40" w:line="240" w:lineRule="auto"/>
              <w:jc w:val="left"/>
            </w:pPr>
            <w:r>
              <w:rPr>
                <w:rFonts w:ascii="Times New Roman" w:hAnsi="Times New Roman" w:cs="Times New Roman"/>
                <w:b w:val="0"/>
                <w:i w:val="0"/>
                <w:sz w:val="18"/>
              </w:rPr>
              <w:t>Brazil / Spain (first-party)</w:t>
            </w:r>
          </w:p>
        </w:tc>
        <w:tc>
          <w:tcPr>
            <w:tcW w:w="1310" w:type="dxa"/>
          </w:tcPr>
          <w:p w14:paraId="0868775F">
            <w:pPr>
              <w:spacing w:before="40" w:after="40" w:line="240" w:lineRule="auto"/>
              <w:jc w:val="center"/>
            </w:pPr>
            <w:r>
              <w:rPr>
                <w:rFonts w:ascii="Times New Roman" w:hAnsi="Times New Roman" w:cs="Times New Roman"/>
                <w:b w:val="0"/>
                <w:i w:val="0"/>
                <w:sz w:val="18"/>
              </w:rPr>
              <w:t>First-party</w:t>
            </w:r>
          </w:p>
        </w:tc>
        <w:tc>
          <w:tcPr>
            <w:tcW w:w="4212" w:type="dxa"/>
          </w:tcPr>
          <w:p w14:paraId="6DBAA49F">
            <w:pPr>
              <w:spacing w:before="40" w:after="40" w:line="240" w:lineRule="auto"/>
              <w:jc w:val="left"/>
            </w:pPr>
            <w:r>
              <w:rPr>
                <w:rFonts w:ascii="Times New Roman" w:hAnsi="Times New Roman" w:cs="Times New Roman"/>
                <w:b w:val="0"/>
                <w:i w:val="0"/>
                <w:sz w:val="18"/>
              </w:rPr>
              <w:t>in-house experiment; no external claim</w:t>
            </w:r>
          </w:p>
        </w:tc>
      </w:tr>
      <w:tr w14:paraId="20D67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7" w:type="dxa"/>
          </w:tcPr>
          <w:p w14:paraId="64264585">
            <w:pPr>
              <w:spacing w:before="40" w:after="40" w:line="240" w:lineRule="auto"/>
              <w:jc w:val="left"/>
            </w:pPr>
            <w:r>
              <w:rPr>
                <w:rFonts w:ascii="Times New Roman" w:hAnsi="Times New Roman" w:cs="Times New Roman"/>
                <w:b w:val="0"/>
                <w:i w:val="0"/>
                <w:sz w:val="18"/>
              </w:rPr>
              <w:t>Cola-GNN</w:t>
            </w:r>
          </w:p>
        </w:tc>
        <w:tc>
          <w:tcPr>
            <w:tcW w:w="2340" w:type="dxa"/>
          </w:tcPr>
          <w:p w14:paraId="5C3A1061">
            <w:pPr>
              <w:spacing w:before="40" w:after="40" w:line="240" w:lineRule="auto"/>
              <w:jc w:val="left"/>
            </w:pPr>
            <w:r>
              <w:rPr>
                <w:rFonts w:ascii="Times New Roman" w:hAnsi="Times New Roman" w:cs="Times New Roman"/>
                <w:b w:val="0"/>
                <w:i w:val="0"/>
                <w:sz w:val="18"/>
              </w:rPr>
              <w:t>Japan, ran h = 1</w:t>
            </w:r>
          </w:p>
        </w:tc>
        <w:tc>
          <w:tcPr>
            <w:tcW w:w="1310" w:type="dxa"/>
          </w:tcPr>
          <w:p w14:paraId="4D1A7E35">
            <w:pPr>
              <w:spacing w:before="40" w:after="40" w:line="240" w:lineRule="auto"/>
              <w:jc w:val="center"/>
            </w:pPr>
            <w:r>
              <w:rPr>
                <w:rFonts w:ascii="Times New Roman" w:hAnsi="Times New Roman" w:cs="Times New Roman"/>
                <w:b w:val="0"/>
                <w:i w:val="0"/>
                <w:sz w:val="18"/>
              </w:rPr>
              <w:t>Rerun</w:t>
            </w:r>
          </w:p>
        </w:tc>
        <w:tc>
          <w:tcPr>
            <w:tcW w:w="4212" w:type="dxa"/>
          </w:tcPr>
          <w:p w14:paraId="7D45EC5E">
            <w:pPr>
              <w:spacing w:before="40" w:after="40" w:line="240" w:lineRule="auto"/>
              <w:jc w:val="left"/>
            </w:pPr>
            <w:r>
              <w:rPr>
                <w:rFonts w:ascii="Times New Roman" w:hAnsi="Times New Roman" w:cs="Times New Roman"/>
                <w:b w:val="0"/>
                <w:i w:val="0"/>
                <w:sz w:val="18"/>
              </w:rPr>
              <w:t>paper horizons {2,3,5,10,15}</w:t>
            </w:r>
          </w:p>
        </w:tc>
      </w:tr>
      <w:tr w14:paraId="7148E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7" w:type="dxa"/>
          </w:tcPr>
          <w:p w14:paraId="6385720F">
            <w:pPr>
              <w:spacing w:before="40" w:after="40" w:line="240" w:lineRule="auto"/>
              <w:jc w:val="left"/>
            </w:pPr>
            <w:r>
              <w:rPr>
                <w:rFonts w:ascii="Times New Roman" w:hAnsi="Times New Roman" w:cs="Times New Roman"/>
                <w:b w:val="0"/>
                <w:i w:val="0"/>
                <w:sz w:val="18"/>
              </w:rPr>
              <w:t>HeatGNN</w:t>
            </w:r>
          </w:p>
        </w:tc>
        <w:tc>
          <w:tcPr>
            <w:tcW w:w="2340" w:type="dxa"/>
          </w:tcPr>
          <w:p w14:paraId="132E2A03">
            <w:pPr>
              <w:spacing w:before="40" w:after="40" w:line="240" w:lineRule="auto"/>
              <w:jc w:val="left"/>
            </w:pPr>
            <w:r>
              <w:rPr>
                <w:rFonts w:ascii="Times New Roman" w:hAnsi="Times New Roman" w:cs="Times New Roman"/>
                <w:b w:val="0"/>
                <w:i w:val="0"/>
                <w:sz w:val="18"/>
              </w:rPr>
              <w:t>Japan, ran h = 1</w:t>
            </w:r>
          </w:p>
        </w:tc>
        <w:tc>
          <w:tcPr>
            <w:tcW w:w="1310" w:type="dxa"/>
          </w:tcPr>
          <w:p w14:paraId="010DE73C">
            <w:pPr>
              <w:spacing w:before="40" w:after="40" w:line="240" w:lineRule="auto"/>
              <w:jc w:val="center"/>
            </w:pPr>
            <w:r>
              <w:rPr>
                <w:rFonts w:ascii="Times New Roman" w:hAnsi="Times New Roman" w:cs="Times New Roman"/>
                <w:b w:val="0"/>
                <w:i w:val="0"/>
                <w:sz w:val="18"/>
              </w:rPr>
              <w:t>Rerun</w:t>
            </w:r>
          </w:p>
        </w:tc>
        <w:tc>
          <w:tcPr>
            <w:tcW w:w="4212" w:type="dxa"/>
          </w:tcPr>
          <w:p w14:paraId="5B931FFE">
            <w:pPr>
              <w:spacing w:before="40" w:after="40" w:line="240" w:lineRule="auto"/>
              <w:jc w:val="left"/>
            </w:pPr>
            <w:r>
              <w:rPr>
                <w:rFonts w:ascii="Times New Roman" w:hAnsi="Times New Roman" w:cs="Times New Roman"/>
                <w:b w:val="0"/>
                <w:i w:val="0"/>
                <w:sz w:val="18"/>
              </w:rPr>
              <w:t>paper horizons {2,5,7,12}, ×10³ units</w:t>
            </w:r>
          </w:p>
        </w:tc>
      </w:tr>
      <w:tr w14:paraId="1A2EC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7" w:type="dxa"/>
          </w:tcPr>
          <w:p w14:paraId="5191505C">
            <w:pPr>
              <w:spacing w:before="40" w:after="40" w:line="240" w:lineRule="auto"/>
              <w:jc w:val="left"/>
            </w:pPr>
            <w:r>
              <w:rPr>
                <w:rFonts w:ascii="Times New Roman" w:hAnsi="Times New Roman" w:cs="Times New Roman"/>
                <w:b w:val="0"/>
                <w:i w:val="0"/>
                <w:sz w:val="18"/>
              </w:rPr>
              <w:t>STOEP</w:t>
            </w:r>
          </w:p>
        </w:tc>
        <w:tc>
          <w:tcPr>
            <w:tcW w:w="2340" w:type="dxa"/>
          </w:tcPr>
          <w:p w14:paraId="3A968CD3">
            <w:pPr>
              <w:spacing w:before="40" w:after="40" w:line="240" w:lineRule="auto"/>
              <w:jc w:val="left"/>
            </w:pPr>
            <w:r>
              <w:rPr>
                <w:rFonts w:ascii="Times New Roman" w:hAnsi="Times New Roman" w:cs="Times New Roman"/>
                <w:b w:val="0"/>
                <w:i w:val="0"/>
                <w:sz w:val="18"/>
              </w:rPr>
              <w:t>Japan-COVID</w:t>
            </w:r>
          </w:p>
        </w:tc>
        <w:tc>
          <w:tcPr>
            <w:tcW w:w="1310" w:type="dxa"/>
          </w:tcPr>
          <w:p w14:paraId="54130676">
            <w:pPr>
              <w:spacing w:before="40" w:after="40" w:line="240" w:lineRule="auto"/>
              <w:jc w:val="center"/>
            </w:pPr>
            <w:r>
              <w:rPr>
                <w:rFonts w:ascii="Times New Roman" w:hAnsi="Times New Roman" w:cs="Times New Roman"/>
                <w:b w:val="0"/>
                <w:i w:val="0"/>
                <w:sz w:val="18"/>
              </w:rPr>
              <w:t>Review</w:t>
            </w:r>
          </w:p>
        </w:tc>
        <w:tc>
          <w:tcPr>
            <w:tcW w:w="4212" w:type="dxa"/>
          </w:tcPr>
          <w:p w14:paraId="7EFB80E9">
            <w:pPr>
              <w:spacing w:before="40" w:after="40" w:line="240" w:lineRule="auto"/>
              <w:jc w:val="left"/>
            </w:pPr>
            <w:r>
              <w:rPr>
                <w:rFonts w:ascii="Times New Roman" w:hAnsi="Times New Roman" w:cs="Times New Roman"/>
                <w:b w:val="0"/>
                <w:i w:val="0"/>
                <w:sz w:val="18"/>
              </w:rPr>
              <w:t>paper table ≠ shipped dataset / metric</w:t>
            </w:r>
          </w:p>
        </w:tc>
      </w:tr>
      <w:tr w14:paraId="2238B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7" w:type="dxa"/>
          </w:tcPr>
          <w:p w14:paraId="51031E12">
            <w:pPr>
              <w:spacing w:before="40" w:after="40" w:line="240" w:lineRule="auto"/>
              <w:jc w:val="left"/>
            </w:pPr>
            <w:r>
              <w:rPr>
                <w:rFonts w:ascii="Times New Roman" w:hAnsi="Times New Roman" w:cs="Times New Roman"/>
                <w:b w:val="0"/>
                <w:i w:val="0"/>
                <w:sz w:val="18"/>
              </w:rPr>
              <w:t>MSGNN</w:t>
            </w:r>
          </w:p>
        </w:tc>
        <w:tc>
          <w:tcPr>
            <w:tcW w:w="2340" w:type="dxa"/>
          </w:tcPr>
          <w:p w14:paraId="3750CD7F">
            <w:pPr>
              <w:spacing w:before="40" w:after="40" w:line="240" w:lineRule="auto"/>
              <w:jc w:val="left"/>
            </w:pPr>
            <w:r>
              <w:rPr>
                <w:rFonts w:ascii="Times New Roman" w:hAnsi="Times New Roman" w:cs="Times New Roman"/>
                <w:b w:val="0"/>
                <w:i w:val="0"/>
                <w:sz w:val="18"/>
              </w:rPr>
              <w:t>Google/CSSE (live)</w:t>
            </w:r>
          </w:p>
        </w:tc>
        <w:tc>
          <w:tcPr>
            <w:tcW w:w="1310" w:type="dxa"/>
          </w:tcPr>
          <w:p w14:paraId="02AB7473">
            <w:pPr>
              <w:spacing w:before="40" w:after="40" w:line="240" w:lineRule="auto"/>
              <w:jc w:val="center"/>
            </w:pPr>
            <w:r>
              <w:rPr>
                <w:rFonts w:ascii="Times New Roman" w:hAnsi="Times New Roman" w:cs="Times New Roman"/>
                <w:b w:val="0"/>
                <w:i w:val="0"/>
                <w:sz w:val="18"/>
              </w:rPr>
              <w:t>Deferred</w:t>
            </w:r>
          </w:p>
        </w:tc>
        <w:tc>
          <w:tcPr>
            <w:tcW w:w="4212" w:type="dxa"/>
          </w:tcPr>
          <w:p w14:paraId="0F938B4C">
            <w:pPr>
              <w:spacing w:before="40" w:after="40" w:line="240" w:lineRule="auto"/>
              <w:jc w:val="left"/>
            </w:pPr>
            <w:r>
              <w:rPr>
                <w:rFonts w:ascii="Times New Roman" w:hAnsi="Times New Roman" w:cs="Times New Roman"/>
                <w:b w:val="0"/>
                <w:i w:val="0"/>
                <w:sz w:val="18"/>
              </w:rPr>
              <w:t>CUDA 10.1 / Linux only</w:t>
            </w:r>
          </w:p>
        </w:tc>
      </w:tr>
    </w:tbl>
    <w:p w14:paraId="419EE0A5">
      <w:pPr>
        <w:keepNext/>
        <w:spacing w:before="160" w:after="80"/>
      </w:pPr>
      <w:r>
        <w:rPr>
          <w:rFonts w:ascii="Times New Roman" w:hAnsi="Times New Roman" w:cs="Times New Roman"/>
          <w:b/>
          <w:i w:val="0"/>
          <w:sz w:val="24"/>
        </w:rPr>
        <w:t>3.2  Stage two: the pre-specified identical-conditions comparison protocol</w:t>
      </w:r>
    </w:p>
    <w:p w14:paraId="5FB9CE64">
      <w:pPr>
        <w:spacing w:after="120" w:line="276" w:lineRule="auto"/>
        <w:jc w:val="both"/>
      </w:pPr>
      <w:r>
        <w:rPr>
          <w:rFonts w:ascii="Times New Roman" w:hAnsi="Times New Roman" w:cs="Times New Roman"/>
          <w:b w:val="0"/>
          <w:i w:val="0"/>
          <w:sz w:val="22"/>
        </w:rPr>
        <w:t>Stage two is specified here in full and executed in the comparative phase that follows; the protocol is frozen in advance and applies identically to every trusted baseline and to our framework, so that accuracy differences will reflect the model rather than the pipeline. Three disease streams instantiate the data-rich-to-data-scarce gradient the framework is built for. Dengue is drawn from OpenDengue (Clarke et al., 2024), restricted to dengue-endemic countries at the first sub-national administrative level and weekly cadence from 2014 onward. Influenza uses the established Cola-GNN benchmarks — the 47 Japanese prefectures, the 10 United States Health and Human Services regions, and the 49 United States states — whose dimensions we confirmed directly from the released series. Ebola, represented by district-level weekly incidence for Guinea, Liberia, and Sierra Leone compiled from the World Health Organization through the Humanitarian Data Exchange, is held out entirely as the few-shot case study. For dengue and influenza the headline split is a chronological 50/20/30 partition into training, validation, and test, following the EpiGNN and Cola-GNN convention, with a rolling-origin, expanding-window backtest as the robustness analysis in which scalers and any learned graph are refit at each origin. Ebola is exempt from both: its protocol is a few-shot support-to-query design in which the first two observed weeks per district form the support set and the remainder is the query, which is precisely the regime an emerging outbreak presents.</w:t>
      </w:r>
    </w:p>
    <w:p w14:paraId="2805B898">
      <w:pPr>
        <w:spacing w:after="120" w:line="276" w:lineRule="auto"/>
        <w:jc w:val="both"/>
      </w:pPr>
      <w:r>
        <w:rPr>
          <w:rFonts w:ascii="Times New Roman" w:hAnsi="Times New Roman" w:cs="Times New Roman"/>
          <w:b w:val="0"/>
          <w:i w:val="0"/>
          <w:sz w:val="22"/>
        </w:rPr>
        <w:t>Accuracy is reported separately at horizons of three, five, ten, and fifteen steps, never averaged across horizons, in keeping with the reporting convention of the models under comparison. Point accuracy uses root-mean-square error, mean absolute error, and Pearson correlation, supplemented by symmetric mean absolute percentage error as the scale-free summary that permits a fair cross-disease comparison; per-disease tables are macro-averaged over nodes to weight every reporting unit equally, with a count-weighted variant reported alongside. Probabilistic performance is measured by the continuous ranked probability score together with coverage diagnostics — the prediction-interval coverage probability and mean interval width. Every configuration is run over five seeds (42, 52, 62, 72, 82) and summarised as a mean and standard deviation. Uncertainty is produced by conformal prediction applied post hoc and model-agnostically, using a time-series-valid variant such as ensemble batch prediction intervals (Xu and Xie, 2021) or adaptive conformal inference (Gibbs and Candes, 2021), because the exchangeability assumption underlying ordinary split-conformal prediction is violated by temporally dependent data.</w:t>
      </w:r>
    </w:p>
    <w:p w14:paraId="4B05759C">
      <w:pPr>
        <w:spacing w:after="120" w:line="276" w:lineRule="auto"/>
        <w:jc w:val="both"/>
      </w:pPr>
      <w:r>
        <w:rPr>
          <w:rFonts w:ascii="Times New Roman" w:hAnsi="Times New Roman" w:cs="Times New Roman"/>
          <w:b w:val="0"/>
          <w:i w:val="0"/>
          <w:sz w:val="22"/>
        </w:rPr>
        <w:t>Statistical significance is assessed with a battery matched to the structure of the comparison, and never over the five seeds, which provide stability rather than the sample size needed for a significance test. Pairwise per-series accuracy differences are tested with the Diebold-Mariano test (Diebold and Mariano, 1995) under the Harvey-Leybourne-Newbold small-sample correction (Harvey, Leybourne, and Newbold, 1997) with a heteroskedasticity- and autocorrelation-consistent variance, and, under the rolling scheme, with the estimation-aware conditional test of Giacomini and White (2006). Across the full model-by-dataset grid, a Friedman test with Holm or Nemenyi post-hoc comparisons and an accompanying critical-difference diagram summarises rank differences (Demsar, 2006), while Wilcoxon signed-rank tests and block or stationary bootstrap intervals on the metric differences provide a distribution-free robustness check. Multiplicity across the entire family of comparisons is controlled by the Holm and Benjamini-Hochberg procedures, and the same Diebold-Mariano machinery is extended to differentials of the continuous ranked probability score, alongside an explicit coverage test, so that the uncertainty results are held to the same evidentiary standard as the point forecasts.</w:t>
      </w:r>
    </w:p>
    <w:p w14:paraId="48A2502F">
      <w:pPr>
        <w:spacing w:after="120" w:line="276" w:lineRule="auto"/>
        <w:jc w:val="both"/>
      </w:pPr>
      <w:r>
        <w:rPr>
          <w:rFonts w:ascii="Times New Roman" w:hAnsi="Times New Roman" w:cs="Times New Roman"/>
          <w:b w:val="0"/>
          <w:i w:val="0"/>
          <w:sz w:val="22"/>
        </w:rPr>
        <w:t>Fixing this protocol before any comparative run is deliberate rather than incidental. Pre-specifying the datasets, splits, horizons, metrics, seeds, uncertainty method, and significance tests in advance removes the investigator degrees of freedom that make post hoc state-of-the-art claims fragile, and it is one of the two contributions the present phase makes to the eventual comparison: a suite of baselines validated to reproduce their published behaviour, and the frozen evaluation protocol set out above. The per-disease, per-horizon accuracy and calibration results this protocol will produce, including the few-shot Ebola case study, are reported in the comparative phase of this work; none is pre-empted here.</w:t>
      </w:r>
    </w:p>
    <w:p w14:paraId="7350AB85">
      <w:pPr>
        <w:keepNext/>
        <w:spacing w:before="240" w:after="80"/>
      </w:pPr>
      <w:r>
        <w:rPr>
          <w:rFonts w:ascii="Times New Roman" w:hAnsi="Times New Roman" w:cs="Times New Roman"/>
          <w:b/>
          <w:i w:val="0"/>
          <w:sz w:val="26"/>
        </w:rPr>
        <w:t>4.  The Research Gap</w:t>
      </w:r>
    </w:p>
    <w:p w14:paraId="6C887013">
      <w:pPr>
        <w:spacing w:after="120" w:line="276" w:lineRule="auto"/>
        <w:jc w:val="both"/>
      </w:pPr>
      <w:r>
        <w:rPr>
          <w:rFonts w:ascii="Times New Roman" w:hAnsi="Times New Roman" w:cs="Times New Roman"/>
          <w:b w:val="0"/>
          <w:i w:val="0"/>
          <w:sz w:val="22"/>
        </w:rPr>
        <w:t>The competitive analysis and the benchmark together license a precise statement of what is missing. No incumbent simultaneously satisfies the four properties an operational emerging-disease forecaster requires: it should be disease-agnostic by construction, so that a new pathogen is ingested without re-engineering the architecture; it should learn transferable representations, so that abundant history from data-rich diseases is not wasted; it should adapt few-shot to a data-scarce disease, so that a forecast exists before a long series accrues; and it should deliver calibrated uncertainty with faithful explanation, so that its outputs are actionable and auditable. The evidence for the gap is not that any one of these is universally unaddressed — several are addressed well in isolation — but that the intersection is empty. Mechanistic-hybrid models such as CausalGNN, MepoGNN, HeatGNN, STOEP, and BDGSTN encode epidemiological structure yet remain single-disease and uncalibrated. Attention and transmission-risk models such as Cola-GNN and EpiGNN offer interpretable spatial structure yet fit each disease separately and report point forecasts. Transfer has been shown across locations for a single disease (Panagopoulos et al., 2021) but not across diseases. The one model that reaches calibrated, explained, multi-disease forecasting (Liu and Cao, 2026) does so by joint multi-task training over a fixed four-disease panel and demonstrates only a leave-one-disease-out learning curve, not few-shot adaptation to a genuinely unseen pathogen such as Ebola. The gap our framework targets is therefore the unification: a single model that is disease-agnostic, transferable, few-shot adaptable, and calibrated with explanation, evaluated on exactly the emerging-disease regime the incumbents leave as future work.</w:t>
      </w:r>
    </w:p>
    <w:p w14:paraId="53E6372C">
      <w:pPr>
        <w:keepNext/>
        <w:spacing w:before="240" w:after="80"/>
      </w:pPr>
      <w:r>
        <w:rPr>
          <w:rFonts w:ascii="Times New Roman" w:hAnsi="Times New Roman" w:cs="Times New Roman"/>
          <w:b/>
          <w:i w:val="0"/>
          <w:sz w:val="26"/>
        </w:rPr>
        <w:t>5.  How the Proposed Framework Addresses Each Limitation</w:t>
      </w:r>
    </w:p>
    <w:p w14:paraId="5E1BEBD8">
      <w:pPr>
        <w:spacing w:after="120" w:line="276" w:lineRule="auto"/>
        <w:jc w:val="both"/>
      </w:pPr>
      <w:r>
        <w:rPr>
          <w:rFonts w:ascii="Times New Roman" w:hAnsi="Times New Roman" w:cs="Times New Roman"/>
          <w:b w:val="0"/>
          <w:i w:val="0"/>
          <w:sz w:val="22"/>
        </w:rPr>
        <w:t>Each property of the gap maps onto a specific design commitment developed in the Methods section, and the mapping is what makes the framework the intersection rather than another point solution. The confinement of prior work to a single disease or disease family is answered at the input boundary by the standardised, disease-agnostic schema introduced in the preceding section: because any surveillance stream — dengue, influenza, or Ebola — is expressed as the same node, edge, and signal tensor, one shared encoder ingests all of them without per-disease architectural surgery, turning disease-agnosticism from an evaluation footnote into a structural property. The reliance on static or single-family graphs with no adaptation is answered by transferable representation learning: rather than fitting a fresh model per dataset, the shared encoder is trained across data-rich diseases to capture disease-invariant spatio-temporal dynamics, using meta-learning in the model-agnostic meta-learning tradition (Finn, Abbeel, and Levine, 2017) and domain-generalisation objectives so that the learned representation is a warm start rather than a cold initialisation. This is the same meta-learning machinery that Panagopoulos et al. (2021) applied across countries, redirected to the cross-disease axis the literature has left open.</w:t>
      </w:r>
    </w:p>
    <w:p w14:paraId="440370B0">
      <w:pPr>
        <w:spacing w:after="120" w:line="276" w:lineRule="auto"/>
        <w:jc w:val="both"/>
      </w:pPr>
      <w:r>
        <w:rPr>
          <w:rFonts w:ascii="Times New Roman" w:hAnsi="Times New Roman" w:cs="Times New Roman"/>
          <w:b w:val="0"/>
          <w:i w:val="0"/>
          <w:sz w:val="22"/>
        </w:rPr>
        <w:t>The absence of adaptation to scarce diseases is answered directly by the few-shot protocol on held-out Ebola, in which the transferable representation is adapted from only the first two observed weeks per district and then evaluated on the remainder; this is the operational payoff of the transferable encoder and the property no incumbent demonstrates on an unseen pathogen. The restriction to point forecasts is answered by calibrated conformal uncertainty, applied post hoc and model-agnostically with a time-series-valid variant (Xu and Xie, 2021; Gibbs and Candes, 2021) and reported through the continuous ranked probability score and coverage diagnostics, so that every forecast carries an interval with a checked coverage guarantee rather than an unquantified point. The black-box character of most incumbents is answered by explanation based on Shapley additive explanations (Lundberg and Lee, 2017), reported at both the global level, to show which drivers govern a disease's dynamics, and the local level, to attribute an individual forecast — a stronger claim than the attention-weight inspection that dominates the field.</w:t>
      </w:r>
    </w:p>
    <w:p w14:paraId="01D420FD">
      <w:pPr>
        <w:spacing w:after="120" w:line="276" w:lineRule="auto"/>
        <w:jc w:val="both"/>
      </w:pPr>
      <w:r>
        <w:rPr>
          <w:rFonts w:ascii="Times New Roman" w:hAnsi="Times New Roman" w:cs="Times New Roman"/>
          <w:b w:val="0"/>
          <w:i w:val="0"/>
          <w:sz w:val="22"/>
        </w:rPr>
        <w:t>It is equally important to state what the framework does not claim. It is a forecasting system with calibrated uncertainty and post-hoc explanation, not a prescriptive decision engine: regional risk stratification and the ranking or optimisation of interventions, which the multi-disease model of Liu and Cao (2026) folds into its objective, are deliberately left out of scope here so that the contribution on transfer and calibration can be evaluated cleanly, and are noted as the natural next step. With the gap thus isolated and each limitation mapped to a concrete mechanism, the Methods section now formalises these commitments in turn — the standardised schema and shared encoder, the meta-learned transferable representation, the few-shot adaptation procedure for Ebola, and the conformal and Shapley layers that make the forecasts calibrated and explainable.</w:t>
      </w:r>
    </w:p>
    <w:p w14:paraId="24037BA7">
      <w:pPr>
        <w:keepNext/>
        <w:spacing w:before="240" w:after="80"/>
      </w:pPr>
      <w:r>
        <w:rPr>
          <w:rFonts w:ascii="Times New Roman" w:hAnsi="Times New Roman" w:cs="Times New Roman"/>
          <w:b/>
          <w:i w:val="0"/>
          <w:sz w:val="26"/>
        </w:rPr>
        <w:t>References</w:t>
      </w:r>
    </w:p>
    <w:p w14:paraId="6B388B1A">
      <w:pPr>
        <w:spacing w:after="80" w:line="252" w:lineRule="auto"/>
        <w:ind w:left="720" w:hanging="720"/>
        <w:jc w:val="both"/>
      </w:pPr>
      <w:r>
        <w:rPr>
          <w:rFonts w:ascii="Times New Roman" w:hAnsi="Times New Roman" w:cs="Times New Roman"/>
          <w:b w:val="0"/>
          <w:i w:val="0"/>
          <w:sz w:val="22"/>
        </w:rPr>
        <w:t xml:space="preserve">Brody, S., Alon, U., &amp; Yahav, E. (2022). How attentive are graph attention networks? In </w:t>
      </w:r>
      <w:r>
        <w:rPr>
          <w:rFonts w:ascii="Times New Roman" w:hAnsi="Times New Roman" w:cs="Times New Roman"/>
          <w:b w:val="0"/>
          <w:i/>
          <w:sz w:val="22"/>
        </w:rPr>
        <w:t>International Conference on Learning Representations (ICLR)</w:t>
      </w:r>
      <w:r>
        <w:rPr>
          <w:rFonts w:ascii="Times New Roman" w:hAnsi="Times New Roman" w:cs="Times New Roman"/>
          <w:b w:val="0"/>
          <w:i w:val="0"/>
          <w:sz w:val="22"/>
        </w:rPr>
        <w:t>. arXiv:2105.14491.</w:t>
      </w:r>
    </w:p>
    <w:p w14:paraId="4D14205E">
      <w:pPr>
        <w:spacing w:after="80" w:line="252" w:lineRule="auto"/>
        <w:ind w:left="720" w:hanging="720"/>
        <w:jc w:val="both"/>
      </w:pPr>
      <w:r>
        <w:rPr>
          <w:rFonts w:ascii="Times New Roman" w:hAnsi="Times New Roman" w:cs="Times New Roman"/>
          <w:b w:val="0"/>
          <w:i w:val="0"/>
          <w:sz w:val="22"/>
        </w:rPr>
        <w:t xml:space="preserve">Cao, Q., Jiang, R., Yang, C., Fan, Z., Song, X., &amp; Shibasaki, R. (2022). MepoGNN: Metapopulation epidemic forecasting with graph neural networks. In </w:t>
      </w:r>
      <w:r>
        <w:rPr>
          <w:rFonts w:ascii="Times New Roman" w:hAnsi="Times New Roman" w:cs="Times New Roman"/>
          <w:b w:val="0"/>
          <w:i/>
          <w:sz w:val="22"/>
        </w:rPr>
        <w:t>Machine Learning and Knowledge Discovery in Databases (ECML-PKDD)</w:t>
      </w:r>
      <w:r>
        <w:rPr>
          <w:rFonts w:ascii="Times New Roman" w:hAnsi="Times New Roman" w:cs="Times New Roman"/>
          <w:b w:val="0"/>
          <w:i w:val="0"/>
          <w:sz w:val="22"/>
        </w:rPr>
        <w:t>, LNCS, 453–468. Springer. arXiv:2306.14857.</w:t>
      </w:r>
    </w:p>
    <w:p w14:paraId="6A6CA4AE">
      <w:pPr>
        <w:spacing w:after="80" w:line="252" w:lineRule="auto"/>
        <w:ind w:left="720" w:hanging="720"/>
        <w:jc w:val="both"/>
      </w:pPr>
      <w:r>
        <w:rPr>
          <w:rFonts w:ascii="Times New Roman" w:hAnsi="Times New Roman" w:cs="Times New Roman"/>
          <w:b w:val="0"/>
          <w:i w:val="0"/>
          <w:sz w:val="22"/>
        </w:rPr>
        <w:t xml:space="preserve">Clarke, J., Lim, A., Gupte, P., Pigott, D. M., van Panhuis, W. G., &amp; Brady, O. J. (2024). A global dataset of publicly available dengue case count data. </w:t>
      </w:r>
      <w:r>
        <w:rPr>
          <w:rFonts w:ascii="Times New Roman" w:hAnsi="Times New Roman" w:cs="Times New Roman"/>
          <w:b w:val="0"/>
          <w:i/>
          <w:sz w:val="22"/>
        </w:rPr>
        <w:t>Scientific Data, 11</w:t>
      </w:r>
      <w:r>
        <w:rPr>
          <w:rFonts w:ascii="Times New Roman" w:hAnsi="Times New Roman" w:cs="Times New Roman"/>
          <w:b w:val="0"/>
          <w:i w:val="0"/>
          <w:sz w:val="22"/>
        </w:rPr>
        <w:t>, 296. https://doi.org/10.1038/s41597-024-03120-7</w:t>
      </w:r>
    </w:p>
    <w:p w14:paraId="26EB7F0C">
      <w:pPr>
        <w:spacing w:after="80" w:line="252" w:lineRule="auto"/>
        <w:ind w:left="720" w:hanging="720"/>
        <w:jc w:val="both"/>
      </w:pPr>
      <w:r>
        <w:rPr>
          <w:rFonts w:ascii="Times New Roman" w:hAnsi="Times New Roman" w:cs="Times New Roman"/>
          <w:b w:val="0"/>
          <w:i w:val="0"/>
          <w:sz w:val="22"/>
        </w:rPr>
        <w:t xml:space="preserve">Croft, V. M., van Iersel, S. C. J. L., &amp; Della Santina, C. (2023). Forecasting infections with spatio-temporal graph neural networks: a case study of the Dutch SARS-CoV-2 spread. </w:t>
      </w:r>
      <w:r>
        <w:rPr>
          <w:rFonts w:ascii="Times New Roman" w:hAnsi="Times New Roman" w:cs="Times New Roman"/>
          <w:b w:val="0"/>
          <w:i/>
          <w:sz w:val="22"/>
        </w:rPr>
        <w:t>Frontiers in Physics, 11</w:t>
      </w:r>
      <w:r>
        <w:rPr>
          <w:rFonts w:ascii="Times New Roman" w:hAnsi="Times New Roman" w:cs="Times New Roman"/>
          <w:b w:val="0"/>
          <w:i w:val="0"/>
          <w:sz w:val="22"/>
        </w:rPr>
        <w:t>, 1277052. https://doi.org/10.3389/fphy.2023.1277052</w:t>
      </w:r>
    </w:p>
    <w:p w14:paraId="08881D15">
      <w:pPr>
        <w:spacing w:after="80" w:line="252" w:lineRule="auto"/>
        <w:ind w:left="720" w:hanging="720"/>
        <w:jc w:val="both"/>
      </w:pPr>
      <w:r>
        <w:rPr>
          <w:rFonts w:ascii="Times New Roman" w:hAnsi="Times New Roman" w:cs="Times New Roman"/>
          <w:b w:val="0"/>
          <w:i w:val="0"/>
          <w:sz w:val="22"/>
        </w:rPr>
        <w:t xml:space="preserve">Demšar, J. (2006). Statistical comparisons of classifiers over multiple data sets. </w:t>
      </w:r>
      <w:r>
        <w:rPr>
          <w:rFonts w:ascii="Times New Roman" w:hAnsi="Times New Roman" w:cs="Times New Roman"/>
          <w:b w:val="0"/>
          <w:i/>
          <w:sz w:val="22"/>
        </w:rPr>
        <w:t>Journal of Machine Learning Research, 7</w:t>
      </w:r>
      <w:r>
        <w:rPr>
          <w:rFonts w:ascii="Times New Roman" w:hAnsi="Times New Roman" w:cs="Times New Roman"/>
          <w:b w:val="0"/>
          <w:i w:val="0"/>
          <w:sz w:val="22"/>
        </w:rPr>
        <w:t>, 1–30.</w:t>
      </w:r>
    </w:p>
    <w:p w14:paraId="4B74DFE1">
      <w:pPr>
        <w:spacing w:after="80" w:line="252" w:lineRule="auto"/>
        <w:ind w:left="720" w:hanging="720"/>
        <w:jc w:val="both"/>
      </w:pPr>
      <w:r>
        <w:rPr>
          <w:rFonts w:ascii="Times New Roman" w:hAnsi="Times New Roman" w:cs="Times New Roman"/>
          <w:b w:val="0"/>
          <w:i w:val="0"/>
          <w:sz w:val="22"/>
        </w:rPr>
        <w:t xml:space="preserve">Deng, S., Wang, S., Rangwala, H., Wang, L., &amp; Ning, Y. (2020). Cola-GNN: Cross-location attention based graph neural networks for long-term ILI prediction. In </w:t>
      </w:r>
      <w:r>
        <w:rPr>
          <w:rFonts w:ascii="Times New Roman" w:hAnsi="Times New Roman" w:cs="Times New Roman"/>
          <w:b w:val="0"/>
          <w:i/>
          <w:sz w:val="22"/>
        </w:rPr>
        <w:t>Proc. 29th ACM International Conference on Information and Knowledge Management (CIKM)</w:t>
      </w:r>
      <w:r>
        <w:rPr>
          <w:rFonts w:ascii="Times New Roman" w:hAnsi="Times New Roman" w:cs="Times New Roman"/>
          <w:b w:val="0"/>
          <w:i w:val="0"/>
          <w:sz w:val="22"/>
        </w:rPr>
        <w:t>. https://doi.org/10.1145/3340531.3411975</w:t>
      </w:r>
    </w:p>
    <w:p w14:paraId="4A181B37">
      <w:pPr>
        <w:spacing w:after="80" w:line="252" w:lineRule="auto"/>
        <w:ind w:left="720" w:hanging="720"/>
        <w:jc w:val="both"/>
      </w:pPr>
      <w:r>
        <w:rPr>
          <w:rFonts w:ascii="Times New Roman" w:hAnsi="Times New Roman" w:cs="Times New Roman"/>
          <w:b w:val="0"/>
          <w:i w:val="0"/>
          <w:sz w:val="22"/>
        </w:rPr>
        <w:t xml:space="preserve">Diebold, F. X., &amp; Mariano, R. S. (1995). Comparing predictive accuracy. </w:t>
      </w:r>
      <w:r>
        <w:rPr>
          <w:rFonts w:ascii="Times New Roman" w:hAnsi="Times New Roman" w:cs="Times New Roman"/>
          <w:b w:val="0"/>
          <w:i/>
          <w:sz w:val="22"/>
        </w:rPr>
        <w:t>Journal of Business &amp; Economic Statistics, 13</w:t>
      </w:r>
      <w:r>
        <w:rPr>
          <w:rFonts w:ascii="Times New Roman" w:hAnsi="Times New Roman" w:cs="Times New Roman"/>
          <w:b w:val="0"/>
          <w:i w:val="0"/>
          <w:sz w:val="22"/>
        </w:rPr>
        <w:t>(3), 253–263.</w:t>
      </w:r>
    </w:p>
    <w:p w14:paraId="4ABCAA2B">
      <w:pPr>
        <w:spacing w:after="80" w:line="252" w:lineRule="auto"/>
        <w:ind w:left="720" w:hanging="720"/>
        <w:jc w:val="both"/>
      </w:pPr>
      <w:r>
        <w:rPr>
          <w:rFonts w:ascii="Times New Roman" w:hAnsi="Times New Roman" w:cs="Times New Roman"/>
          <w:b w:val="0"/>
          <w:i w:val="0"/>
          <w:sz w:val="22"/>
        </w:rPr>
        <w:t xml:space="preserve">Ezzat, M., Malek, Y. M., AbdelKader, T., &amp; Badr, N. (2026). Spatio-temporal epidemic forecasting with graph-based transformer. </w:t>
      </w:r>
      <w:r>
        <w:rPr>
          <w:rFonts w:ascii="Times New Roman" w:hAnsi="Times New Roman" w:cs="Times New Roman"/>
          <w:b w:val="0"/>
          <w:i/>
          <w:sz w:val="22"/>
        </w:rPr>
        <w:t>International Journal of Health Geographics, 25</w:t>
      </w:r>
      <w:r>
        <w:rPr>
          <w:rFonts w:ascii="Times New Roman" w:hAnsi="Times New Roman" w:cs="Times New Roman"/>
          <w:b w:val="0"/>
          <w:i w:val="0"/>
          <w:sz w:val="22"/>
        </w:rPr>
        <w:t>, 33. https://doi.org/10.1186/s12942-026-00476-4</w:t>
      </w:r>
    </w:p>
    <w:p w14:paraId="65177972">
      <w:pPr>
        <w:spacing w:after="80" w:line="252" w:lineRule="auto"/>
        <w:ind w:left="720" w:hanging="720"/>
        <w:jc w:val="both"/>
      </w:pPr>
      <w:r>
        <w:rPr>
          <w:rFonts w:ascii="Times New Roman" w:hAnsi="Times New Roman" w:cs="Times New Roman"/>
          <w:b w:val="0"/>
          <w:i w:val="0"/>
          <w:sz w:val="22"/>
        </w:rPr>
        <w:t xml:space="preserve">Finn, C., Abbeel, P., &amp; Levine, S. (2017). Model-agnostic meta-learning for fast adaptation of deep networks. In </w:t>
      </w:r>
      <w:r>
        <w:rPr>
          <w:rFonts w:ascii="Times New Roman" w:hAnsi="Times New Roman" w:cs="Times New Roman"/>
          <w:b w:val="0"/>
          <w:i/>
          <w:sz w:val="22"/>
        </w:rPr>
        <w:t>Proc. 34th International Conference on Machine Learning (ICML)</w:t>
      </w:r>
      <w:r>
        <w:rPr>
          <w:rFonts w:ascii="Times New Roman" w:hAnsi="Times New Roman" w:cs="Times New Roman"/>
          <w:b w:val="0"/>
          <w:i w:val="0"/>
          <w:sz w:val="22"/>
        </w:rPr>
        <w:t>, 1126–1135.</w:t>
      </w:r>
    </w:p>
    <w:p w14:paraId="5223FD35">
      <w:pPr>
        <w:spacing w:after="80" w:line="252" w:lineRule="auto"/>
        <w:ind w:left="720" w:hanging="720"/>
        <w:jc w:val="both"/>
      </w:pPr>
      <w:r>
        <w:rPr>
          <w:rFonts w:ascii="Times New Roman" w:hAnsi="Times New Roman" w:cs="Times New Roman"/>
          <w:b w:val="0"/>
          <w:i w:val="0"/>
          <w:sz w:val="22"/>
        </w:rPr>
        <w:t xml:space="preserve">Gao, J., Sharma, R., Qian, C., Glass, L. M., Spaeder, J., Romberg, J., Sun, J., &amp; Xiao, C. (2021). STAN: Spatio-temporal attention network for pandemic prediction using real-world evidence. </w:t>
      </w:r>
      <w:r>
        <w:rPr>
          <w:rFonts w:ascii="Times New Roman" w:hAnsi="Times New Roman" w:cs="Times New Roman"/>
          <w:b w:val="0"/>
          <w:i/>
          <w:sz w:val="22"/>
        </w:rPr>
        <w:t>Journal of the American Medical Informatics Association, 28</w:t>
      </w:r>
      <w:r>
        <w:rPr>
          <w:rFonts w:ascii="Times New Roman" w:hAnsi="Times New Roman" w:cs="Times New Roman"/>
          <w:b w:val="0"/>
          <w:i w:val="0"/>
          <w:sz w:val="22"/>
        </w:rPr>
        <w:t>(4), 733–743.</w:t>
      </w:r>
    </w:p>
    <w:p w14:paraId="02F280B4">
      <w:pPr>
        <w:spacing w:after="80" w:line="252" w:lineRule="auto"/>
        <w:ind w:left="720" w:hanging="720"/>
        <w:jc w:val="both"/>
      </w:pPr>
      <w:r>
        <w:rPr>
          <w:rFonts w:ascii="Times New Roman" w:hAnsi="Times New Roman" w:cs="Times New Roman"/>
          <w:b w:val="0"/>
          <w:i w:val="0"/>
          <w:sz w:val="22"/>
        </w:rPr>
        <w:t xml:space="preserve">Giacomini, R., &amp; White, H. (2006). Tests of conditional predictive ability. </w:t>
      </w:r>
      <w:r>
        <w:rPr>
          <w:rFonts w:ascii="Times New Roman" w:hAnsi="Times New Roman" w:cs="Times New Roman"/>
          <w:b w:val="0"/>
          <w:i/>
          <w:sz w:val="22"/>
        </w:rPr>
        <w:t>Econometrica, 74</w:t>
      </w:r>
      <w:r>
        <w:rPr>
          <w:rFonts w:ascii="Times New Roman" w:hAnsi="Times New Roman" w:cs="Times New Roman"/>
          <w:b w:val="0"/>
          <w:i w:val="0"/>
          <w:sz w:val="22"/>
        </w:rPr>
        <w:t>(6), 1545–1578.</w:t>
      </w:r>
    </w:p>
    <w:p w14:paraId="785F539C">
      <w:pPr>
        <w:spacing w:after="80" w:line="252" w:lineRule="auto"/>
        <w:ind w:left="720" w:hanging="720"/>
        <w:jc w:val="both"/>
      </w:pPr>
      <w:r>
        <w:rPr>
          <w:rFonts w:ascii="Times New Roman" w:hAnsi="Times New Roman" w:cs="Times New Roman"/>
          <w:b w:val="0"/>
          <w:i w:val="0"/>
          <w:sz w:val="22"/>
        </w:rPr>
        <w:t xml:space="preserve">Gibbs, I., &amp; Candès, E. (2021). Adaptive conformal inference under distribution shift. In </w:t>
      </w:r>
      <w:r>
        <w:rPr>
          <w:rFonts w:ascii="Times New Roman" w:hAnsi="Times New Roman" w:cs="Times New Roman"/>
          <w:b w:val="0"/>
          <w:i/>
          <w:sz w:val="22"/>
        </w:rPr>
        <w:t>Advances in Neural Information Processing Systems (NeurIPS)</w:t>
      </w:r>
      <w:r>
        <w:rPr>
          <w:rFonts w:ascii="Times New Roman" w:hAnsi="Times New Roman" w:cs="Times New Roman"/>
          <w:b w:val="0"/>
          <w:i w:val="0"/>
          <w:sz w:val="22"/>
        </w:rPr>
        <w:t>.</w:t>
      </w:r>
    </w:p>
    <w:p w14:paraId="69DB86DF">
      <w:pPr>
        <w:spacing w:after="80" w:line="252" w:lineRule="auto"/>
        <w:ind w:left="720" w:hanging="720"/>
        <w:jc w:val="both"/>
      </w:pPr>
      <w:r>
        <w:rPr>
          <w:rFonts w:ascii="Times New Roman" w:hAnsi="Times New Roman" w:cs="Times New Roman"/>
          <w:b w:val="0"/>
          <w:i w:val="0"/>
          <w:sz w:val="22"/>
        </w:rPr>
        <w:t xml:space="preserve">Harvey, D., Leybourne, S., &amp; Newbold, P. (1997). Testing the equality of prediction mean squared errors. </w:t>
      </w:r>
      <w:r>
        <w:rPr>
          <w:rFonts w:ascii="Times New Roman" w:hAnsi="Times New Roman" w:cs="Times New Roman"/>
          <w:b w:val="0"/>
          <w:i/>
          <w:sz w:val="22"/>
        </w:rPr>
        <w:t>International Journal of Forecasting, 13</w:t>
      </w:r>
      <w:r>
        <w:rPr>
          <w:rFonts w:ascii="Times New Roman" w:hAnsi="Times New Roman" w:cs="Times New Roman"/>
          <w:b w:val="0"/>
          <w:i w:val="0"/>
          <w:sz w:val="22"/>
        </w:rPr>
        <w:t>(2), 281–291.</w:t>
      </w:r>
    </w:p>
    <w:p w14:paraId="055127B1">
      <w:pPr>
        <w:spacing w:after="80" w:line="252" w:lineRule="auto"/>
        <w:ind w:left="720" w:hanging="720"/>
        <w:jc w:val="both"/>
      </w:pPr>
      <w:r>
        <w:rPr>
          <w:rFonts w:ascii="Times New Roman" w:hAnsi="Times New Roman" w:cs="Times New Roman"/>
          <w:b w:val="0"/>
          <w:i w:val="0"/>
          <w:sz w:val="22"/>
        </w:rPr>
        <w:t xml:space="preserve">Jiao, S., Wang, Y., Ye, X., Nagahara, L., &amp; Sakurai, T. (2025). Spatio-temporal epidemic forecasting using mobility data with LSTM networks and attention mechanism. </w:t>
      </w:r>
      <w:r>
        <w:rPr>
          <w:rFonts w:ascii="Times New Roman" w:hAnsi="Times New Roman" w:cs="Times New Roman"/>
          <w:b w:val="0"/>
          <w:i/>
          <w:sz w:val="22"/>
        </w:rPr>
        <w:t>Scientific Reports, 15</w:t>
      </w:r>
      <w:r>
        <w:rPr>
          <w:rFonts w:ascii="Times New Roman" w:hAnsi="Times New Roman" w:cs="Times New Roman"/>
          <w:b w:val="0"/>
          <w:i w:val="0"/>
          <w:sz w:val="22"/>
        </w:rPr>
        <w:t>, 9603. https://doi.org/10.1038/s41598-025-94089-9</w:t>
      </w:r>
    </w:p>
    <w:p w14:paraId="31545F4E">
      <w:pPr>
        <w:spacing w:after="80" w:line="252" w:lineRule="auto"/>
        <w:ind w:left="720" w:hanging="720"/>
        <w:jc w:val="both"/>
      </w:pPr>
      <w:r>
        <w:rPr>
          <w:rFonts w:ascii="Times New Roman" w:hAnsi="Times New Roman" w:cs="Times New Roman"/>
          <w:b w:val="0"/>
          <w:i w:val="0"/>
          <w:sz w:val="22"/>
        </w:rPr>
        <w:t xml:space="preserve">Jin, M., Koh, H. Y., Wen, Q., Zambon, D., Alippi, C., Webb, G. I., King, I., &amp; Pan, S. (2024). A survey on graph neural networks for time series: Forecasting, classification, imputation, and anomaly detection. </w:t>
      </w:r>
      <w:r>
        <w:rPr>
          <w:rFonts w:ascii="Times New Roman" w:hAnsi="Times New Roman" w:cs="Times New Roman"/>
          <w:b w:val="0"/>
          <w:i/>
          <w:sz w:val="22"/>
        </w:rPr>
        <w:t>IEEE Transactions on Pattern Analysis and Machine Intelligence, 46</w:t>
      </w:r>
      <w:r>
        <w:rPr>
          <w:rFonts w:ascii="Times New Roman" w:hAnsi="Times New Roman" w:cs="Times New Roman"/>
          <w:b w:val="0"/>
          <w:i w:val="0"/>
          <w:sz w:val="22"/>
        </w:rPr>
        <w:t>(12), 10466–10485.</w:t>
      </w:r>
    </w:p>
    <w:p w14:paraId="4A188DA2">
      <w:pPr>
        <w:spacing w:after="80" w:line="252" w:lineRule="auto"/>
        <w:ind w:left="720" w:hanging="720"/>
        <w:jc w:val="both"/>
      </w:pPr>
      <w:r>
        <w:rPr>
          <w:rFonts w:ascii="Times New Roman" w:hAnsi="Times New Roman" w:cs="Times New Roman"/>
          <w:b w:val="0"/>
          <w:i w:val="0"/>
          <w:sz w:val="22"/>
        </w:rPr>
        <w:t xml:space="preserve">Li, Y., Yu, R., Shahabi, C., &amp; Liu, Y. (2018). Diffusion convolutional recurrent neural network: Data-driven traffic forecasting. In </w:t>
      </w:r>
      <w:r>
        <w:rPr>
          <w:rFonts w:ascii="Times New Roman" w:hAnsi="Times New Roman" w:cs="Times New Roman"/>
          <w:b w:val="0"/>
          <w:i/>
          <w:sz w:val="22"/>
        </w:rPr>
        <w:t>International Conference on Learning Representations (ICLR)</w:t>
      </w:r>
      <w:r>
        <w:rPr>
          <w:rFonts w:ascii="Times New Roman" w:hAnsi="Times New Roman" w:cs="Times New Roman"/>
          <w:b w:val="0"/>
          <w:i w:val="0"/>
          <w:sz w:val="22"/>
        </w:rPr>
        <w:t>.</w:t>
      </w:r>
    </w:p>
    <w:p w14:paraId="0B1B485A">
      <w:pPr>
        <w:spacing w:after="80" w:line="252" w:lineRule="auto"/>
        <w:ind w:left="720" w:hanging="720"/>
        <w:jc w:val="both"/>
      </w:pPr>
      <w:r>
        <w:rPr>
          <w:rFonts w:ascii="Times New Roman" w:hAnsi="Times New Roman" w:cs="Times New Roman"/>
          <w:b w:val="0"/>
          <w:i w:val="0"/>
          <w:sz w:val="22"/>
        </w:rPr>
        <w:t xml:space="preserve">Liu, S., &amp; Cao, L. (2026). Dynamic spatiotemporal graph attention networks for cross-regional multi-disease forecasting and intervention optimization. </w:t>
      </w:r>
      <w:r>
        <w:rPr>
          <w:rFonts w:ascii="Times New Roman" w:hAnsi="Times New Roman" w:cs="Times New Roman"/>
          <w:b w:val="0"/>
          <w:i/>
          <w:sz w:val="22"/>
        </w:rPr>
        <w:t>Frontiers in Public Health, 14</w:t>
      </w:r>
      <w:r>
        <w:rPr>
          <w:rFonts w:ascii="Times New Roman" w:hAnsi="Times New Roman" w:cs="Times New Roman"/>
          <w:b w:val="0"/>
          <w:i w:val="0"/>
          <w:sz w:val="22"/>
        </w:rPr>
        <w:t>, 1720620. https://doi.org/10.3389/fpubh.2026.1720620</w:t>
      </w:r>
    </w:p>
    <w:p w14:paraId="25762DC7">
      <w:pPr>
        <w:spacing w:after="80" w:line="252" w:lineRule="auto"/>
        <w:ind w:left="720" w:hanging="720"/>
        <w:jc w:val="both"/>
      </w:pPr>
      <w:r>
        <w:rPr>
          <w:rFonts w:ascii="Times New Roman" w:hAnsi="Times New Roman" w:cs="Times New Roman"/>
          <w:b w:val="0"/>
          <w:i w:val="0"/>
          <w:sz w:val="22"/>
        </w:rPr>
        <w:t>Liu, Z., Wan, G., Prakash, B. A., Lau, M. S. Y., &amp; Jin, W. (2024). A review of graph neural networks in epidemic modeling. arXiv:2403.19852.</w:t>
      </w:r>
    </w:p>
    <w:p w14:paraId="234E8292">
      <w:pPr>
        <w:spacing w:after="80" w:line="252" w:lineRule="auto"/>
        <w:ind w:left="720" w:hanging="720"/>
        <w:jc w:val="both"/>
      </w:pPr>
      <w:r>
        <w:rPr>
          <w:rFonts w:ascii="Times New Roman" w:hAnsi="Times New Roman" w:cs="Times New Roman"/>
          <w:b w:val="0"/>
          <w:i w:val="0"/>
          <w:sz w:val="22"/>
        </w:rPr>
        <w:t xml:space="preserve">Lundberg, S. M., &amp; Lee, S.-I. (2017). A unified approach to interpreting model predictions. In </w:t>
      </w:r>
      <w:r>
        <w:rPr>
          <w:rFonts w:ascii="Times New Roman" w:hAnsi="Times New Roman" w:cs="Times New Roman"/>
          <w:b w:val="0"/>
          <w:i/>
          <w:sz w:val="22"/>
        </w:rPr>
        <w:t>Advances in Neural Information Processing Systems (NeurIPS)</w:t>
      </w:r>
      <w:r>
        <w:rPr>
          <w:rFonts w:ascii="Times New Roman" w:hAnsi="Times New Roman" w:cs="Times New Roman"/>
          <w:b w:val="0"/>
          <w:i w:val="0"/>
          <w:sz w:val="22"/>
        </w:rPr>
        <w:t>, 4765–4774.</w:t>
      </w:r>
    </w:p>
    <w:p w14:paraId="6D2E3406">
      <w:pPr>
        <w:spacing w:after="80" w:line="252" w:lineRule="auto"/>
        <w:ind w:left="720" w:hanging="720"/>
        <w:jc w:val="both"/>
      </w:pPr>
      <w:r>
        <w:rPr>
          <w:rFonts w:ascii="Times New Roman" w:hAnsi="Times New Roman" w:cs="Times New Roman"/>
          <w:b w:val="0"/>
          <w:i w:val="0"/>
          <w:sz w:val="22"/>
        </w:rPr>
        <w:t>Mao, J., Han, Y., Tanaka, G., &amp; Wang, B. (2023). Backbone-based dynamic graph spatio-temporal network for epidemic forecasting. arXiv:2312.00485.</w:t>
      </w:r>
    </w:p>
    <w:p w14:paraId="50ED8A17">
      <w:pPr>
        <w:spacing w:after="80" w:line="252" w:lineRule="auto"/>
        <w:ind w:left="720" w:hanging="720"/>
        <w:jc w:val="both"/>
      </w:pPr>
      <w:r>
        <w:rPr>
          <w:rFonts w:ascii="Times New Roman" w:hAnsi="Times New Roman" w:cs="Times New Roman"/>
          <w:b w:val="0"/>
          <w:i w:val="0"/>
          <w:sz w:val="22"/>
        </w:rPr>
        <w:t xml:space="preserve">Muñoz-Organero, M. (2022). Space-distributed traffic-enhanced LSTM-based machine learning model for COVID-19 incidence forecasting. </w:t>
      </w:r>
      <w:r>
        <w:rPr>
          <w:rFonts w:ascii="Times New Roman" w:hAnsi="Times New Roman" w:cs="Times New Roman"/>
          <w:b w:val="0"/>
          <w:i/>
          <w:sz w:val="22"/>
        </w:rPr>
        <w:t>Computational Intelligence and Neuroscience, 2022</w:t>
      </w:r>
      <w:r>
        <w:rPr>
          <w:rFonts w:ascii="Times New Roman" w:hAnsi="Times New Roman" w:cs="Times New Roman"/>
          <w:b w:val="0"/>
          <w:i w:val="0"/>
          <w:sz w:val="22"/>
        </w:rPr>
        <w:t>, 4307708. https://doi.org/10.1155/2022/4307708</w:t>
      </w:r>
    </w:p>
    <w:p w14:paraId="294CA749">
      <w:pPr>
        <w:spacing w:after="80" w:line="252" w:lineRule="auto"/>
        <w:ind w:left="720" w:hanging="720"/>
        <w:jc w:val="both"/>
      </w:pPr>
      <w:r>
        <w:rPr>
          <w:rFonts w:ascii="Times New Roman" w:hAnsi="Times New Roman" w:cs="Times New Roman"/>
          <w:b w:val="0"/>
          <w:i w:val="0"/>
          <w:sz w:val="22"/>
        </w:rPr>
        <w:t>Nguyen, V. B., Hy, T. S., Tran-Thanh, L., &amp; Nghiem, N. (2023). Predicting COVID-19 pandemic by spatio-temporal graph neural networks: A New Zealand's study. arXiv:2305.07731.</w:t>
      </w:r>
    </w:p>
    <w:p w14:paraId="1C65AD0B">
      <w:pPr>
        <w:spacing w:after="80" w:line="252" w:lineRule="auto"/>
        <w:ind w:left="720" w:hanging="720"/>
        <w:jc w:val="both"/>
      </w:pPr>
      <w:r>
        <w:rPr>
          <w:rFonts w:ascii="Times New Roman" w:hAnsi="Times New Roman" w:cs="Times New Roman"/>
          <w:b w:val="0"/>
          <w:i w:val="0"/>
          <w:sz w:val="22"/>
        </w:rPr>
        <w:t xml:space="preserve">Panagopoulos, G., Nikolentzos, G., &amp; Vazirgiannis, M. (2021). Transfer graph neural networks for pandemic forecasting. In </w:t>
      </w:r>
      <w:r>
        <w:rPr>
          <w:rFonts w:ascii="Times New Roman" w:hAnsi="Times New Roman" w:cs="Times New Roman"/>
          <w:b w:val="0"/>
          <w:i/>
          <w:sz w:val="22"/>
        </w:rPr>
        <w:t>Proc. AAAI Conference on Artificial Intelligence, 35</w:t>
      </w:r>
      <w:r>
        <w:rPr>
          <w:rFonts w:ascii="Times New Roman" w:hAnsi="Times New Roman" w:cs="Times New Roman"/>
          <w:b w:val="0"/>
          <w:i w:val="0"/>
          <w:sz w:val="22"/>
        </w:rPr>
        <w:t>(6), 4838–4845.</w:t>
      </w:r>
    </w:p>
    <w:p w14:paraId="54CBEF33">
      <w:pPr>
        <w:spacing w:after="80" w:line="252" w:lineRule="auto"/>
        <w:ind w:left="720" w:hanging="720"/>
        <w:jc w:val="both"/>
      </w:pPr>
      <w:r>
        <w:rPr>
          <w:rFonts w:ascii="Times New Roman" w:hAnsi="Times New Roman" w:cs="Times New Roman"/>
          <w:b w:val="0"/>
          <w:i w:val="0"/>
          <w:sz w:val="22"/>
        </w:rPr>
        <w:t>Ruan, S., Li, J., Wei, J., Xu, Z., Bao, J., Xu, J., Qiu, J., Wang, S., Wang, X., &amp; Yuan, H. (2026). Prior knowledge-enhanced spatio-temporal epidemic forecasting (STOEP). arXiv:2602.22270.</w:t>
      </w:r>
    </w:p>
    <w:p w14:paraId="7A00350D">
      <w:pPr>
        <w:spacing w:after="80" w:line="252" w:lineRule="auto"/>
        <w:ind w:left="720" w:hanging="720"/>
        <w:jc w:val="both"/>
      </w:pPr>
      <w:r>
        <w:rPr>
          <w:rFonts w:ascii="Times New Roman" w:hAnsi="Times New Roman" w:cs="Times New Roman"/>
          <w:b w:val="0"/>
          <w:i w:val="0"/>
          <w:sz w:val="22"/>
        </w:rPr>
        <w:t xml:space="preserve">Wang, L., Adiga, A., Chen, J., Sadilek, A., Venkatramanan, S., &amp; Marathe, M. (2022). CausalGNN: Causal-based graph neural networks for spatio-temporal epidemic forecasting. In </w:t>
      </w:r>
      <w:r>
        <w:rPr>
          <w:rFonts w:ascii="Times New Roman" w:hAnsi="Times New Roman" w:cs="Times New Roman"/>
          <w:b w:val="0"/>
          <w:i/>
          <w:sz w:val="22"/>
        </w:rPr>
        <w:t>Proc. AAAI Conference on Artificial Intelligence, 36</w:t>
      </w:r>
      <w:r>
        <w:rPr>
          <w:rFonts w:ascii="Times New Roman" w:hAnsi="Times New Roman" w:cs="Times New Roman"/>
          <w:b w:val="0"/>
          <w:i w:val="0"/>
          <w:sz w:val="22"/>
        </w:rPr>
        <w:t>(11), 12191–12199.</w:t>
      </w:r>
    </w:p>
    <w:p w14:paraId="50198715">
      <w:pPr>
        <w:spacing w:after="80" w:line="252" w:lineRule="auto"/>
        <w:ind w:left="720" w:hanging="720"/>
        <w:jc w:val="both"/>
      </w:pPr>
      <w:r>
        <w:rPr>
          <w:rFonts w:ascii="Times New Roman" w:hAnsi="Times New Roman" w:cs="Times New Roman"/>
          <w:b w:val="0"/>
          <w:i w:val="0"/>
          <w:sz w:val="22"/>
        </w:rPr>
        <w:t>World Health Organization. (2016). Ebola situation reports: 2014–2016 West African outbreak — district-level weekly case incidence for Guinea, Liberia, and Sierra Leone. Geneva: WHO. Distributed via the Humanitarian Data Exchange (HDX), https://data.humdata.org.</w:t>
      </w:r>
    </w:p>
    <w:p w14:paraId="36B68034">
      <w:pPr>
        <w:spacing w:after="80" w:line="252" w:lineRule="auto"/>
        <w:ind w:left="720" w:hanging="720"/>
        <w:jc w:val="both"/>
      </w:pPr>
      <w:r>
        <w:rPr>
          <w:rFonts w:ascii="Times New Roman" w:hAnsi="Times New Roman" w:cs="Times New Roman"/>
          <w:b w:val="0"/>
          <w:i w:val="0"/>
          <w:sz w:val="22"/>
        </w:rPr>
        <w:t xml:space="preserve">Wu, Z., Pan, S., Long, G., Jiang, J., Chang, X., &amp; Zhang, C. (2020). Connecting the dots: Multivariate time series forecasting with graph neural networks. In </w:t>
      </w:r>
      <w:r>
        <w:rPr>
          <w:rFonts w:ascii="Times New Roman" w:hAnsi="Times New Roman" w:cs="Times New Roman"/>
          <w:b w:val="0"/>
          <w:i/>
          <w:sz w:val="22"/>
        </w:rPr>
        <w:t>Proc. 26th ACM SIGKDD International Conference on Knowledge Discovery &amp; Data Mining (KDD)</w:t>
      </w:r>
      <w:r>
        <w:rPr>
          <w:rFonts w:ascii="Times New Roman" w:hAnsi="Times New Roman" w:cs="Times New Roman"/>
          <w:b w:val="0"/>
          <w:i w:val="0"/>
          <w:sz w:val="22"/>
        </w:rPr>
        <w:t>.</w:t>
      </w:r>
    </w:p>
    <w:p w14:paraId="4A679EF0">
      <w:pPr>
        <w:spacing w:after="80" w:line="252" w:lineRule="auto"/>
        <w:ind w:left="720" w:hanging="720"/>
        <w:jc w:val="both"/>
      </w:pPr>
      <w:r>
        <w:rPr>
          <w:rFonts w:ascii="Times New Roman" w:hAnsi="Times New Roman" w:cs="Times New Roman"/>
          <w:b w:val="0"/>
          <w:i w:val="0"/>
          <w:sz w:val="22"/>
        </w:rPr>
        <w:t xml:space="preserve">Wu, Z., Pan, S., Long, G., Jiang, J., &amp; Zhang, C. (2019). Graph WaveNet for deep spatial-temporal graph modeling. In </w:t>
      </w:r>
      <w:r>
        <w:rPr>
          <w:rFonts w:ascii="Times New Roman" w:hAnsi="Times New Roman" w:cs="Times New Roman"/>
          <w:b w:val="0"/>
          <w:i/>
          <w:sz w:val="22"/>
        </w:rPr>
        <w:t>Proc. 28th International Joint Conference on Artificial Intelligence (IJCAI)</w:t>
      </w:r>
      <w:r>
        <w:rPr>
          <w:rFonts w:ascii="Times New Roman" w:hAnsi="Times New Roman" w:cs="Times New Roman"/>
          <w:b w:val="0"/>
          <w:i w:val="0"/>
          <w:sz w:val="22"/>
        </w:rPr>
        <w:t>, 1907–1913.</w:t>
      </w:r>
    </w:p>
    <w:p w14:paraId="093F2CA8">
      <w:pPr>
        <w:spacing w:after="80" w:line="252" w:lineRule="auto"/>
        <w:ind w:left="720" w:hanging="720"/>
        <w:jc w:val="both"/>
      </w:pPr>
      <w:r>
        <w:rPr>
          <w:rFonts w:ascii="Times New Roman" w:hAnsi="Times New Roman" w:cs="Times New Roman"/>
          <w:b w:val="0"/>
          <w:i w:val="0"/>
          <w:sz w:val="22"/>
        </w:rPr>
        <w:t xml:space="preserve">Xie, F., Zhang, Z., Li, L., Zhou, B., &amp; Tan, Y. (2022). EpiGNN: Exploring spatial transmission with graph neural network for regional epidemic forecasting. In </w:t>
      </w:r>
      <w:r>
        <w:rPr>
          <w:rFonts w:ascii="Times New Roman" w:hAnsi="Times New Roman" w:cs="Times New Roman"/>
          <w:b w:val="0"/>
          <w:i/>
          <w:sz w:val="22"/>
        </w:rPr>
        <w:t>Machine Learning and Knowledge Discovery in Databases (ECML-PKDD)</w:t>
      </w:r>
      <w:r>
        <w:rPr>
          <w:rFonts w:ascii="Times New Roman" w:hAnsi="Times New Roman" w:cs="Times New Roman"/>
          <w:b w:val="0"/>
          <w:i w:val="0"/>
          <w:sz w:val="22"/>
        </w:rPr>
        <w:t>, LNCS 13718. Springer. https://doi.org/10.1007/978-3-031-26422-1_29</w:t>
      </w:r>
    </w:p>
    <w:p w14:paraId="5F112322">
      <w:pPr>
        <w:spacing w:after="80" w:line="252" w:lineRule="auto"/>
        <w:ind w:left="720" w:hanging="720"/>
        <w:jc w:val="both"/>
      </w:pPr>
      <w:r>
        <w:rPr>
          <w:rFonts w:ascii="Times New Roman" w:hAnsi="Times New Roman" w:cs="Times New Roman"/>
          <w:b w:val="0"/>
          <w:i w:val="0"/>
          <w:sz w:val="22"/>
        </w:rPr>
        <w:t xml:space="preserve">Xu, C., &amp; Xie, Y. (2021). Conformal prediction interval for dynamic time-series. In </w:t>
      </w:r>
      <w:r>
        <w:rPr>
          <w:rFonts w:ascii="Times New Roman" w:hAnsi="Times New Roman" w:cs="Times New Roman"/>
          <w:b w:val="0"/>
          <w:i/>
          <w:sz w:val="22"/>
        </w:rPr>
        <w:t>Proc. 38th International Conference on Machine Learning (ICML)</w:t>
      </w:r>
      <w:r>
        <w:rPr>
          <w:rFonts w:ascii="Times New Roman" w:hAnsi="Times New Roman" w:cs="Times New Roman"/>
          <w:b w:val="0"/>
          <w:i w:val="0"/>
          <w:sz w:val="22"/>
        </w:rPr>
        <w:t>, PMLR 139.</w:t>
      </w:r>
    </w:p>
    <w:p w14:paraId="06DF4F7C">
      <w:pPr>
        <w:spacing w:after="80" w:line="252" w:lineRule="auto"/>
        <w:ind w:left="720" w:hanging="720"/>
        <w:jc w:val="both"/>
      </w:pPr>
      <w:r>
        <w:rPr>
          <w:rFonts w:ascii="Times New Roman" w:hAnsi="Times New Roman" w:cs="Times New Roman"/>
          <w:b w:val="0"/>
          <w:i w:val="0"/>
          <w:sz w:val="22"/>
        </w:rPr>
        <w:t xml:space="preserve">Yu, B., Yin, H., &amp; Zhu, Z. (2018). Spatio-temporal graph convolutional networks: A deep learning framework for traffic forecasting. In </w:t>
      </w:r>
      <w:r>
        <w:rPr>
          <w:rFonts w:ascii="Times New Roman" w:hAnsi="Times New Roman" w:cs="Times New Roman"/>
          <w:b w:val="0"/>
          <w:i/>
          <w:sz w:val="22"/>
        </w:rPr>
        <w:t>Proc. 27th International Joint Conference on Artificial Intelligence (IJCAI)</w:t>
      </w:r>
      <w:r>
        <w:rPr>
          <w:rFonts w:ascii="Times New Roman" w:hAnsi="Times New Roman" w:cs="Times New Roman"/>
          <w:b w:val="0"/>
          <w:i w:val="0"/>
          <w:sz w:val="22"/>
        </w:rPr>
        <w:t>.</w:t>
      </w:r>
    </w:p>
    <w:p w14:paraId="42B18B49">
      <w:pPr>
        <w:spacing w:after="80" w:line="252" w:lineRule="auto"/>
        <w:ind w:left="720" w:hanging="720"/>
        <w:jc w:val="both"/>
      </w:pPr>
      <w:r>
        <w:rPr>
          <w:rFonts w:ascii="Times New Roman" w:hAnsi="Times New Roman" w:cs="Times New Roman"/>
          <w:b w:val="0"/>
          <w:i w:val="0"/>
          <w:sz w:val="22"/>
        </w:rPr>
        <w:t>Zheng, Y., Jiang, W., Chen, T., Zhou, A., Zhan, C., Nguyen, Q. V. H., &amp; Yin, H. (2024). Epidemiology-informed graph neural network for heterogeneity-aware epidemic forecasting (HeatGNN). arXiv:2411.17</w:t>
      </w:r>
      <w:bookmarkStart w:id="0" w:name="_GoBack"/>
      <w:bookmarkEnd w:id="0"/>
      <w:r>
        <w:rPr>
          <w:rFonts w:ascii="Times New Roman" w:hAnsi="Times New Roman" w:cs="Times New Roman"/>
          <w:b w:val="0"/>
          <w:i w:val="0"/>
          <w:sz w:val="22"/>
        </w:rPr>
        <w:t>372.</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9C23D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6" w:lineRule="auto"/>
    </w:pPr>
    <w:rPr>
      <w:rFonts w:ascii="Times New Roman" w:hAnsi="Times New Roman" w:cs="Times New Roman" w:eastAsiaTheme="minorEastAsia"/>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5730</Words>
  <Characters>34186</Characters>
  <Lines>0</Lines>
  <Paragraphs>0</Paragraphs>
  <TotalTime>5</TotalTime>
  <ScaleCrop>false</ScaleCrop>
  <LinksUpToDate>false</LinksUpToDate>
  <CharactersWithSpaces>39606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Administrator</cp:lastModifiedBy>
  <dcterms:modified xsi:type="dcterms:W3CDTF">2026-07-07T18:43:34Z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eyJoZGlkIjoiNmNkZjJlOTgzZGIzMjY0NTFkNzc1NTA2NGNkNjZkM2EifQ==</vt:lpwstr>
  </property>
  <property fmtid="{D5CDD505-2E9C-101B-9397-08002B2CF9AE}" pid="3" name="KSOProductBuildVer">
    <vt:lpwstr>1033-12.1.0.26880</vt:lpwstr>
  </property>
  <property fmtid="{D5CDD505-2E9C-101B-9397-08002B2CF9AE}" pid="4" name="ICV">
    <vt:lpwstr>53848C8E2A854389ABB2A398D1009F9D_12</vt:lpwstr>
  </property>
</Properties>
</file>