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76" w:lineRule="auto"/>
        <w:jc w:val="center"/>
      </w:pPr>
      <w:r>
        <w:rPr>
          <w:rFonts w:ascii="Times New Roman" w:cs="Times New Roman" w:eastAsia="Times New Roman" w:hAnsi="Times New Roman"/>
          <w:b/>
          <w:bCs/>
          <w:sz w:val="32"/>
          <w:szCs w:val="32"/>
        </w:rPr>
        <w:t xml:space="preserve">Standardised Spatio-Temporal Input Representation for Cross-Disease Epidemic Forecasting</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Forecasting an emerging pathogen is hard precisely because so little of its own history is available; the appeal of a general framework is that structure learned from data-rich diseases might be carried over to a data-scarce one. Realising that promise requires the model to receive comparable inputs no matter which disease it is looking at. Surveillance data resist this. Dengue, influenza and Ebola are reported at different administrative levels, over different periods, in different units, and under different conventions for what counts as a case and how time is bucketed. Our response is to place the entire harmonisation burden at the data layer: every disease is mapped onto a single, disease-agnostic representation before it reaches the network, so that the architecture itself contains nothing specific to any one disease. This section defines that representation, sets out the reasoning behind its principal design choices, and describes how each dataset is instantiated within it.</w:t>
      </w:r>
    </w:p>
    <w:p>
      <w:pPr>
        <w:keepNext/>
        <w:spacing w:after="130" w:before="300"/>
        <w:outlineLvl w:val="0"/>
      </w:pPr>
      <w:r>
        <w:rPr>
          <w:rFonts w:ascii="Times New Roman" w:cs="Times New Roman" w:eastAsia="Times New Roman" w:hAnsi="Times New Roman"/>
          <w:b/>
          <w:bCs/>
          <w:sz w:val="26"/>
          <w:szCs w:val="26"/>
        </w:rPr>
        <w:t xml:space="preserve">1 Overview and design rationale</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The framework treats spatio-temporal forecasting as a problem defined over a common interface rather than over a particular disease. Two diseases with abundant, spatially resolved records—dengue and influenza—serve as development data on which the representation and the model are built and validated. A third, Ebola, is deliberately held out as a data-scarce test of few-shot generalisation. The guiding principle is simple to state and consequential in practice: the architecture is disease-agnostic because its input is disease-agnostic. Anything peculiar to a disease is resolved here, in the construction of the representation, and never reaches the tensor shapes or the channels the shared model consumes.</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This is a deliberate departure from recent state-of-the-art epidemic graph networks, which are typically tied to a single disease or disease family. Cola-GNN (Deng et al., 2020), EpiGNN (Xie et al., 2022) and MepoGNN (Cao et al., 2022) each couple their input encoding to the surveillance stream for which they were designed, and cross-disease transfer is generally left as future work. By separating the representation from the disease, we make transfer a first-class property of the framework rather than an afterthought.</w:t>
      </w:r>
    </w:p>
    <w:p>
      <w:pPr>
        <w:keepNext/>
        <w:spacing w:after="130" w:before="300"/>
        <w:outlineLvl w:val="0"/>
      </w:pPr>
      <w:r>
        <w:rPr>
          <w:rFonts w:ascii="Times New Roman" w:cs="Times New Roman" w:eastAsia="Times New Roman" w:hAnsi="Times New Roman"/>
          <w:b/>
          <w:bCs/>
          <w:sz w:val="26"/>
          <w:szCs w:val="26"/>
        </w:rPr>
        <w:t xml:space="preserve">2 Notation and the input bundle</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We represent each disease as a bundle of arrays defined over a graph of N spatial units observed at T discrete time steps. The bundle comprises a feature tensor together with the graph, the static node attributes, an observation mask and the target series, as summarised in Table 1. A single invariant governs the whole bundle: row i denotes the same spatial unit in every array, and column t the same instant, so that features, graph, mask and target remain aligned throughout. The number of nodes and the time axis are defined per disease; diseases neither share a node set nor a common calendar, and are not required to, because transfer operates through shared model parameters rather than through shared indices.</w:t>
      </w:r>
    </w:p>
    <w:tbl>
      <w:tblPr>
        <w:tblW w:type="dxa" w:w="9360"/>
        <w:tblBorders>
          <w:top w:val="single" w:color="000000" w:sz="4"/>
          <w:left w:val="none"/>
          <w:bottom w:val="single" w:color="000000" w:sz="4"/>
          <w:right w:val="none"/>
          <w:insideH w:val="single" w:color="BFBFBF" w:sz="2"/>
          <w:insideV w:val="none"/>
        </w:tblBorders>
      </w:tblPr>
      <w:tblGrid>
        <w:gridCol w:w="1500"/>
        <w:gridCol w:w="1650"/>
        <w:gridCol w:w="6210"/>
      </w:tblGrid>
      <w:tr>
        <w:trPr>
          <w:tblHeader/>
        </w:trPr>
        <w:tc>
          <w:tcPr>
            <w:tcW w:type="dxa" w:w="1500"/>
            <w:shd w:fill="D9D9D9" w:color="auto" w:val="clear"/>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bCs/>
                <w:i w:val="false"/>
                <w:iCs w:val="false"/>
                <w:sz w:val="20"/>
                <w:szCs w:val="20"/>
              </w:rPr>
              <w:t xml:space="preserve">Symbol</w:t>
            </w:r>
          </w:p>
        </w:tc>
        <w:tc>
          <w:tcPr>
            <w:tcW w:type="dxa" w:w="1650"/>
            <w:shd w:fill="D9D9D9" w:color="auto" w:val="clear"/>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bCs/>
                <w:i w:val="false"/>
                <w:iCs w:val="false"/>
                <w:sz w:val="20"/>
                <w:szCs w:val="20"/>
              </w:rPr>
              <w:t xml:space="preserve">Domain</w:t>
            </w:r>
          </w:p>
        </w:tc>
        <w:tc>
          <w:tcPr>
            <w:tcW w:type="dxa" w:w="6210"/>
            <w:shd w:fill="D9D9D9" w:color="auto" w:val="clear"/>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bCs/>
                <w:i w:val="false"/>
                <w:iCs w:val="false"/>
                <w:sz w:val="20"/>
                <w:szCs w:val="20"/>
              </w:rPr>
              <w:t xml:space="preserve">Meaning</w:t>
            </w:r>
          </w:p>
        </w:tc>
      </w:tr>
      <w:tr>
        <w:tc>
          <w:tcPr>
            <w:tcW w:type="dxa" w:w="1500"/>
            <w:tcMar>
              <w:top w:type="dxa" w:w="40"/>
              <w:left w:type="dxa" w:w="90"/>
              <w:bottom w:type="dxa" w:w="40"/>
              <w:right w:type="dxa" w:w="90"/>
            </w:tcMar>
            <w:vAlign w:val="center"/>
          </w:tcPr>
          <w:p>
            <w:pPr>
              <w:spacing w:after="0" w:line="252" w:lineRule="auto"/>
              <w:jc w:val="center"/>
            </w:pPr>
            <w:r>
              <w:rPr>
                <w:rFonts w:ascii="Times New Roman" w:cs="Times New Roman" w:eastAsia="Times New Roman" w:hAnsi="Times New Roman"/>
                <w:b w:val="false"/>
                <w:bCs w:val="false"/>
                <w:i/>
                <w:iCs/>
                <w:sz w:val="22"/>
                <w:szCs w:val="22"/>
              </w:rPr>
              <w:t xml:space="preserve">X</w:t>
            </w:r>
          </w:p>
        </w:tc>
        <w:tc>
          <w:tcPr>
            <w:tcW w:type="dxa" w:w="1650"/>
            <w:tcMar>
              <w:top w:type="dxa" w:w="40"/>
              <w:left w:type="dxa" w:w="90"/>
              <w:bottom w:type="dxa" w:w="40"/>
              <w:right w:type="dxa" w:w="90"/>
            </w:tcMar>
            <w:vAlign w:val="center"/>
          </w:tcPr>
          <w:p>
            <w:pPr>
              <w:spacing w:after="0" w:line="252" w:lineRule="auto"/>
              <w:jc w:val="center"/>
            </w:pPr>
            <w:r>
              <w:rPr>
                <w:rFonts w:ascii="Times New Roman" w:cs="Times New Roman" w:eastAsia="Times New Roman" w:hAnsi="Times New Roman"/>
                <w:b w:val="false"/>
                <w:bCs w:val="false"/>
                <w:i w:val="false"/>
                <w:iCs w:val="false"/>
                <w:sz w:val="22"/>
                <w:szCs w:val="22"/>
              </w:rPr>
              <w:t xml:space="preserve">ℝ</w:t>
            </w:r>
            <w:r>
              <w:rPr>
                <w:rFonts w:ascii="Times New Roman" w:cs="Times New Roman" w:eastAsia="Times New Roman" w:hAnsi="Times New Roman"/>
                <w:b w:val="false"/>
                <w:bCs w:val="false"/>
                <w:i w:val="false"/>
                <w:iCs w:val="false"/>
                <w:sz w:val="22"/>
                <w:szCs w:val="22"/>
                <w:vertAlign w:val="superscript"/>
              </w:rPr>
              <w:t xml:space="preserve">N×T×F</w:t>
            </w:r>
          </w:p>
        </w:tc>
        <w:tc>
          <w:tcPr>
            <w:tcW w:type="dxa" w:w="621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20"/>
                <w:szCs w:val="20"/>
              </w:rPr>
              <w:t xml:space="preserve">Feature tensor: N spatial units × T time steps × F channels; channel 0 is normalised incidence.</w:t>
            </w:r>
          </w:p>
        </w:tc>
      </w:tr>
      <w:tr>
        <w:tc>
          <w:tcPr>
            <w:tcW w:type="dxa" w:w="1500"/>
            <w:tcMar>
              <w:top w:type="dxa" w:w="40"/>
              <w:left w:type="dxa" w:w="90"/>
              <w:bottom w:type="dxa" w:w="40"/>
              <w:right w:type="dxa" w:w="90"/>
            </w:tcMar>
            <w:vAlign w:val="center"/>
          </w:tcPr>
          <w:p>
            <w:pPr>
              <w:spacing w:after="0" w:line="252" w:lineRule="auto"/>
              <w:jc w:val="center"/>
            </w:pPr>
            <w:r>
              <w:rPr>
                <w:rFonts w:ascii="Times New Roman" w:cs="Times New Roman" w:eastAsia="Times New Roman" w:hAnsi="Times New Roman"/>
                <w:b w:val="false"/>
                <w:bCs w:val="false"/>
                <w:i w:val="false"/>
                <w:iCs w:val="false"/>
                <w:sz w:val="22"/>
                <w:szCs w:val="22"/>
              </w:rPr>
              <w:t xml:space="preserve">A</w:t>
            </w:r>
            <w:r>
              <w:rPr>
                <w:rFonts w:ascii="Times New Roman" w:cs="Times New Roman" w:eastAsia="Times New Roman" w:hAnsi="Times New Roman"/>
                <w:b w:val="false"/>
                <w:bCs w:val="false"/>
                <w:i w:val="false"/>
                <w:iCs w:val="false"/>
                <w:sz w:val="22"/>
                <w:szCs w:val="22"/>
                <w:vertAlign w:val="subscript"/>
              </w:rPr>
              <w:t xml:space="preserve">geo</w:t>
            </w:r>
          </w:p>
        </w:tc>
        <w:tc>
          <w:tcPr>
            <w:tcW w:type="dxa" w:w="1650"/>
            <w:tcMar>
              <w:top w:type="dxa" w:w="40"/>
              <w:left w:type="dxa" w:w="90"/>
              <w:bottom w:type="dxa" w:w="40"/>
              <w:right w:type="dxa" w:w="90"/>
            </w:tcMar>
            <w:vAlign w:val="center"/>
          </w:tcPr>
          <w:p>
            <w:pPr>
              <w:spacing w:after="0" w:line="252" w:lineRule="auto"/>
              <w:jc w:val="center"/>
            </w:pPr>
            <w:r>
              <w:rPr>
                <w:rFonts w:ascii="Times New Roman" w:cs="Times New Roman" w:eastAsia="Times New Roman" w:hAnsi="Times New Roman"/>
                <w:b w:val="false"/>
                <w:bCs w:val="false"/>
                <w:i w:val="false"/>
                <w:iCs w:val="false"/>
                <w:sz w:val="22"/>
                <w:szCs w:val="22"/>
              </w:rPr>
              <w:t xml:space="preserve">ℝ</w:t>
            </w:r>
            <w:r>
              <w:rPr>
                <w:rFonts w:ascii="Times New Roman" w:cs="Times New Roman" w:eastAsia="Times New Roman" w:hAnsi="Times New Roman"/>
                <w:b w:val="false"/>
                <w:bCs w:val="false"/>
                <w:i w:val="false"/>
                <w:iCs w:val="false"/>
                <w:sz w:val="22"/>
                <w:szCs w:val="22"/>
                <w:vertAlign w:val="superscript"/>
              </w:rPr>
              <w:t xml:space="preserve">N×N</w:t>
            </w:r>
          </w:p>
        </w:tc>
        <w:tc>
          <w:tcPr>
            <w:tcW w:type="dxa" w:w="621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20"/>
                <w:szCs w:val="20"/>
              </w:rPr>
              <w:t xml:space="preserve">Geographic adjacency (queen contiguity; block-diagonal across countries for dengue).</w:t>
            </w:r>
          </w:p>
        </w:tc>
      </w:tr>
      <w:tr>
        <w:tc>
          <w:tcPr>
            <w:tcW w:type="dxa" w:w="1500"/>
            <w:tcMar>
              <w:top w:type="dxa" w:w="40"/>
              <w:left w:type="dxa" w:w="90"/>
              <w:bottom w:type="dxa" w:w="40"/>
              <w:right w:type="dxa" w:w="90"/>
            </w:tcMar>
            <w:vAlign w:val="center"/>
          </w:tcPr>
          <w:p>
            <w:pPr>
              <w:spacing w:after="0" w:line="252" w:lineRule="auto"/>
              <w:jc w:val="center"/>
            </w:pPr>
            <w:r>
              <w:rPr>
                <w:rFonts w:ascii="Times New Roman" w:cs="Times New Roman" w:eastAsia="Times New Roman" w:hAnsi="Times New Roman"/>
                <w:b w:val="false"/>
                <w:bCs w:val="false"/>
                <w:i w:val="false"/>
                <w:iCs w:val="false"/>
                <w:sz w:val="22"/>
                <w:szCs w:val="22"/>
              </w:rPr>
              <w:t xml:space="preserve">A</w:t>
            </w:r>
            <w:r>
              <w:rPr>
                <w:rFonts w:ascii="Times New Roman" w:cs="Times New Roman" w:eastAsia="Times New Roman" w:hAnsi="Times New Roman"/>
                <w:b w:val="false"/>
                <w:bCs w:val="false"/>
                <w:i w:val="false"/>
                <w:iCs w:val="false"/>
                <w:sz w:val="22"/>
                <w:szCs w:val="22"/>
                <w:vertAlign w:val="subscript"/>
              </w:rPr>
              <w:t xml:space="preserve">mob</w:t>
            </w:r>
          </w:p>
        </w:tc>
        <w:tc>
          <w:tcPr>
            <w:tcW w:type="dxa" w:w="1650"/>
            <w:tcMar>
              <w:top w:type="dxa" w:w="40"/>
              <w:left w:type="dxa" w:w="90"/>
              <w:bottom w:type="dxa" w:w="40"/>
              <w:right w:type="dxa" w:w="90"/>
            </w:tcMar>
            <w:vAlign w:val="center"/>
          </w:tcPr>
          <w:p>
            <w:pPr>
              <w:spacing w:after="0" w:line="252" w:lineRule="auto"/>
              <w:jc w:val="center"/>
            </w:pPr>
            <w:r>
              <w:rPr>
                <w:rFonts w:ascii="Times New Roman" w:cs="Times New Roman" w:eastAsia="Times New Roman" w:hAnsi="Times New Roman"/>
                <w:b w:val="false"/>
                <w:bCs w:val="false"/>
                <w:i w:val="false"/>
                <w:iCs w:val="false"/>
                <w:sz w:val="22"/>
                <w:szCs w:val="22"/>
              </w:rPr>
              <w:t xml:space="preserve">ℝ</w:t>
            </w:r>
            <w:r>
              <w:rPr>
                <w:rFonts w:ascii="Times New Roman" w:cs="Times New Roman" w:eastAsia="Times New Roman" w:hAnsi="Times New Roman"/>
                <w:b w:val="false"/>
                <w:bCs w:val="false"/>
                <w:i w:val="false"/>
                <w:iCs w:val="false"/>
                <w:sz w:val="22"/>
                <w:szCs w:val="22"/>
                <w:vertAlign w:val="superscript"/>
              </w:rPr>
              <w:t xml:space="preserve">N×N</w:t>
            </w:r>
          </w:p>
        </w:tc>
        <w:tc>
          <w:tcPr>
            <w:tcW w:type="dxa" w:w="621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20"/>
                <w:szCs w:val="20"/>
              </w:rPr>
              <w:t xml:space="preserve">Optional mobility / origin–destination adjacency, where available.</w:t>
            </w:r>
          </w:p>
        </w:tc>
      </w:tr>
      <w:tr>
        <w:tc>
          <w:tcPr>
            <w:tcW w:type="dxa" w:w="1500"/>
            <w:tcMar>
              <w:top w:type="dxa" w:w="40"/>
              <w:left w:type="dxa" w:w="90"/>
              <w:bottom w:type="dxa" w:w="40"/>
              <w:right w:type="dxa" w:w="90"/>
            </w:tcMar>
            <w:vAlign w:val="center"/>
          </w:tcPr>
          <w:p>
            <w:pPr>
              <w:spacing w:after="0" w:line="252" w:lineRule="auto"/>
              <w:jc w:val="center"/>
            </w:pPr>
            <w:r>
              <w:rPr>
                <w:rFonts w:ascii="Times New Roman" w:cs="Times New Roman" w:eastAsia="Times New Roman" w:hAnsi="Times New Roman"/>
                <w:b w:val="false"/>
                <w:bCs w:val="false"/>
                <w:i/>
                <w:iCs/>
                <w:sz w:val="22"/>
                <w:szCs w:val="22"/>
              </w:rPr>
              <w:t xml:space="preserve">C</w:t>
            </w:r>
          </w:p>
        </w:tc>
        <w:tc>
          <w:tcPr>
            <w:tcW w:type="dxa" w:w="1650"/>
            <w:tcMar>
              <w:top w:type="dxa" w:w="40"/>
              <w:left w:type="dxa" w:w="90"/>
              <w:bottom w:type="dxa" w:w="40"/>
              <w:right w:type="dxa" w:w="90"/>
            </w:tcMar>
            <w:vAlign w:val="center"/>
          </w:tcPr>
          <w:p>
            <w:pPr>
              <w:spacing w:after="0" w:line="252" w:lineRule="auto"/>
              <w:jc w:val="center"/>
            </w:pPr>
            <w:r>
              <w:rPr>
                <w:rFonts w:ascii="Times New Roman" w:cs="Times New Roman" w:eastAsia="Times New Roman" w:hAnsi="Times New Roman"/>
                <w:b w:val="false"/>
                <w:bCs w:val="false"/>
                <w:i w:val="false"/>
                <w:iCs w:val="false"/>
                <w:sz w:val="22"/>
                <w:szCs w:val="22"/>
              </w:rPr>
              <w:t xml:space="preserve">ℝ</w:t>
            </w:r>
            <w:r>
              <w:rPr>
                <w:rFonts w:ascii="Times New Roman" w:cs="Times New Roman" w:eastAsia="Times New Roman" w:hAnsi="Times New Roman"/>
                <w:b w:val="false"/>
                <w:bCs w:val="false"/>
                <w:i w:val="false"/>
                <w:iCs w:val="false"/>
                <w:sz w:val="22"/>
                <w:szCs w:val="22"/>
                <w:vertAlign w:val="superscript"/>
              </w:rPr>
              <w:t xml:space="preserve">N×S</w:t>
            </w:r>
          </w:p>
        </w:tc>
        <w:tc>
          <w:tcPr>
            <w:tcW w:type="dxa" w:w="621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20"/>
                <w:szCs w:val="20"/>
              </w:rPr>
              <w:t xml:space="preserve">Static node covariates (e.g. centroid, area); reserved for later population/climate joins.</w:t>
            </w:r>
          </w:p>
        </w:tc>
      </w:tr>
      <w:tr>
        <w:tc>
          <w:tcPr>
            <w:tcW w:type="dxa" w:w="1500"/>
            <w:tcMar>
              <w:top w:type="dxa" w:w="40"/>
              <w:left w:type="dxa" w:w="90"/>
              <w:bottom w:type="dxa" w:w="40"/>
              <w:right w:type="dxa" w:w="90"/>
            </w:tcMar>
            <w:vAlign w:val="center"/>
          </w:tcPr>
          <w:p>
            <w:pPr>
              <w:spacing w:after="0" w:line="252" w:lineRule="auto"/>
              <w:jc w:val="center"/>
            </w:pPr>
            <w:r>
              <w:rPr>
                <w:rFonts w:ascii="Times New Roman" w:cs="Times New Roman" w:eastAsia="Times New Roman" w:hAnsi="Times New Roman"/>
                <w:b w:val="false"/>
                <w:bCs w:val="false"/>
                <w:i/>
                <w:iCs/>
                <w:sz w:val="22"/>
                <w:szCs w:val="22"/>
              </w:rPr>
              <w:t xml:space="preserve">M</w:t>
            </w:r>
          </w:p>
        </w:tc>
        <w:tc>
          <w:tcPr>
            <w:tcW w:type="dxa" w:w="1650"/>
            <w:tcMar>
              <w:top w:type="dxa" w:w="40"/>
              <w:left w:type="dxa" w:w="90"/>
              <w:bottom w:type="dxa" w:w="40"/>
              <w:right w:type="dxa" w:w="90"/>
            </w:tcMar>
            <w:vAlign w:val="center"/>
          </w:tcPr>
          <w:p>
            <w:pPr>
              <w:spacing w:after="0" w:line="252" w:lineRule="auto"/>
              <w:jc w:val="center"/>
            </w:pPr>
            <w:r>
              <w:rPr>
                <w:rFonts w:ascii="Times New Roman" w:cs="Times New Roman" w:eastAsia="Times New Roman" w:hAnsi="Times New Roman"/>
                <w:b w:val="false"/>
                <w:bCs w:val="false"/>
                <w:i w:val="false"/>
                <w:iCs w:val="false"/>
                <w:sz w:val="22"/>
                <w:szCs w:val="22"/>
              </w:rPr>
              <w:t xml:space="preserve">{0,1}</w:t>
            </w:r>
            <w:r>
              <w:rPr>
                <w:rFonts w:ascii="Times New Roman" w:cs="Times New Roman" w:eastAsia="Times New Roman" w:hAnsi="Times New Roman"/>
                <w:b w:val="false"/>
                <w:bCs w:val="false"/>
                <w:i w:val="false"/>
                <w:iCs w:val="false"/>
                <w:sz w:val="22"/>
                <w:szCs w:val="22"/>
                <w:vertAlign w:val="superscript"/>
              </w:rPr>
              <w:t xml:space="preserve">N×T</w:t>
            </w:r>
          </w:p>
        </w:tc>
        <w:tc>
          <w:tcPr>
            <w:tcW w:type="dxa" w:w="621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20"/>
                <w:szCs w:val="20"/>
              </w:rPr>
              <w:t xml:space="preserve">Observation mask: 1 where a value was reported, 0 where imputed.</w:t>
            </w:r>
          </w:p>
        </w:tc>
      </w:tr>
      <w:tr>
        <w:tc>
          <w:tcPr>
            <w:tcW w:type="dxa" w:w="1500"/>
            <w:tcMar>
              <w:top w:type="dxa" w:w="40"/>
              <w:left w:type="dxa" w:w="90"/>
              <w:bottom w:type="dxa" w:w="40"/>
              <w:right w:type="dxa" w:w="90"/>
            </w:tcMar>
            <w:vAlign w:val="center"/>
          </w:tcPr>
          <w:p>
            <w:pPr>
              <w:spacing w:after="0" w:line="252" w:lineRule="auto"/>
              <w:jc w:val="center"/>
            </w:pPr>
            <w:r>
              <w:rPr>
                <w:rFonts w:ascii="Times New Roman" w:cs="Times New Roman" w:eastAsia="Times New Roman" w:hAnsi="Times New Roman"/>
                <w:b w:val="false"/>
                <w:bCs w:val="false"/>
                <w:i/>
                <w:iCs/>
                <w:sz w:val="22"/>
                <w:szCs w:val="22"/>
              </w:rPr>
              <w:t xml:space="preserve">y</w:t>
            </w:r>
          </w:p>
        </w:tc>
        <w:tc>
          <w:tcPr>
            <w:tcW w:type="dxa" w:w="1650"/>
            <w:tcMar>
              <w:top w:type="dxa" w:w="40"/>
              <w:left w:type="dxa" w:w="90"/>
              <w:bottom w:type="dxa" w:w="40"/>
              <w:right w:type="dxa" w:w="90"/>
            </w:tcMar>
            <w:vAlign w:val="center"/>
          </w:tcPr>
          <w:p>
            <w:pPr>
              <w:spacing w:after="0" w:line="252" w:lineRule="auto"/>
              <w:jc w:val="center"/>
            </w:pPr>
            <w:r>
              <w:rPr>
                <w:rFonts w:ascii="Times New Roman" w:cs="Times New Roman" w:eastAsia="Times New Roman" w:hAnsi="Times New Roman"/>
                <w:b w:val="false"/>
                <w:bCs w:val="false"/>
                <w:i w:val="false"/>
                <w:iCs w:val="false"/>
                <w:sz w:val="22"/>
                <w:szCs w:val="22"/>
              </w:rPr>
              <w:t xml:space="preserve">ℝ</w:t>
            </w:r>
            <w:r>
              <w:rPr>
                <w:rFonts w:ascii="Times New Roman" w:cs="Times New Roman" w:eastAsia="Times New Roman" w:hAnsi="Times New Roman"/>
                <w:b w:val="false"/>
                <w:bCs w:val="false"/>
                <w:i w:val="false"/>
                <w:iCs w:val="false"/>
                <w:sz w:val="22"/>
                <w:szCs w:val="22"/>
                <w:vertAlign w:val="superscript"/>
              </w:rPr>
              <w:t xml:space="preserve">N×T</w:t>
            </w:r>
          </w:p>
        </w:tc>
        <w:tc>
          <w:tcPr>
            <w:tcW w:type="dxa" w:w="621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20"/>
                <w:szCs w:val="20"/>
              </w:rPr>
              <w:t xml:space="preserve">Target incidence series (in normalised space; invertible to counts).</w:t>
            </w:r>
          </w:p>
        </w:tc>
      </w:tr>
    </w:tbl>
    <w:p>
      <w:pPr>
        <w:spacing w:after="160" w:before="80"/>
        <w:jc w:val="left"/>
      </w:pPr>
      <w:r>
        <w:rPr>
          <w:rFonts w:ascii="Times New Roman" w:cs="Times New Roman" w:eastAsia="Times New Roman" w:hAnsi="Times New Roman"/>
          <w:b/>
          <w:bCs/>
          <w:i w:val="false"/>
          <w:iCs w:val="false"/>
          <w:sz w:val="19"/>
          <w:szCs w:val="19"/>
        </w:rPr>
        <w:t xml:space="preserve">Table 1. </w:t>
      </w:r>
      <w:r>
        <w:rPr>
          <w:rFonts w:ascii="Times New Roman" w:cs="Times New Roman" w:eastAsia="Times New Roman" w:hAnsi="Times New Roman"/>
          <w:b w:val="false"/>
          <w:bCs w:val="false"/>
          <w:i w:val="false"/>
          <w:iCs w:val="false"/>
          <w:sz w:val="19"/>
          <w:szCs w:val="19"/>
        </w:rPr>
        <w:t xml:space="preserve">Components of the per-disease input bundle. Shapes are given per disease; N, T and F vary between diseases.</w:t>
      </w:r>
    </w:p>
    <w:p>
      <w:pPr>
        <w:keepNext/>
        <w:spacing w:after="130" w:before="300"/>
        <w:outlineLvl w:val="0"/>
      </w:pPr>
      <w:r>
        <w:rPr>
          <w:rFonts w:ascii="Times New Roman" w:cs="Times New Roman" w:eastAsia="Times New Roman" w:hAnsi="Times New Roman"/>
          <w:b/>
          <w:bCs/>
          <w:sz w:val="26"/>
          <w:szCs w:val="26"/>
        </w:rPr>
        <w:t xml:space="preserve">3 Feature construction</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The feature channels are partitioned into a core block, common to every disease, and an optional extended block that is disease-specific. Only the core block is presented to the shared cross-disease encoder. The core comprises four channels—the normalised incidence that constitutes the forecasting signal, two calendar-derived seasonality channels, and a binary observation indicator—each of which every disease genuinely possesses. The extended block holds quantities that exist for some diseases but not others, such as reported deaths or climatic covariates, and is used only when a single disease is modelled in isolation.</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This partition is not merely organisational; it protects the central claim of the work. Were a channel that is present for one disease and absent for another supplied to the shared encoder, the encoder could exploit the pattern of missing channels to infer which disease it was observing, quietly reintroducing the disease-specificity we set out to remove. Restricting the shared encoder to channels that all diseases share keeps the disease-agnostic property intact by construction rather than by convention.</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Case counts are strongly right-skewed and span several orders of magnitude across regions and diseases, which makes them ill-suited to direct use. We therefore apply a logarithmic stabilisation followed by standardisation. For unit i at time t with reported count cᵢₜ, the normalised incidence is</w:t>
      </w:r>
    </w:p>
    <w:p>
      <w:pPr>
        <w:spacing w:after="140" w:before="120" w:line="276" w:lineRule="auto"/>
        <w:jc w:val="center"/>
      </w:pPr>
      <w:r>
        <w:rPr>
          <w:rFonts w:ascii="Times New Roman" w:cs="Times New Roman" w:eastAsia="Times New Roman" w:hAnsi="Times New Roman"/>
          <w:b w:val="false"/>
          <w:bCs w:val="false"/>
          <w:i/>
          <w:iCs/>
          <w:sz w:val="22"/>
          <w:szCs w:val="22"/>
        </w:rPr>
        <w:t xml:space="preserve">x</w:t>
      </w:r>
      <w:r>
        <w:rPr>
          <w:rFonts w:ascii="Times New Roman" w:cs="Times New Roman" w:eastAsia="Times New Roman" w:hAnsi="Times New Roman"/>
          <w:b w:val="false"/>
          <w:bCs w:val="false"/>
          <w:i/>
          <w:iCs/>
          <w:sz w:val="22"/>
          <w:szCs w:val="22"/>
          <w:vertAlign w:val="subscript"/>
        </w:rPr>
        <w:t xml:space="preserve">i,t,0</w:t>
      </w:r>
      <w:r>
        <w:rPr>
          <w:rFonts w:ascii="Times New Roman" w:cs="Times New Roman" w:eastAsia="Times New Roman" w:hAnsi="Times New Roman"/>
          <w:b w:val="false"/>
          <w:bCs w:val="false"/>
          <w:i w:val="false"/>
          <w:iCs w:val="false"/>
          <w:sz w:val="22"/>
          <w:szCs w:val="22"/>
        </w:rPr>
        <w:t xml:space="preserve"> = ( ln(1 + </w:t>
      </w:r>
      <w:r>
        <w:rPr>
          <w:rFonts w:ascii="Times New Roman" w:cs="Times New Roman" w:eastAsia="Times New Roman" w:hAnsi="Times New Roman"/>
          <w:b w:val="false"/>
          <w:bCs w:val="false"/>
          <w:i/>
          <w:iCs/>
          <w:sz w:val="22"/>
          <w:szCs w:val="22"/>
        </w:rPr>
        <w:t xml:space="preserve">c</w:t>
      </w:r>
      <w:r>
        <w:rPr>
          <w:rFonts w:ascii="Times New Roman" w:cs="Times New Roman" w:eastAsia="Times New Roman" w:hAnsi="Times New Roman"/>
          <w:b w:val="false"/>
          <w:bCs w:val="false"/>
          <w:i/>
          <w:iCs/>
          <w:sz w:val="22"/>
          <w:szCs w:val="22"/>
          <w:vertAlign w:val="subscript"/>
        </w:rPr>
        <w:t xml:space="preserve">i,t</w:t>
      </w:r>
      <w:r>
        <w:rPr>
          <w:rFonts w:ascii="Times New Roman" w:cs="Times New Roman" w:eastAsia="Times New Roman" w:hAnsi="Times New Roman"/>
          <w:b w:val="false"/>
          <w:bCs w:val="false"/>
          <w:i w:val="false"/>
          <w:iCs w:val="false"/>
          <w:sz w:val="22"/>
          <w:szCs w:val="22"/>
        </w:rPr>
        <w:t xml:space="preserve">) − </w:t>
      </w:r>
      <w:r>
        <w:rPr>
          <w:rFonts w:ascii="Times New Roman" w:cs="Times New Roman" w:eastAsia="Times New Roman" w:hAnsi="Times New Roman"/>
          <w:b w:val="false"/>
          <w:bCs w:val="false"/>
          <w:i/>
          <w:iCs/>
          <w:sz w:val="22"/>
          <w:szCs w:val="22"/>
        </w:rPr>
        <w:t xml:space="preserve">μ</w:t>
      </w:r>
      <w:r>
        <w:rPr>
          <w:rFonts w:ascii="Times New Roman" w:cs="Times New Roman" w:eastAsia="Times New Roman" w:hAnsi="Times New Roman"/>
          <w:b w:val="false"/>
          <w:bCs w:val="false"/>
          <w:i/>
          <w:iCs/>
          <w:sz w:val="22"/>
          <w:szCs w:val="22"/>
          <w:vertAlign w:val="subscript"/>
        </w:rPr>
        <w:t xml:space="preserve">i</w:t>
      </w:r>
      <w:r>
        <w:rPr>
          <w:rFonts w:ascii="Times New Roman" w:cs="Times New Roman" w:eastAsia="Times New Roman" w:hAnsi="Times New Roman"/>
          <w:b w:val="false"/>
          <w:bCs w:val="false"/>
          <w:i w:val="false"/>
          <w:iCs w:val="false"/>
          <w:sz w:val="22"/>
          <w:szCs w:val="22"/>
        </w:rPr>
        <w:t xml:space="preserve"> ) / </w:t>
      </w:r>
      <w:r>
        <w:rPr>
          <w:rFonts w:ascii="Times New Roman" w:cs="Times New Roman" w:eastAsia="Times New Roman" w:hAnsi="Times New Roman"/>
          <w:b w:val="false"/>
          <w:bCs w:val="false"/>
          <w:i/>
          <w:iCs/>
          <w:sz w:val="22"/>
          <w:szCs w:val="22"/>
        </w:rPr>
        <w:t xml:space="preserve">σ</w:t>
      </w:r>
      <w:r>
        <w:rPr>
          <w:rFonts w:ascii="Times New Roman" w:cs="Times New Roman" w:eastAsia="Times New Roman" w:hAnsi="Times New Roman"/>
          <w:b w:val="false"/>
          <w:bCs w:val="false"/>
          <w:i/>
          <w:iCs/>
          <w:sz w:val="22"/>
          <w:szCs w:val="22"/>
          <w:vertAlign w:val="subscript"/>
        </w:rPr>
        <w:t xml:space="preserve">i</w:t>
      </w:r>
      <w:r>
        <w:rPr>
          <w:rFonts w:ascii="Times New Roman" w:cs="Times New Roman" w:eastAsia="Times New Roman" w:hAnsi="Times New Roman"/>
          <w:b w:val="false"/>
          <w:bCs w:val="false"/>
          <w:i w:val="false"/>
          <w:iCs w:val="false"/>
          <w:sz w:val="22"/>
          <w:szCs w:val="22"/>
        </w:rPr>
        <w:t xml:space="preserve">  (1)</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where the location and scale parameters μᵢ and σᵢ are estimated from the training portion of the series only (Section 7) and stored, so that predictions can be mapped back to interpretable counts; nodes with no training variation are assigned unit scale to avoid division by zero.</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Because epidemic activity is strongly seasonal, we encode the position of each observation within the year with a pair of sinusoidal features,</w:t>
      </w:r>
    </w:p>
    <w:p>
      <w:pPr>
        <w:spacing w:after="140" w:before="120" w:line="276" w:lineRule="auto"/>
        <w:jc w:val="center"/>
      </w:pP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sz w:val="22"/>
          <w:szCs w:val="22"/>
        </w:rPr>
        <w:t xml:space="preserve">sin</w:t>
      </w:r>
      <w:r>
        <w:rPr>
          <w:rFonts w:ascii="Times New Roman" w:cs="Times New Roman" w:eastAsia="Times New Roman" w:hAnsi="Times New Roman"/>
          <w:b w:val="false"/>
          <w:bCs w:val="false"/>
          <w:i w:val="false"/>
          <w:iCs w:val="false"/>
          <w:sz w:val="22"/>
          <w:szCs w:val="22"/>
        </w:rPr>
        <w:t xml:space="preserve">(2π τ</w:t>
      </w:r>
      <w:r>
        <w:rPr>
          <w:rFonts w:ascii="Times New Roman" w:cs="Times New Roman" w:eastAsia="Times New Roman" w:hAnsi="Times New Roman"/>
          <w:b w:val="false"/>
          <w:bCs w:val="false"/>
          <w:i/>
          <w:iCs/>
          <w:sz w:val="22"/>
          <w:szCs w:val="22"/>
          <w:vertAlign w:val="subscript"/>
        </w:rPr>
        <w:t xml:space="preserve">t</w:t>
      </w:r>
      <w:r>
        <w:rPr>
          <w:rFonts w:ascii="Times New Roman" w:cs="Times New Roman" w:eastAsia="Times New Roman" w:hAnsi="Times New Roman"/>
          <w:b w:val="false"/>
          <w:bCs w:val="false"/>
          <w:i w:val="false"/>
          <w:iCs w:val="false"/>
          <w:sz w:val="22"/>
          <w:szCs w:val="22"/>
        </w:rPr>
        <w:t xml:space="preserve"> / 365.25), </w:t>
      </w:r>
      <w:r>
        <w:rPr>
          <w:rFonts w:ascii="Times New Roman" w:cs="Times New Roman" w:eastAsia="Times New Roman" w:hAnsi="Times New Roman"/>
          <w:b w:val="false"/>
          <w:bCs w:val="false"/>
          <w:i w:val="false"/>
          <w:iCs w:val="false"/>
          <w:sz w:val="22"/>
          <w:szCs w:val="22"/>
        </w:rPr>
        <w:t xml:space="preserve">cos</w:t>
      </w:r>
      <w:r>
        <w:rPr>
          <w:rFonts w:ascii="Times New Roman" w:cs="Times New Roman" w:eastAsia="Times New Roman" w:hAnsi="Times New Roman"/>
          <w:b w:val="false"/>
          <w:bCs w:val="false"/>
          <w:i w:val="false"/>
          <w:iCs w:val="false"/>
          <w:sz w:val="22"/>
          <w:szCs w:val="22"/>
        </w:rPr>
        <w:t xml:space="preserve">(2π τ</w:t>
      </w:r>
      <w:r>
        <w:rPr>
          <w:rFonts w:ascii="Times New Roman" w:cs="Times New Roman" w:eastAsia="Times New Roman" w:hAnsi="Times New Roman"/>
          <w:b w:val="false"/>
          <w:bCs w:val="false"/>
          <w:i/>
          <w:iCs/>
          <w:sz w:val="22"/>
          <w:szCs w:val="22"/>
          <w:vertAlign w:val="subscript"/>
        </w:rPr>
        <w:t xml:space="preserve">t</w:t>
      </w:r>
      <w:r>
        <w:rPr>
          <w:rFonts w:ascii="Times New Roman" w:cs="Times New Roman" w:eastAsia="Times New Roman" w:hAnsi="Times New Roman"/>
          <w:b w:val="false"/>
          <w:bCs w:val="false"/>
          <w:i w:val="false"/>
          <w:iCs w:val="false"/>
          <w:sz w:val="22"/>
          <w:szCs w:val="22"/>
        </w:rPr>
        <w:t xml:space="preserve"> / 365.25) ]</w:t>
      </w:r>
      <w:r>
        <w:rPr>
          <w:rFonts w:ascii="Times New Roman" w:cs="Times New Roman" w:eastAsia="Times New Roman" w:hAnsi="Times New Roman"/>
          <w:b w:val="false"/>
          <w:bCs w:val="false"/>
          <w:i w:val="false"/>
          <w:iCs w:val="false"/>
          <w:sz w:val="22"/>
          <w:szCs w:val="22"/>
        </w:rPr>
        <w:t xml:space="preserve">  (2)</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in which τₜ is the day of year of step t. Deriving the phase from the calendar date rather than from a running index makes the encoding independent of sampling cadence, placing observations at different resolutions—and diseases with different reporting rhythms—on a common seasonal circle.</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Surveillance coverage is uneven, and Ebola in particular is reported only intermittently. We therefore record an explicit observation indicator Mᵢₜ, equal to one where a value was genuinely reported and zero where it was imputed to keep the series contiguous, and we expose this indicator to the model as a core channel so that it can distinguish real observations from filled gaps. Imputed steps are set to the per-node mean in normalised space—a neutral value—rather than to the transform of a zero count, which would otherwise inject a spurious low signal at every gap. Imputed steps never contribute to the training loss or to evaluation.</w:t>
      </w:r>
    </w:p>
    <w:p>
      <w:pPr>
        <w:keepNext/>
        <w:spacing w:after="130" w:before="300"/>
        <w:outlineLvl w:val="0"/>
      </w:pPr>
      <w:r>
        <w:rPr>
          <w:rFonts w:ascii="Times New Roman" w:cs="Times New Roman" w:eastAsia="Times New Roman" w:hAnsi="Times New Roman"/>
          <w:b/>
          <w:bCs/>
          <w:sz w:val="26"/>
          <w:szCs w:val="26"/>
        </w:rPr>
        <w:t xml:space="preserve">4 Spatial structure</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Spatial relationships are encoded as a geographic adjacency matrix. For dengue and Ebola we derive contiguity from administrative boundary polygons obtained from the GADM database (GADM, 2022): two units are adjacent when their polygons share a boundary. Units left without any neighbour—islands, or districts whose neighbours never reported—are connected to their nearest centroids so that no vertex is isolated, since message passing over an isolated node is degenerate. We store the raw binary adjacency and defer the addition of self-loops and any degree normalisation to the model, allowing each baseline to apply its own convention.</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For dengue, whose development set spans several countries (Section 6), adjacency is assembled block-diagonally: contiguity is computed within each country and no edges are placed between countries, since administrative units on different continents are not physical neighbours. Nodes are labelled by a country-qualified identifier to prevent collisions between like-named units. The resulting graph is disconnected across countries, which a graph network accommodates without difficulty, and cross-country regularities are captured through the shared encoder weights rather than through spurious edges.</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For influenza we reuse the adjacency matrices distributed with the benchmark datasets rather than reconstructing them, so that comparisons against the corresponding baselines are made on an identical graph. Because surveillance records and boundary files are joined on administrative names rather than numeric codes, we normalise names aggressively—removing diacritics and collapsing whitespace, so that, for example, Guéckédou and Gueckedou are recognised as the same district—and provide an explicit alias mechanism for residual mismatches. Any unit that cannot be matched to a polygon halts construction with a diagnostic rather than being dropped silently, so that misalignment cannot pass unnoticed.</w:t>
      </w:r>
    </w:p>
    <w:p>
      <w:pPr>
        <w:keepNext/>
        <w:spacing w:after="130" w:before="300"/>
        <w:outlineLvl w:val="0"/>
      </w:pPr>
      <w:r>
        <w:rPr>
          <w:rFonts w:ascii="Times New Roman" w:cs="Times New Roman" w:eastAsia="Times New Roman" w:hAnsi="Times New Roman"/>
          <w:b/>
          <w:bCs/>
          <w:sz w:val="26"/>
          <w:szCs w:val="26"/>
        </w:rPr>
        <w:t xml:space="preserve">5 Temporal alignment</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All three diseases are placed on a common weekly cadence defined by the MMWR epidemiological week, which runs from Sunday to Saturday. Influenza is natively weekly. Ebola is aggregated to weekly resolution from irregular situation reports. Dengue, in the source used here, is reported monthly in its earlier years and weekly thereafter; we retain the weekly portion, which aligns dengue with the other two diseases and, in the countries of interest, still spans roughly a decade. Records are assigned to epidemiological weeks by period rather than by assuming a fixed reporting weekday, so that alignment is robust to differences in how sources label the start of a week.</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Committing to a single cadence across diseases is a considered choice. Interpolating the monthly dengue history up to weekly resolution would fabricate observations and inflate the apparent sample size without adding information, whereas coarsening influenza to monthly would discard the resolution its baselines were built for. A uniform weekly cadence lets the temporal encoder see comparable dynamics across diseases and gives a single lookback window and forecasting horizon the same meaning everywhere. Where nodes within a disease begin or end reporting at different times, they are placed on a shared calendar spanning the union of their observation windows, with unobserved steps imputed and masked.</w:t>
      </w:r>
    </w:p>
    <w:p>
      <w:pPr>
        <w:keepNext/>
        <w:spacing w:after="130" w:before="300"/>
        <w:outlineLvl w:val="0"/>
      </w:pPr>
      <w:r>
        <w:rPr>
          <w:rFonts w:ascii="Times New Roman" w:cs="Times New Roman" w:eastAsia="Times New Roman" w:hAnsi="Times New Roman"/>
          <w:b/>
          <w:bCs/>
          <w:sz w:val="26"/>
          <w:szCs w:val="26"/>
        </w:rPr>
        <w:t xml:space="preserve">6 Datasets and their instantiation</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Development data for dengue are drawn from OpenDengue (Clarke et al., 2024), the most comprehensive openly available compilation of dengue surveillance, which aggregates subnational case counts across more than one hundred countries. We use the highest-spatial-resolution extract at the first administrative level and restrict the development set to countries in which dengue is endemic. Rather than fix this list by hand, we treat the endemic countries as a candidate pool and retain a country only when a sufficient number of its units carry enough weekly observations to be usable; the countries retained, those dropped for insufficient coverage, and the per-country coverage figures are all recorded with the dataset. The result is a spatially and climatically diverse development corpus, and it additionally admits a leave-one-country-out assessment of transfer within dengue as an intermediate step between in-distribution evaluation and the cross-disease setting.</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For influenza we adopt the three benchmark datasets distributed with Cola-GNN (Deng et al., 2020) and used throughout the subsequent literature (Xie et al., 2022): weekly influenza-like-illness counts for the forty-seven prefectures of Japan (August 2012 to March 2019), the ten Health and Human Services regions of the United States mainland (2002 to 2017), and forty-nine US states (2010 to 2017). Using these datasets unchanged, together with their distributed adjacency matrices, keeps our influenza results directly comparable to the published baselines. Because the distributed files are undated count matrices, we anchor each series to the first epidemiological week of its reported span; a sub-week offset is immaterial to the seasonal phase, while the year and month that determine it are fixed by the published ranges.</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Ebola constitutes the held-out, data-scarce case study. We assemble district-level weekly incidence for the 2014–2016 West African outbreak from the machine-readable situation-report series curated on the Humanitarian Data Exchange, cross-referenced with the epidemiological record of the WHO Ebola Response Team (2014). These reports record cumulative cases and deaths, so the reported quantities must be differenced to recover the new cases that constitute the forecasting signal. For a cumulative series Cᵢₜ we take</w:t>
      </w:r>
    </w:p>
    <w:p>
      <w:pPr>
        <w:spacing w:after="140" w:before="120" w:line="276" w:lineRule="auto"/>
        <w:jc w:val="center"/>
      </w:pPr>
      <w:r>
        <w:rPr>
          <w:rFonts w:ascii="Times New Roman" w:cs="Times New Roman" w:eastAsia="Times New Roman" w:hAnsi="Times New Roman"/>
          <w:b w:val="false"/>
          <w:bCs w:val="false"/>
          <w:i/>
          <w:iCs/>
          <w:sz w:val="22"/>
          <w:szCs w:val="22"/>
        </w:rPr>
        <w:t xml:space="preserve">y</w:t>
      </w:r>
      <w:r>
        <w:rPr>
          <w:rFonts w:ascii="Times New Roman" w:cs="Times New Roman" w:eastAsia="Times New Roman" w:hAnsi="Times New Roman"/>
          <w:b w:val="false"/>
          <w:bCs w:val="false"/>
          <w:i/>
          <w:iCs/>
          <w:sz w:val="22"/>
          <w:szCs w:val="22"/>
          <w:vertAlign w:val="subscript"/>
        </w:rPr>
        <w:t xml:space="preserve">i,t</w:t>
      </w:r>
      <w:r>
        <w:rPr>
          <w:rFonts w:ascii="Times New Roman" w:cs="Times New Roman" w:eastAsia="Times New Roman" w:hAnsi="Times New Roman"/>
          <w:b w:val="false"/>
          <w:bCs w:val="false"/>
          <w:i w:val="false"/>
          <w:iCs w:val="false"/>
          <w:sz w:val="22"/>
          <w:szCs w:val="22"/>
        </w:rPr>
        <w:t xml:space="preserve"> = max( 0, </w:t>
      </w:r>
      <w:r>
        <w:rPr>
          <w:rFonts w:ascii="Times New Roman" w:cs="Times New Roman" w:eastAsia="Times New Roman" w:hAnsi="Times New Roman"/>
          <w:b w:val="false"/>
          <w:bCs w:val="false"/>
          <w:i/>
          <w:iCs/>
          <w:sz w:val="22"/>
          <w:szCs w:val="22"/>
        </w:rPr>
        <w:t xml:space="preserve">C</w:t>
      </w:r>
      <w:r>
        <w:rPr>
          <w:rFonts w:ascii="Times New Roman" w:cs="Times New Roman" w:eastAsia="Times New Roman" w:hAnsi="Times New Roman"/>
          <w:b w:val="false"/>
          <w:bCs w:val="false"/>
          <w:i/>
          <w:iCs/>
          <w:sz w:val="22"/>
          <w:szCs w:val="22"/>
          <w:vertAlign w:val="subscript"/>
        </w:rPr>
        <w:t xml:space="preserve">i,t</w:t>
      </w:r>
      <w:r>
        <w:rPr>
          <w:rFonts w:ascii="Times New Roman" w:cs="Times New Roman" w:eastAsia="Times New Roman" w:hAnsi="Times New Roman"/>
          <w:b w:val="false"/>
          <w:bCs w:val="false"/>
          <w:i w:val="false"/>
          <w:iCs w:val="false"/>
          <w:sz w:val="22"/>
          <w:szCs w:val="22"/>
        </w:rPr>
        <w:t xml:space="preserve"> − </w:t>
      </w:r>
      <w:r>
        <w:rPr>
          <w:rFonts w:ascii="Times New Roman" w:cs="Times New Roman" w:eastAsia="Times New Roman" w:hAnsi="Times New Roman"/>
          <w:b w:val="false"/>
          <w:bCs w:val="false"/>
          <w:i/>
          <w:iCs/>
          <w:sz w:val="22"/>
          <w:szCs w:val="22"/>
        </w:rPr>
        <w:t xml:space="preserve">C</w:t>
      </w:r>
      <w:r>
        <w:rPr>
          <w:rFonts w:ascii="Times New Roman" w:cs="Times New Roman" w:eastAsia="Times New Roman" w:hAnsi="Times New Roman"/>
          <w:b w:val="false"/>
          <w:bCs w:val="false"/>
          <w:i/>
          <w:iCs/>
          <w:sz w:val="22"/>
          <w:szCs w:val="22"/>
          <w:vertAlign w:val="subscript"/>
        </w:rPr>
        <w:t xml:space="preserve">i,t−1</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  (3)</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where negative increments—which arise when totals are revised downward during data reconciliation—are treated as reporting artefacts and clipped to zero. We restrict the graph to the three countries at the centre of the epidemic, Guinea, Liberia and Sierra Leone, whose districts carry the usable signal; the small number of cases exported elsewhere form isolated, near-empty series that would distort per-node normalisation without contributing to the outbreak dynamics of interest. Table 2 summarises the datasets.</w:t>
      </w:r>
    </w:p>
    <w:tbl>
      <w:tblPr>
        <w:tblW w:type="dxa" w:w="9360"/>
        <w:tblBorders>
          <w:top w:val="single" w:color="000000" w:sz="4"/>
          <w:left w:val="none"/>
          <w:bottom w:val="single" w:color="000000" w:sz="4"/>
          <w:right w:val="none"/>
          <w:insideH w:val="single" w:color="BFBFBF" w:sz="2"/>
          <w:insideV w:val="none"/>
        </w:tblBorders>
      </w:tblPr>
      <w:tblGrid>
        <w:gridCol w:w="1180"/>
        <w:gridCol w:w="2380"/>
        <w:gridCol w:w="1900"/>
        <w:gridCol w:w="1500"/>
        <w:gridCol w:w="1200"/>
        <w:gridCol w:w="1200"/>
      </w:tblGrid>
      <w:tr>
        <w:trPr>
          <w:tblHeader/>
        </w:trPr>
        <w:tc>
          <w:tcPr>
            <w:tcW w:type="dxa" w:w="1180"/>
            <w:shd w:fill="D9D9D9" w:color="auto" w:val="clear"/>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bCs/>
                <w:i w:val="false"/>
                <w:iCs w:val="false"/>
                <w:sz w:val="18"/>
                <w:szCs w:val="18"/>
              </w:rPr>
              <w:t xml:space="preserve">Disease</w:t>
            </w:r>
          </w:p>
        </w:tc>
        <w:tc>
          <w:tcPr>
            <w:tcW w:type="dxa" w:w="2380"/>
            <w:shd w:fill="D9D9D9" w:color="auto" w:val="clear"/>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bCs/>
                <w:i w:val="false"/>
                <w:iCs w:val="false"/>
                <w:sz w:val="18"/>
                <w:szCs w:val="18"/>
              </w:rPr>
              <w:t xml:space="preserve">Source</w:t>
            </w:r>
          </w:p>
        </w:tc>
        <w:tc>
          <w:tcPr>
            <w:tcW w:type="dxa" w:w="1900"/>
            <w:shd w:fill="D9D9D9" w:color="auto" w:val="clear"/>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bCs/>
                <w:i w:val="false"/>
                <w:iCs w:val="false"/>
                <w:sz w:val="18"/>
                <w:szCs w:val="18"/>
              </w:rPr>
              <w:t xml:space="preserve">Spatial units (N)</w:t>
            </w:r>
          </w:p>
        </w:tc>
        <w:tc>
          <w:tcPr>
            <w:tcW w:type="dxa" w:w="1500"/>
            <w:shd w:fill="D9D9D9" w:color="auto" w:val="clear"/>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bCs/>
                <w:i w:val="false"/>
                <w:iCs w:val="false"/>
                <w:sz w:val="18"/>
                <w:szCs w:val="18"/>
              </w:rPr>
              <w:t xml:space="preserve">Temporal span</w:t>
            </w:r>
          </w:p>
        </w:tc>
        <w:tc>
          <w:tcPr>
            <w:tcW w:type="dxa" w:w="1200"/>
            <w:shd w:fill="D9D9D9" w:color="auto" w:val="clear"/>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bCs/>
                <w:i w:val="false"/>
                <w:iCs w:val="false"/>
                <w:sz w:val="18"/>
                <w:szCs w:val="18"/>
              </w:rPr>
              <w:t xml:space="preserve">Cadence</w:t>
            </w:r>
          </w:p>
        </w:tc>
        <w:tc>
          <w:tcPr>
            <w:tcW w:type="dxa" w:w="1200"/>
            <w:shd w:fill="D9D9D9" w:color="auto" w:val="clear"/>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bCs/>
                <w:i w:val="false"/>
                <w:iCs w:val="false"/>
                <w:sz w:val="18"/>
                <w:szCs w:val="18"/>
              </w:rPr>
              <w:t xml:space="preserve">Role</w:t>
            </w:r>
          </w:p>
        </w:tc>
      </w:tr>
      <w:tr>
        <w:tc>
          <w:tcPr>
            <w:tcW w:type="dxa" w:w="118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Dengue</w:t>
            </w:r>
          </w:p>
        </w:tc>
        <w:tc>
          <w:tcPr>
            <w:tcW w:type="dxa" w:w="238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OpenDengue (Clarke et al., 2024)</w:t>
            </w:r>
          </w:p>
        </w:tc>
        <w:tc>
          <w:tcPr>
            <w:tcW w:type="dxa" w:w="190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Admin-1 units, dengue-endemic countries</w:t>
            </w:r>
          </w:p>
        </w:tc>
        <w:tc>
          <w:tcPr>
            <w:tcW w:type="dxa" w:w="150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2014–present</w:t>
            </w:r>
          </w:p>
        </w:tc>
        <w:tc>
          <w:tcPr>
            <w:tcW w:type="dxa" w:w="120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Weekly</w:t>
            </w:r>
          </w:p>
        </w:tc>
        <w:tc>
          <w:tcPr>
            <w:tcW w:type="dxa" w:w="120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Development</w:t>
            </w:r>
          </w:p>
        </w:tc>
      </w:tr>
      <w:tr>
        <w:tc>
          <w:tcPr>
            <w:tcW w:type="dxa" w:w="118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Influenza</w:t>
            </w:r>
          </w:p>
        </w:tc>
        <w:tc>
          <w:tcPr>
            <w:tcW w:type="dxa" w:w="238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Cola-GNN benchmarks (Deng et al., 2020)</w:t>
            </w:r>
          </w:p>
        </w:tc>
        <w:tc>
          <w:tcPr>
            <w:tcW w:type="dxa" w:w="190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Japan 47; US-Regions 10; US-States 49</w:t>
            </w:r>
          </w:p>
        </w:tc>
        <w:tc>
          <w:tcPr>
            <w:tcW w:type="dxa" w:w="150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2002–2019</w:t>
            </w:r>
          </w:p>
        </w:tc>
        <w:tc>
          <w:tcPr>
            <w:tcW w:type="dxa" w:w="120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Weekly</w:t>
            </w:r>
          </w:p>
        </w:tc>
        <w:tc>
          <w:tcPr>
            <w:tcW w:type="dxa" w:w="120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Development</w:t>
            </w:r>
          </w:p>
        </w:tc>
      </w:tr>
      <w:tr>
        <w:tc>
          <w:tcPr>
            <w:tcW w:type="dxa" w:w="118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Ebola</w:t>
            </w:r>
          </w:p>
        </w:tc>
        <w:tc>
          <w:tcPr>
            <w:tcW w:type="dxa" w:w="238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HDX situation reports; WHO ERT (2014)</w:t>
            </w:r>
          </w:p>
        </w:tc>
        <w:tc>
          <w:tcPr>
            <w:tcW w:type="dxa" w:w="190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Admin-2 districts, GIN / LBR / SLE</w:t>
            </w:r>
          </w:p>
        </w:tc>
        <w:tc>
          <w:tcPr>
            <w:tcW w:type="dxa" w:w="150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2014–2016</w:t>
            </w:r>
          </w:p>
        </w:tc>
        <w:tc>
          <w:tcPr>
            <w:tcW w:type="dxa" w:w="120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Weekly</w:t>
            </w:r>
          </w:p>
        </w:tc>
        <w:tc>
          <w:tcPr>
            <w:tcW w:type="dxa" w:w="1200"/>
            <w:tcMar>
              <w:top w:type="dxa" w:w="40"/>
              <w:left w:type="dxa" w:w="90"/>
              <w:bottom w:type="dxa" w:w="40"/>
              <w:right w:type="dxa" w:w="90"/>
            </w:tcMar>
            <w:vAlign w:val="center"/>
          </w:tcPr>
          <w:p>
            <w:pPr>
              <w:spacing w:after="0" w:line="252" w:lineRule="auto"/>
              <w:jc w:val="left"/>
            </w:pPr>
            <w:r>
              <w:rPr>
                <w:rFonts w:ascii="Times New Roman" w:cs="Times New Roman" w:eastAsia="Times New Roman" w:hAnsi="Times New Roman"/>
                <w:b w:val="false"/>
                <w:bCs w:val="false"/>
                <w:i w:val="false"/>
                <w:iCs w:val="false"/>
                <w:sz w:val="18"/>
                <w:szCs w:val="18"/>
              </w:rPr>
              <w:t xml:space="preserve">Few-shot holdout</w:t>
            </w:r>
          </w:p>
        </w:tc>
      </w:tr>
    </w:tbl>
    <w:p>
      <w:pPr>
        <w:spacing w:after="160" w:before="80"/>
        <w:jc w:val="left"/>
      </w:pPr>
      <w:r>
        <w:rPr>
          <w:rFonts w:ascii="Times New Roman" w:cs="Times New Roman" w:eastAsia="Times New Roman" w:hAnsi="Times New Roman"/>
          <w:b/>
          <w:bCs/>
          <w:i w:val="false"/>
          <w:iCs w:val="false"/>
          <w:sz w:val="19"/>
          <w:szCs w:val="19"/>
        </w:rPr>
        <w:t xml:space="preserve">Table 2. </w:t>
      </w:r>
      <w:r>
        <w:rPr>
          <w:rFonts w:ascii="Times New Roman" w:cs="Times New Roman" w:eastAsia="Times New Roman" w:hAnsi="Times New Roman"/>
          <w:b w:val="false"/>
          <w:bCs w:val="false"/>
          <w:i w:val="false"/>
          <w:iCs w:val="false"/>
          <w:sz w:val="19"/>
          <w:szCs w:val="19"/>
        </w:rPr>
        <w:t xml:space="preserve">Datasets mapped onto the standardised representation. Dengue and influenza are data-rich development diseases; Ebola is the held-out, data-scarce case study.</w:t>
      </w:r>
    </w:p>
    <w:p>
      <w:pPr>
        <w:keepNext/>
        <w:spacing w:after="130" w:before="300"/>
        <w:outlineLvl w:val="0"/>
      </w:pPr>
      <w:r>
        <w:rPr>
          <w:rFonts w:ascii="Times New Roman" w:cs="Times New Roman" w:eastAsia="Times New Roman" w:hAnsi="Times New Roman"/>
          <w:b/>
          <w:bCs/>
          <w:sz w:val="26"/>
          <w:szCs w:val="26"/>
        </w:rPr>
        <w:t xml:space="preserve">7 Normalisation and leakage control</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Because the eventual claims rest on out-of-sample performance, the representation is constructed so that information from the evaluation period cannot leak into training. All series are split chronologically and never shuffled. For the development diseases we adopt the customary partition of the first fifty per cent of each series for training, the next twenty per cent for validation, and the final thirty per cent for testing (Deng et al., 2020; Xie et al., 2022), and we estimate every normalisation statistic from the training portion alone, applying the stored parameters unchanged to the later folds.</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The held-out disease is handled differently, in keeping with its role as a few-shot target. Ebola is not partitioned by the development ratios; instead, the first two observed weeks of each district—a fortnight of data, mirroring what would realistically be available early in an outbreak—form a support set on which the model adapts, and all subsequent observed weeks form the query set on which it is evaluated. The incidence normalisation for Ebola is estimated from the support observations only, and pooled across districts rather than fitted per node, since two observations per district are far too few to estimate a stable per-node scale and any use of later weeks would leak the outbreak’s magnitude into an ostensibly few-shot result. Both the support and query masks, and the support-derived scaling parameters, are stored with the dataset.</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Three properties hold throughout. Normalisation statistics, and any learned graph structure, depend only on data the model is permitted to see at training time; no feature is derived from future values; and targets at the forecast horizon never appear among the inputs, since a window ending at time t is used to predict time t + h with h at least one, and the incidence at t is legitimately observed history.</w:t>
      </w:r>
    </w:p>
    <w:p>
      <w:pPr>
        <w:keepNext/>
        <w:spacing w:after="130" w:before="300"/>
        <w:outlineLvl w:val="0"/>
      </w:pPr>
      <w:r>
        <w:rPr>
          <w:rFonts w:ascii="Times New Roman" w:cs="Times New Roman" w:eastAsia="Times New Roman" w:hAnsi="Times New Roman"/>
          <w:b/>
          <w:bCs/>
          <w:sz w:val="26"/>
          <w:szCs w:val="26"/>
        </w:rPr>
        <w:t xml:space="preserve">8 Problem formulation</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On this representation the forecasting task takes a uniform form across diseases. Given the most recent w steps of the feature tensor for all nodes, together with the graph and the static covariates, the model predicts incidence h steps ahead at every node,</w:t>
      </w:r>
    </w:p>
    <w:p>
      <w:pPr>
        <w:spacing w:after="140" w:before="120" w:line="276" w:lineRule="auto"/>
        <w:jc w:val="center"/>
      </w:pPr>
      <w:r>
        <w:rPr>
          <w:rFonts w:ascii="Times New Roman" w:cs="Times New Roman" w:eastAsia="Times New Roman" w:hAnsi="Times New Roman"/>
          <w:b w:val="false"/>
          <w:bCs w:val="false"/>
          <w:i/>
          <w:iCs/>
          <w:sz w:val="22"/>
          <w:szCs w:val="22"/>
        </w:rPr>
        <w:t xml:space="preserve">ŷ</w:t>
      </w:r>
      <w:r>
        <w:rPr>
          <w:rFonts w:ascii="Times New Roman" w:cs="Times New Roman" w:eastAsia="Times New Roman" w:hAnsi="Times New Roman"/>
          <w:b w:val="false"/>
          <w:bCs w:val="false"/>
          <w:i/>
          <w:iCs/>
          <w:sz w:val="22"/>
          <w:szCs w:val="22"/>
          <w:vertAlign w:val="subscript"/>
        </w:rPr>
        <w:t xml:space="preserve">i,t+h</w:t>
      </w:r>
      <w:r>
        <w:rPr>
          <w:rFonts w:ascii="Times New Roman" w:cs="Times New Roman" w:eastAsia="Times New Roman" w:hAnsi="Times New Roman"/>
          <w:b w:val="false"/>
          <w:bCs w:val="false"/>
          <w:i w:val="false"/>
          <w:iCs w:val="false"/>
          <w:sz w:val="22"/>
          <w:szCs w:val="22"/>
        </w:rPr>
        <w:t xml:space="preserve"> = </w:t>
      </w:r>
      <w:r>
        <w:rPr>
          <w:rFonts w:ascii="Times New Roman" w:cs="Times New Roman" w:eastAsia="Times New Roman" w:hAnsi="Times New Roman"/>
          <w:b w:val="false"/>
          <w:bCs w:val="false"/>
          <w:i/>
          <w:iCs/>
          <w:sz w:val="22"/>
          <w:szCs w:val="22"/>
        </w:rPr>
        <w:t xml:space="preserve">f</w:t>
      </w:r>
      <w:r>
        <w:rPr>
          <w:rFonts w:ascii="Times New Roman" w:cs="Times New Roman" w:eastAsia="Times New Roman" w:hAnsi="Times New Roman"/>
          <w:b w:val="false"/>
          <w:bCs w:val="false"/>
          <w:i/>
          <w:iCs/>
          <w:sz w:val="22"/>
          <w:szCs w:val="22"/>
          <w:vertAlign w:val="subscript"/>
        </w:rPr>
        <w:t xml:space="preserve">θ</w:t>
      </w:r>
      <w:r>
        <w:rPr>
          <w:rFonts w:ascii="Times New Roman" w:cs="Times New Roman" w:eastAsia="Times New Roman" w:hAnsi="Times New Roman"/>
          <w:b w:val="false"/>
          <w:bCs w:val="false"/>
          <w:i w:val="false"/>
          <w:iCs w:val="false"/>
          <w:sz w:val="22"/>
          <w:szCs w:val="22"/>
        </w:rPr>
        <w:t xml:space="preserve"> ( </w:t>
      </w:r>
      <w:r>
        <w:rPr>
          <w:rFonts w:ascii="Times New Roman" w:cs="Times New Roman" w:eastAsia="Times New Roman" w:hAnsi="Times New Roman"/>
          <w:b w:val="false"/>
          <w:bCs w:val="false"/>
          <w:i/>
          <w:iCs/>
          <w:sz w:val="22"/>
          <w:szCs w:val="22"/>
        </w:rPr>
        <w:t xml:space="preserve">X</w:t>
      </w:r>
      <w:r>
        <w:rPr>
          <w:rFonts w:ascii="Times New Roman" w:cs="Times New Roman" w:eastAsia="Times New Roman" w:hAnsi="Times New Roman"/>
          <w:b w:val="false"/>
          <w:bCs w:val="false"/>
          <w:i/>
          <w:iCs/>
          <w:sz w:val="22"/>
          <w:szCs w:val="22"/>
          <w:vertAlign w:val="subscript"/>
        </w:rPr>
        <w:t xml:space="preserve">i, t−w+1:t</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A</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C</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  (4)</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for horizons h in {1, 2, 3, 4} weeks, with a default lookback of w = 20 weeks, consistent with the reference models. Predictions are compared with observations only at query steps for which the mask is set, so that imputed values never enter the evaluation; the specific accuracy and calibration metrics are defined in the evaluation protocol.</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Two evaluation settings exercise the generalisation the representation is meant to support. In the leave-one-disease-out setting the model is trained on all but one development disease and evaluated on the held-out one, measuring transfer across diseases with abundant data. In the few-shot setting the model, having been trained on the development diseases, is adapted to Ebola using only its two-week support set and evaluated on the remainder, measuring generalisation to a genuinely data-scarce emerging pathogen. Both settings are made possible by the fact that every disease presents the same interface.</w:t>
      </w:r>
    </w:p>
    <w:p>
      <w:pPr>
        <w:keepNext/>
        <w:spacing w:after="130" w:before="300"/>
        <w:outlineLvl w:val="0"/>
      </w:pPr>
      <w:r>
        <w:rPr>
          <w:rFonts w:ascii="Times New Roman" w:cs="Times New Roman" w:eastAsia="Times New Roman" w:hAnsi="Times New Roman"/>
          <w:b/>
          <w:bCs/>
          <w:sz w:val="26"/>
          <w:szCs w:val="26"/>
        </w:rPr>
        <w:t xml:space="preserve">9 Reproducibility</w:t>
      </w:r>
    </w:p>
    <w:p>
      <w:pPr>
        <w:spacing w:after="150" w:line="276" w:lineRule="auto"/>
        <w:jc w:val="both"/>
      </w:pPr>
      <w:r>
        <w:rPr>
          <w:rFonts w:ascii="Times New Roman" w:cs="Times New Roman" w:eastAsia="Times New Roman" w:hAnsi="Times New Roman"/>
          <w:b w:val="false"/>
          <w:bCs w:val="false"/>
          <w:i w:val="false"/>
          <w:iCs w:val="false"/>
          <w:sz w:val="22"/>
          <w:szCs w:val="22"/>
        </w:rPr>
        <w:t xml:space="preserve">Each dataset is produced by a single loader that maps raw surveillance files onto the bundle described above and records, alongside the arrays, the metadata needed to interpret and reproduce them: the identity and ordering of the spatial units, the calendar of time steps, the feature names and which of them are transfer-safe, the normalisation parameters, the split or support–query definition, the provenance of the adjacency, and, for dengue, the per-country coverage that determined inclusion. The construction is deterministic given the raw inputs, and the resulting bundles are the sole interface between the data and every experiment that follows.</w:t>
      </w:r>
    </w:p>
    <w:p>
      <w:pPr>
        <w:spacing w:after="120" w:before="260"/>
      </w:pPr>
      <w:r>
        <w:rPr>
          <w:rFonts w:ascii="Times New Roman" w:cs="Times New Roman" w:eastAsia="Times New Roman" w:hAnsi="Times New Roman"/>
          <w:b/>
          <w:bCs/>
          <w:sz w:val="26"/>
          <w:szCs w:val="26"/>
        </w:rPr>
        <w:t xml:space="preserve">References</w:t>
      </w:r>
    </w:p>
    <w:p>
      <w:pPr>
        <w:spacing w:after="80" w:line="264" w:lineRule="auto"/>
        <w:ind w:left="460" w:hanging="460"/>
      </w:pPr>
      <w:r>
        <w:rPr>
          <w:rFonts w:ascii="Times New Roman" w:cs="Times New Roman" w:eastAsia="Times New Roman" w:hAnsi="Times New Roman"/>
          <w:b w:val="false"/>
          <w:bCs w:val="false"/>
          <w:i w:val="false"/>
          <w:iCs w:val="false"/>
          <w:sz w:val="20"/>
          <w:szCs w:val="20"/>
        </w:rPr>
        <w:t xml:space="preserve">Cao, Q., Jiang, R., Yang, C., Cai, Z., Song, X., &amp; Shibasaki, R. (2022). MepoGNN: Metapopulation epidemic forecasting with graph neural networks. In Machine Learning and Knowledge Discovery in Databases (ECML PKDD).</w:t>
      </w:r>
    </w:p>
    <w:p>
      <w:pPr>
        <w:spacing w:after="80" w:line="264" w:lineRule="auto"/>
        <w:ind w:left="460" w:hanging="460"/>
      </w:pPr>
      <w:r>
        <w:rPr>
          <w:rFonts w:ascii="Times New Roman" w:cs="Times New Roman" w:eastAsia="Times New Roman" w:hAnsi="Times New Roman"/>
          <w:b w:val="false"/>
          <w:bCs w:val="false"/>
          <w:i w:val="false"/>
          <w:iCs w:val="false"/>
          <w:sz w:val="20"/>
          <w:szCs w:val="20"/>
        </w:rPr>
        <w:t xml:space="preserve">Clarke, J., Lim, A., Gupte, P., Pigott, D. M., van Panhuis, W. G., &amp; Brady, O. J. (2024). A global dataset of publicly available dengue case count data. Scientific Data, 11(1), 296.</w:t>
      </w:r>
    </w:p>
    <w:p>
      <w:pPr>
        <w:spacing w:after="80" w:line="264" w:lineRule="auto"/>
        <w:ind w:left="460" w:hanging="460"/>
      </w:pPr>
      <w:r>
        <w:rPr>
          <w:rFonts w:ascii="Times New Roman" w:cs="Times New Roman" w:eastAsia="Times New Roman" w:hAnsi="Times New Roman"/>
          <w:b w:val="false"/>
          <w:bCs w:val="false"/>
          <w:i w:val="false"/>
          <w:iCs w:val="false"/>
          <w:sz w:val="20"/>
          <w:szCs w:val="20"/>
        </w:rPr>
        <w:t xml:space="preserve">Deng, S., Wang, S., Rangwala, H., Wang, L., &amp; Ning, Y. (2020). Cola-GNN: Cross-location attention based graph neural networks for long-term ILI prediction. In Proceedings of the 29th ACM International Conference on Information and Knowledge Management (CIKM).</w:t>
      </w:r>
    </w:p>
    <w:p>
      <w:pPr>
        <w:spacing w:after="80" w:line="264" w:lineRule="auto"/>
        <w:ind w:left="460" w:hanging="460"/>
      </w:pPr>
      <w:r>
        <w:rPr>
          <w:rFonts w:ascii="Times New Roman" w:cs="Times New Roman" w:eastAsia="Times New Roman" w:hAnsi="Times New Roman"/>
          <w:b w:val="false"/>
          <w:bCs w:val="false"/>
          <w:i w:val="false"/>
          <w:iCs w:val="false"/>
          <w:sz w:val="20"/>
          <w:szCs w:val="20"/>
        </w:rPr>
        <w:t xml:space="preserve">Global Administrative Areas (GADM). (2022). GADM database of global administrative areas, version 4.1. https://gadm.org.</w:t>
      </w:r>
    </w:p>
    <w:p>
      <w:pPr>
        <w:spacing w:after="80" w:line="264" w:lineRule="auto"/>
        <w:ind w:left="460" w:hanging="460"/>
      </w:pPr>
      <w:r>
        <w:rPr>
          <w:rFonts w:ascii="Times New Roman" w:cs="Times New Roman" w:eastAsia="Times New Roman" w:hAnsi="Times New Roman"/>
          <w:b w:val="false"/>
          <w:bCs w:val="false"/>
          <w:i w:val="false"/>
          <w:iCs w:val="false"/>
          <w:sz w:val="20"/>
          <w:szCs w:val="20"/>
        </w:rPr>
        <w:t xml:space="preserve">WHO Ebola Response Team. (2014). Ebola virus disease in West Africa — the first nine months of the epidemic and forward projections. New England Journal of Medicine, 371(16), 1481–1495.</w:t>
      </w:r>
    </w:p>
    <w:p>
      <w:pPr>
        <w:spacing w:after="80" w:line="264" w:lineRule="auto"/>
        <w:ind w:left="460" w:hanging="460"/>
      </w:pPr>
      <w:r>
        <w:rPr>
          <w:rFonts w:ascii="Times New Roman" w:cs="Times New Roman" w:eastAsia="Times New Roman" w:hAnsi="Times New Roman"/>
          <w:b w:val="false"/>
          <w:bCs w:val="false"/>
          <w:i w:val="false"/>
          <w:iCs w:val="false"/>
          <w:sz w:val="20"/>
          <w:szCs w:val="20"/>
        </w:rPr>
        <w:t xml:space="preserve">Xie, F., Zhang, Z., Li, L., Zhou, B., &amp; Tan, Y. (2022). EpiGNN: Exploring spatial transmission with graph neural network for regional epidemic forecasting. In Machine Learning and Knowledge Discovery in Databases (ECML PKDD).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Standardised Spatio-Temporal Input Representation</dc:title>
  <dc:creator>Emerging Disease Forecasting Framework</dc:creator>
  <cp:lastModifiedBy>Un-named</cp:lastModifiedBy>
  <cp:revision>1</cp:revision>
  <dcterms:created xsi:type="dcterms:W3CDTF">2026-07-07T15:46:47.697Z</dcterms:created>
  <dcterms:modified xsi:type="dcterms:W3CDTF">2026-07-07T15:46:47.698Z</dcterms:modified>
</cp:coreProperties>
</file>

<file path=docProps/custom.xml><?xml version="1.0" encoding="utf-8"?>
<Properties xmlns="http://schemas.openxmlformats.org/officeDocument/2006/custom-properties" xmlns:vt="http://schemas.openxmlformats.org/officeDocument/2006/docPropsVTypes"/>
</file>