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Emerging Disease Forecasting — Results So Far</w:t>
      </w:r>
    </w:p>
    <w:p>
      <w:pPr>
        <w:spacing w:after="200"/>
      </w:pPr>
      <w:r>
        <w:rPr>
          <w:i/>
        </w:rPr>
        <w:t>Week 3 modelling results. First we check the model is sound and worth trusting (feasibility), then we report accuracy across three kinds of run: single-disease, joint, and transfer (LODO). Plain English, every horizon shown, so a reviewer can decide the direction.</w:t>
      </w:r>
    </w:p>
    <w:p>
      <w:pPr>
        <w:pStyle w:val="Heading1"/>
      </w:pPr>
      <w:r>
        <w:t>0. Feasibility &amp; validation — is this encoder suitable at all?</w:t>
      </w:r>
    </w:p>
    <w:p>
      <w:pPr>
        <w:spacing w:after="120"/>
      </w:pPr>
      <w:r>
        <w:rPr>
          <w:i w:val="0"/>
        </w:rPr>
        <w:t>Before trusting any accuracy number, we ran a set of checks to confirm the encoder is wired correctly and is actually doing real work (not quietly cheating or ignoring its inputs). Each check below is paired with a deliberately-broken version that must fail — a test that can't fail proves nothing. These are pass/fail machinery checks, not accuracy.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Check</w:t>
            </w:r>
          </w:p>
        </w:tc>
        <w:tc>
          <w:tcPr>
            <w:tcW w:type="dxa" w:w="2880"/>
          </w:tcPr>
          <w:p>
            <w:r>
              <w:rPr>
                <w:b/>
                <w:sz w:val="18"/>
              </w:rPr>
              <w:t>What it proves</w:t>
            </w:r>
          </w:p>
        </w:tc>
        <w:tc>
          <w:tcPr>
            <w:tcW w:type="dxa" w:w="2880"/>
          </w:tcPr>
          <w:p>
            <w:r>
              <w:rPr>
                <w:b/>
                <w:sz w:val="18"/>
              </w:rPr>
              <w:t>Result</w:t>
            </w:r>
          </w:p>
        </w:tc>
      </w:tr>
      <w:tr>
        <w:tc>
          <w:tcPr>
            <w:tcW w:type="dxa" w:w="2880"/>
          </w:tcPr>
          <w:p>
            <w:r>
              <w:rPr>
                <w:sz w:val="18"/>
              </w:rPr>
              <w:t>Sees the full input window</w:t>
            </w:r>
          </w:p>
        </w:tc>
        <w:tc>
          <w:tcPr>
            <w:tcW w:type="dxa" w:w="2880"/>
          </w:tcPr>
          <w:p>
            <w:r>
              <w:rPr>
                <w:sz w:val="18"/>
              </w:rPr>
              <w:t>The model can actually use all 20 weeks of history we feed it, not just the last few</w:t>
            </w:r>
          </w:p>
        </w:tc>
        <w:tc>
          <w:tcPr>
            <w:tcW w:type="dxa" w:w="2880"/>
          </w:tcPr>
          <w:p>
            <w:r>
              <w:rPr>
                <w:sz w:val="18"/>
              </w:rPr>
              <w:t>PASS — reach = 32 weeks (broken short version correctly fails)</w:t>
            </w:r>
          </w:p>
        </w:tc>
      </w:tr>
      <w:tr>
        <w:tc>
          <w:tcPr>
            <w:tcW w:type="dxa" w:w="2880"/>
          </w:tcPr>
          <w:p>
            <w:r>
              <w:rPr>
                <w:sz w:val="18"/>
              </w:rPr>
              <w:t>Can't tell which disease it is</w:t>
            </w:r>
          </w:p>
        </w:tc>
        <w:tc>
          <w:tcPr>
            <w:tcW w:type="dxa" w:w="2880"/>
          </w:tcPr>
          <w:p>
            <w:r>
              <w:rPr>
                <w:sz w:val="18"/>
              </w:rPr>
              <w:t>The shared engine can't secretly identify the disease and cheat — it only gets the 4 safe channels</w:t>
            </w:r>
          </w:p>
        </w:tc>
        <w:tc>
          <w:tcPr>
            <w:tcW w:type="dxa" w:w="2880"/>
          </w:tcPr>
          <w:p>
            <w:r>
              <w:rPr>
                <w:sz w:val="18"/>
              </w:rPr>
              <w:t>PASS — refuses extra covariates; no weight is sized to a specific disease's region count</w:t>
            </w:r>
          </w:p>
        </w:tc>
      </w:tr>
      <w:tr>
        <w:tc>
          <w:tcPr>
            <w:tcW w:type="dxa" w:w="2880"/>
          </w:tcPr>
          <w:p>
            <w:r>
              <w:rPr>
                <w:sz w:val="18"/>
              </w:rPr>
              <w:t>Lonely regions don't break it</w:t>
            </w:r>
          </w:p>
        </w:tc>
        <w:tc>
          <w:tcPr>
            <w:tcW w:type="dxa" w:w="2880"/>
          </w:tcPr>
          <w:p>
            <w:r>
              <w:rPr>
                <w:sz w:val="18"/>
              </w:rPr>
              <w:t>Regions with no neighbours (islands, etc.) don't blow up the maths</w:t>
            </w:r>
          </w:p>
        </w:tc>
        <w:tc>
          <w:tcPr>
            <w:tcW w:type="dxa" w:w="2880"/>
          </w:tcPr>
          <w:p>
            <w:r>
              <w:rPr>
                <w:sz w:val="18"/>
              </w:rPr>
              <w:t>PASS — handled safely (broken version produces NaNs as expected)</w:t>
            </w:r>
          </w:p>
        </w:tc>
      </w:tr>
      <w:tr>
        <w:tc>
          <w:tcPr>
            <w:tcW w:type="dxa" w:w="2880"/>
          </w:tcPr>
          <w:p>
            <w:r>
              <w:rPr>
                <w:sz w:val="18"/>
              </w:rPr>
              <w:t>Map can be switched off cleanly</w:t>
            </w:r>
          </w:p>
        </w:tc>
        <w:tc>
          <w:tcPr>
            <w:tcW w:type="dxa" w:w="2880"/>
          </w:tcPr>
          <w:p>
            <w:r>
              <w:rPr>
                <w:sz w:val="18"/>
              </w:rPr>
              <w:t>Turning the region-graph off reproduces a timing-only model exactly, so the graph can only help, never silently hurt</w:t>
            </w:r>
          </w:p>
        </w:tc>
        <w:tc>
          <w:tcPr>
            <w:tcW w:type="dxa" w:w="2880"/>
          </w:tcPr>
          <w:p>
            <w:r>
              <w:rPr>
                <w:sz w:val="18"/>
              </w:rPr>
              <w:t>PASS — bit-for-bit identical</w:t>
            </w:r>
          </w:p>
        </w:tc>
      </w:tr>
      <w:tr>
        <w:tc>
          <w:tcPr>
            <w:tcW w:type="dxa" w:w="2880"/>
          </w:tcPr>
          <w:p>
            <w:r>
              <w:rPr>
                <w:sz w:val="18"/>
              </w:rPr>
              <w:t>It can actually learn</w:t>
            </w:r>
          </w:p>
        </w:tc>
        <w:tc>
          <w:tcPr>
            <w:tcW w:type="dxa" w:w="2880"/>
          </w:tcPr>
          <w:p>
            <w:r>
              <w:rPr>
                <w:sz w:val="18"/>
              </w:rPr>
              <w:t>The wiring can fit data at all</w:t>
            </w:r>
          </w:p>
        </w:tc>
        <w:tc>
          <w:tcPr>
            <w:tcW w:type="dxa" w:w="2880"/>
          </w:tcPr>
          <w:p>
            <w:r>
              <w:rPr>
                <w:sz w:val="18"/>
              </w:rPr>
              <w:t>PASS — overfits a tiny 20-region slice to ~zero error</w:t>
            </w:r>
          </w:p>
        </w:tc>
      </w:tr>
      <w:tr>
        <w:tc>
          <w:tcPr>
            <w:tcW w:type="dxa" w:w="2880"/>
          </w:tcPr>
          <w:p>
            <w:r>
              <w:rPr>
                <w:sz w:val="18"/>
              </w:rPr>
              <w:t>It uses its inputs (seasonality)</w:t>
            </w:r>
          </w:p>
        </w:tc>
        <w:tc>
          <w:tcPr>
            <w:tcW w:type="dxa" w:w="2880"/>
          </w:tcPr>
          <w:p>
            <w:r>
              <w:rPr>
                <w:sz w:val="18"/>
              </w:rPr>
              <w:t>Removing the season signal should hurt — proof the model isn't ignoring what we give it</w:t>
            </w:r>
          </w:p>
        </w:tc>
        <w:tc>
          <w:tcPr>
            <w:tcW w:type="dxa" w:w="2880"/>
          </w:tcPr>
          <w:p>
            <w:r>
              <w:rPr>
                <w:sz w:val="18"/>
              </w:rPr>
              <w:t>PASS — dropping season inputs cuts correlation ~0.07 at every horizon and worsens error 5–14% (tested on Japan)</w:t>
            </w:r>
          </w:p>
        </w:tc>
      </w:tr>
      <w:tr>
        <w:tc>
          <w:tcPr>
            <w:tcW w:type="dxa" w:w="2880"/>
          </w:tcPr>
          <w:p>
            <w:r>
              <w:rPr>
                <w:sz w:val="18"/>
              </w:rPr>
              <w:t>Beats trivial predictors</w:t>
            </w:r>
          </w:p>
        </w:tc>
        <w:tc>
          <w:tcPr>
            <w:tcW w:type="dxa" w:w="2880"/>
          </w:tcPr>
          <w:p>
            <w:r>
              <w:rPr>
                <w:sz w:val="18"/>
              </w:rPr>
              <w:t>Earns its keep vs copy-last-week / copy-last-year / average</w:t>
            </w:r>
          </w:p>
        </w:tc>
        <w:tc>
          <w:tcPr>
            <w:tcW w:type="dxa" w:w="2880"/>
          </w:tcPr>
          <w:p>
            <w:r>
              <w:rPr>
                <w:sz w:val="18"/>
              </w:rPr>
              <w:t>MIXED — clean win on US-states; wins far-term on dengue; loses elsewhere (see §2)</w:t>
            </w:r>
          </w:p>
        </w:tc>
      </w:tr>
      <w:tr>
        <w:tc>
          <w:tcPr>
            <w:tcW w:type="dxa" w:w="2880"/>
          </w:tcPr>
          <w:p>
            <w:r>
              <w:rPr>
                <w:sz w:val="18"/>
              </w:rPr>
              <w:t>No cross-disease contamination</w:t>
            </w:r>
          </w:p>
        </w:tc>
        <w:tc>
          <w:tcPr>
            <w:tcW w:type="dxa" w:w="2880"/>
          </w:tcPr>
          <w:p>
            <w:r>
              <w:rPr>
                <w:sz w:val="18"/>
              </w:rPr>
              <w:t>In joint training, diseases can't leak into each other</w:t>
            </w:r>
          </w:p>
        </w:tc>
        <w:tc>
          <w:tcPr>
            <w:tcW w:type="dxa" w:w="2880"/>
          </w:tcPr>
          <w:p>
            <w:r>
              <w:rPr>
                <w:sz w:val="18"/>
              </w:rPr>
              <w:t>PASS — each disease's maths is identical alone or combined; zero cross-gradient</w:t>
            </w:r>
          </w:p>
        </w:tc>
      </w:tr>
      <w:tr>
        <w:tc>
          <w:tcPr>
            <w:tcW w:type="dxa" w:w="2880"/>
          </w:tcPr>
          <w:p>
            <w:r>
              <w:rPr>
                <w:sz w:val="18"/>
              </w:rPr>
              <w:t>Units are handled correctly</w:t>
            </w:r>
          </w:p>
        </w:tc>
        <w:tc>
          <w:tcPr>
            <w:tcW w:type="dxa" w:w="2880"/>
          </w:tcPr>
          <w:p>
            <w:r>
              <w:rPr>
                <w:sz w:val="18"/>
              </w:rPr>
              <w:t>No silent bug converting between model space and real case counts</w:t>
            </w:r>
          </w:p>
        </w:tc>
        <w:tc>
          <w:tcPr>
            <w:tcW w:type="dxa" w:w="2880"/>
          </w:tcPr>
          <w:p>
            <w:r>
              <w:rPr>
                <w:sz w:val="18"/>
              </w:rPr>
              <w:t>PASS — round-trips to 5 decimals; guarded on every run</w:t>
            </w:r>
          </w:p>
        </w:tc>
      </w:tr>
      <w:tr>
        <w:tc>
          <w:tcPr>
            <w:tcW w:type="dxa" w:w="2880"/>
          </w:tcPr>
          <w:p>
            <w:r>
              <w:rPr>
                <w:sz w:val="18"/>
              </w:rPr>
              <w:t>Ebola never peeked</w:t>
            </w:r>
          </w:p>
        </w:tc>
        <w:tc>
          <w:tcPr>
            <w:tcW w:type="dxa" w:w="2880"/>
          </w:tcPr>
          <w:p>
            <w:r>
              <w:rPr>
                <w:sz w:val="18"/>
              </w:rPr>
              <w:t>The emerging-disease test stays honest — the Ebola data is untouched</w:t>
            </w:r>
          </w:p>
        </w:tc>
        <w:tc>
          <w:tcPr>
            <w:tcW w:type="dxa" w:w="2880"/>
          </w:tcPr>
          <w:p>
            <w:r>
              <w:rPr>
                <w:sz w:val="18"/>
              </w:rPr>
              <w:t>PASS — query set never loaded; model choices made on validation only</w:t>
            </w:r>
          </w:p>
        </w:tc>
      </w:tr>
    </w:tbl>
    <w:p>
      <w:pPr>
        <w:spacing w:after="40"/>
      </w:pPr>
    </w:p>
    <w:p>
      <w:pPr>
        <w:spacing w:after="120"/>
      </w:pPr>
      <w:r>
        <w:rPr>
          <w:i w:val="0"/>
        </w:rPr>
        <w:t>Bottom line: the machinery is sound. The encoder sees its whole input, uses the signal we give it, keeps the diseases honestly separated, and never touches Ebola early. So the encoder is suitable in principle — the open question is purely accuracy and direction, which the rest of the document covers.</w:t>
      </w:r>
    </w:p>
    <w:p>
      <w:pPr>
        <w:pStyle w:val="Heading1"/>
      </w:pPr>
      <w:r>
        <w:t>How to read the numbers</w:t>
      </w:r>
    </w:p>
    <w:p>
      <w:pPr>
        <w:spacing w:after="120"/>
      </w:pPr>
      <w:r>
        <w:rPr>
          <w:i w:val="0"/>
        </w:rPr>
        <w:t>Quick primer so the tables make sense:</w:t>
      </w:r>
    </w:p>
    <w:p>
      <w:pPr>
        <w:pStyle w:val="ListBullet"/>
      </w:pPr>
      <w:r>
        <w:t>RMSE / MAE — how far off we are, in real case counts. Lower is better.</w:t>
      </w:r>
    </w:p>
    <w:p>
      <w:pPr>
        <w:pStyle w:val="ListBullet"/>
      </w:pPr>
      <w:r>
        <w:t>PCC — correlation (0 to 1): how well predicted rise-and-fall matches reality across regions and time. This is our 'shape and timing' (spatial) score. Higher is better.</w:t>
      </w:r>
    </w:p>
    <w:p>
      <w:pPr>
        <w:pStyle w:val="ListBullet"/>
      </w:pPr>
      <w:r>
        <w:t>h3 / h5 / h10 / h15 — weeks ahead we forecast. h3–h5 = near-term, h10–h15 = far-term. This is the 'temporal' axis, and every table below shows all four.</w:t>
      </w:r>
    </w:p>
    <w:p>
      <w:pPr>
        <w:pStyle w:val="ListBullet"/>
      </w:pPr>
      <w:r>
        <w:t>Simple baselines we must beat: persistence (copy last week), seasonal (copy last year), and the per-region average. (W) = we beat the best of them, (L) = we lost to it.</w:t>
      </w:r>
    </w:p>
    <w:p>
      <w:pPr>
        <w:pStyle w:val="ListBullet"/>
      </w:pPr>
      <w:r>
        <w:t>Regions = how many places the disease covers. Ebola, our real target, is small (61 regions, ~1 year of data) — so the small datasets here matter most.</w:t>
      </w:r>
    </w:p>
    <w:p>
      <w:pPr>
        <w:pStyle w:val="Heading1"/>
      </w:pPr>
      <w:r>
        <w:t>1. Single-disease training</w:t>
      </w:r>
    </w:p>
    <w:p>
      <w:pPr>
        <w:spacing w:after="120"/>
      </w:pPr>
      <w:r>
        <w:rPr>
          <w:i w:val="0"/>
        </w:rPr>
        <w:t>What it is: train and test a separate model on each disease's own data — the basic 'does it work' check. 5-seed average. Each cell shows our value and (W/L) vs the best simple baseline.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Dataset (regions) / metric</w:t>
            </w:r>
          </w:p>
        </w:tc>
        <w:tc>
          <w:tcPr>
            <w:tcW w:type="dxa" w:w="1728"/>
          </w:tcPr>
          <w:p>
            <w:r>
              <w:rPr>
                <w:b/>
                <w:sz w:val="18"/>
              </w:rPr>
              <w:t>h3</w:t>
            </w:r>
          </w:p>
        </w:tc>
        <w:tc>
          <w:tcPr>
            <w:tcW w:type="dxa" w:w="1728"/>
          </w:tcPr>
          <w:p>
            <w:r>
              <w:rPr>
                <w:b/>
                <w:sz w:val="18"/>
              </w:rPr>
              <w:t>h5</w:t>
            </w:r>
          </w:p>
        </w:tc>
        <w:tc>
          <w:tcPr>
            <w:tcW w:type="dxa" w:w="1728"/>
          </w:tcPr>
          <w:p>
            <w:r>
              <w:rPr>
                <w:b/>
                <w:sz w:val="18"/>
              </w:rPr>
              <w:t>h10</w:t>
            </w:r>
          </w:p>
        </w:tc>
        <w:tc>
          <w:tcPr>
            <w:tcW w:type="dxa" w:w="1728"/>
          </w:tcPr>
          <w:p>
            <w:r>
              <w:rPr>
                <w:b/>
                <w:sz w:val="18"/>
              </w:rPr>
              <w:t>h15</w:t>
            </w:r>
          </w:p>
        </w:tc>
      </w:tr>
      <w:tr>
        <w:tc>
          <w:tcPr>
            <w:tcW w:type="dxa" w:w="1728"/>
          </w:tcPr>
          <w:p>
            <w:r>
              <w:rPr>
                <w:sz w:val="18"/>
              </w:rPr>
              <w:t>Dengue (7165) · RMSE</w:t>
            </w:r>
          </w:p>
        </w:tc>
        <w:tc>
          <w:tcPr>
            <w:tcW w:type="dxa" w:w="1728"/>
          </w:tcPr>
          <w:p>
            <w:r>
              <w:rPr>
                <w:sz w:val="18"/>
              </w:rPr>
              <w:t>42 (L)</w:t>
            </w:r>
          </w:p>
        </w:tc>
        <w:tc>
          <w:tcPr>
            <w:tcW w:type="dxa" w:w="1728"/>
          </w:tcPr>
          <w:p>
            <w:r>
              <w:rPr>
                <w:sz w:val="18"/>
              </w:rPr>
              <w:t>50 (L)</w:t>
            </w:r>
          </w:p>
        </w:tc>
        <w:tc>
          <w:tcPr>
            <w:tcW w:type="dxa" w:w="1728"/>
          </w:tcPr>
          <w:p>
            <w:r>
              <w:rPr>
                <w:sz w:val="18"/>
              </w:rPr>
              <w:t>56 (W)</w:t>
            </w:r>
          </w:p>
        </w:tc>
        <w:tc>
          <w:tcPr>
            <w:tcW w:type="dxa" w:w="1728"/>
          </w:tcPr>
          <w:p>
            <w:r>
              <w:rPr>
                <w:sz w:val="18"/>
              </w:rPr>
              <w:t>57 (L)</w:t>
            </w:r>
          </w:p>
        </w:tc>
      </w:tr>
      <w:tr>
        <w:tc>
          <w:tcPr>
            <w:tcW w:type="dxa" w:w="1728"/>
          </w:tcPr>
          <w:p>
            <w:r>
              <w:rPr>
                <w:sz w:val="18"/>
              </w:rPr>
              <w:t>Dengue (7165) · PCC</w:t>
            </w:r>
          </w:p>
        </w:tc>
        <w:tc>
          <w:tcPr>
            <w:tcW w:type="dxa" w:w="1728"/>
          </w:tcPr>
          <w:p>
            <w:r>
              <w:rPr>
                <w:sz w:val="18"/>
              </w:rPr>
              <w:t>0.42 (L)</w:t>
            </w:r>
          </w:p>
        </w:tc>
        <w:tc>
          <w:tcPr>
            <w:tcW w:type="dxa" w:w="1728"/>
          </w:tcPr>
          <w:p>
            <w:r>
              <w:rPr>
                <w:sz w:val="18"/>
              </w:rPr>
              <w:t>0.34 (W)</w:t>
            </w:r>
          </w:p>
        </w:tc>
        <w:tc>
          <w:tcPr>
            <w:tcW w:type="dxa" w:w="1728"/>
          </w:tcPr>
          <w:p>
            <w:r>
              <w:rPr>
                <w:sz w:val="18"/>
              </w:rPr>
              <w:t>0.20 (W)</w:t>
            </w:r>
          </w:p>
        </w:tc>
        <w:tc>
          <w:tcPr>
            <w:tcW w:type="dxa" w:w="1728"/>
          </w:tcPr>
          <w:p>
            <w:r>
              <w:rPr>
                <w:sz w:val="18"/>
              </w:rPr>
              <w:t>0.11 (W)</w:t>
            </w:r>
          </w:p>
        </w:tc>
      </w:tr>
      <w:tr>
        <w:tc>
          <w:tcPr>
            <w:tcW w:type="dxa" w:w="1728"/>
          </w:tcPr>
          <w:p>
            <w:r>
              <w:rPr>
                <w:sz w:val="18"/>
              </w:rPr>
              <w:t>Flu — Japan (47) · RMSE</w:t>
            </w:r>
          </w:p>
        </w:tc>
        <w:tc>
          <w:tcPr>
            <w:tcW w:type="dxa" w:w="1728"/>
          </w:tcPr>
          <w:p>
            <w:r>
              <w:rPr>
                <w:sz w:val="18"/>
              </w:rPr>
              <w:t>735 (L)</w:t>
            </w:r>
          </w:p>
        </w:tc>
        <w:tc>
          <w:tcPr>
            <w:tcW w:type="dxa" w:w="1728"/>
          </w:tcPr>
          <w:p>
            <w:r>
              <w:rPr>
                <w:sz w:val="18"/>
              </w:rPr>
              <w:t>841 (L)</w:t>
            </w:r>
          </w:p>
        </w:tc>
        <w:tc>
          <w:tcPr>
            <w:tcW w:type="dxa" w:w="1728"/>
          </w:tcPr>
          <w:p>
            <w:r>
              <w:rPr>
                <w:sz w:val="18"/>
              </w:rPr>
              <w:t>1063 (L)</w:t>
            </w:r>
          </w:p>
        </w:tc>
        <w:tc>
          <w:tcPr>
            <w:tcW w:type="dxa" w:w="1728"/>
          </w:tcPr>
          <w:p>
            <w:r>
              <w:rPr>
                <w:sz w:val="18"/>
              </w:rPr>
              <w:t>1031 (L)</w:t>
            </w:r>
          </w:p>
        </w:tc>
      </w:tr>
      <w:tr>
        <w:tc>
          <w:tcPr>
            <w:tcW w:type="dxa" w:w="1728"/>
          </w:tcPr>
          <w:p>
            <w:r>
              <w:rPr>
                <w:sz w:val="18"/>
              </w:rPr>
              <w:t>Flu — Japan (47) · PCC</w:t>
            </w:r>
          </w:p>
        </w:tc>
        <w:tc>
          <w:tcPr>
            <w:tcW w:type="dxa" w:w="1728"/>
          </w:tcPr>
          <w:p>
            <w:r>
              <w:rPr>
                <w:sz w:val="18"/>
              </w:rPr>
              <w:t>0.87 (L)</w:t>
            </w:r>
          </w:p>
        </w:tc>
        <w:tc>
          <w:tcPr>
            <w:tcW w:type="dxa" w:w="1728"/>
          </w:tcPr>
          <w:p>
            <w:r>
              <w:rPr>
                <w:sz w:val="18"/>
              </w:rPr>
              <w:t>0.90 (L)</w:t>
            </w:r>
          </w:p>
        </w:tc>
        <w:tc>
          <w:tcPr>
            <w:tcW w:type="dxa" w:w="1728"/>
          </w:tcPr>
          <w:p>
            <w:r>
              <w:rPr>
                <w:sz w:val="18"/>
              </w:rPr>
              <w:t>0.84 (L)</w:t>
            </w:r>
          </w:p>
        </w:tc>
        <w:tc>
          <w:tcPr>
            <w:tcW w:type="dxa" w:w="1728"/>
          </w:tcPr>
          <w:p>
            <w:r>
              <w:rPr>
                <w:sz w:val="18"/>
              </w:rPr>
              <w:t>0.84 (L)</w:t>
            </w:r>
          </w:p>
        </w:tc>
      </w:tr>
      <w:tr>
        <w:tc>
          <w:tcPr>
            <w:tcW w:type="dxa" w:w="1728"/>
          </w:tcPr>
          <w:p>
            <w:r>
              <w:rPr>
                <w:sz w:val="18"/>
              </w:rPr>
              <w:t>Flu — US regions (10) · RMSE</w:t>
            </w:r>
          </w:p>
        </w:tc>
        <w:tc>
          <w:tcPr>
            <w:tcW w:type="dxa" w:w="1728"/>
          </w:tcPr>
          <w:p>
            <w:r>
              <w:rPr>
                <w:sz w:val="18"/>
              </w:rPr>
              <w:t>613 (L)</w:t>
            </w:r>
          </w:p>
        </w:tc>
        <w:tc>
          <w:tcPr>
            <w:tcW w:type="dxa" w:w="1728"/>
          </w:tcPr>
          <w:p>
            <w:r>
              <w:rPr>
                <w:sz w:val="18"/>
              </w:rPr>
              <w:t>728 (W)</w:t>
            </w:r>
          </w:p>
        </w:tc>
        <w:tc>
          <w:tcPr>
            <w:tcW w:type="dxa" w:w="1728"/>
          </w:tcPr>
          <w:p>
            <w:r>
              <w:rPr>
                <w:sz w:val="18"/>
              </w:rPr>
              <w:t>788 (L)</w:t>
            </w:r>
          </w:p>
        </w:tc>
        <w:tc>
          <w:tcPr>
            <w:tcW w:type="dxa" w:w="1728"/>
          </w:tcPr>
          <w:p>
            <w:r>
              <w:rPr>
                <w:sz w:val="18"/>
              </w:rPr>
              <w:t>813 (L)</w:t>
            </w:r>
          </w:p>
        </w:tc>
      </w:tr>
      <w:tr>
        <w:tc>
          <w:tcPr>
            <w:tcW w:type="dxa" w:w="1728"/>
          </w:tcPr>
          <w:p>
            <w:r>
              <w:rPr>
                <w:sz w:val="18"/>
              </w:rPr>
              <w:t>Flu — US regions (10) · PCC</w:t>
            </w:r>
          </w:p>
        </w:tc>
        <w:tc>
          <w:tcPr>
            <w:tcW w:type="dxa" w:w="1728"/>
          </w:tcPr>
          <w:p>
            <w:r>
              <w:rPr>
                <w:sz w:val="18"/>
              </w:rPr>
              <w:t>0.82 (W)</w:t>
            </w:r>
          </w:p>
        </w:tc>
        <w:tc>
          <w:tcPr>
            <w:tcW w:type="dxa" w:w="1728"/>
          </w:tcPr>
          <w:p>
            <w:r>
              <w:rPr>
                <w:sz w:val="18"/>
              </w:rPr>
              <w:t>0.74 (W)</w:t>
            </w:r>
          </w:p>
        </w:tc>
        <w:tc>
          <w:tcPr>
            <w:tcW w:type="dxa" w:w="1728"/>
          </w:tcPr>
          <w:p>
            <w:r>
              <w:rPr>
                <w:sz w:val="18"/>
              </w:rPr>
              <w:t>0.70 (L)</w:t>
            </w:r>
          </w:p>
        </w:tc>
        <w:tc>
          <w:tcPr>
            <w:tcW w:type="dxa" w:w="1728"/>
          </w:tcPr>
          <w:p>
            <w:r>
              <w:rPr>
                <w:sz w:val="18"/>
              </w:rPr>
              <w:t>0.66 (L)</w:t>
            </w:r>
          </w:p>
        </w:tc>
      </w:tr>
      <w:tr>
        <w:tc>
          <w:tcPr>
            <w:tcW w:type="dxa" w:w="1728"/>
          </w:tcPr>
          <w:p>
            <w:r>
              <w:rPr>
                <w:sz w:val="18"/>
              </w:rPr>
              <w:t>Flu — US states (49) · RMSE</w:t>
            </w:r>
          </w:p>
        </w:tc>
        <w:tc>
          <w:tcPr>
            <w:tcW w:type="dxa" w:w="1728"/>
          </w:tcPr>
          <w:p>
            <w:r>
              <w:rPr>
                <w:sz w:val="18"/>
              </w:rPr>
              <w:t>113 (W)</w:t>
            </w:r>
          </w:p>
        </w:tc>
        <w:tc>
          <w:tcPr>
            <w:tcW w:type="dxa" w:w="1728"/>
          </w:tcPr>
          <w:p>
            <w:r>
              <w:rPr>
                <w:sz w:val="18"/>
              </w:rPr>
              <w:t>137 (W)</w:t>
            </w:r>
          </w:p>
        </w:tc>
        <w:tc>
          <w:tcPr>
            <w:tcW w:type="dxa" w:w="1728"/>
          </w:tcPr>
          <w:p>
            <w:r>
              <w:rPr>
                <w:sz w:val="18"/>
              </w:rPr>
              <w:t>151 (W)</w:t>
            </w:r>
          </w:p>
        </w:tc>
        <w:tc>
          <w:tcPr>
            <w:tcW w:type="dxa" w:w="1728"/>
          </w:tcPr>
          <w:p>
            <w:r>
              <w:rPr>
                <w:sz w:val="18"/>
              </w:rPr>
              <w:t>154 (W)</w:t>
            </w:r>
          </w:p>
        </w:tc>
      </w:tr>
      <w:tr>
        <w:tc>
          <w:tcPr>
            <w:tcW w:type="dxa" w:w="1728"/>
          </w:tcPr>
          <w:p>
            <w:r>
              <w:rPr>
                <w:sz w:val="18"/>
              </w:rPr>
              <w:t>Flu — US states (49) · PCC</w:t>
            </w:r>
          </w:p>
        </w:tc>
        <w:tc>
          <w:tcPr>
            <w:tcW w:type="dxa" w:w="1728"/>
          </w:tcPr>
          <w:p>
            <w:r>
              <w:rPr>
                <w:sz w:val="18"/>
              </w:rPr>
              <w:t>0.81 (W)</w:t>
            </w:r>
          </w:p>
        </w:tc>
        <w:tc>
          <w:tcPr>
            <w:tcW w:type="dxa" w:w="1728"/>
          </w:tcPr>
          <w:p>
            <w:r>
              <w:rPr>
                <w:sz w:val="18"/>
              </w:rPr>
              <w:t>0.71 (W)</w:t>
            </w:r>
          </w:p>
        </w:tc>
        <w:tc>
          <w:tcPr>
            <w:tcW w:type="dxa" w:w="1728"/>
          </w:tcPr>
          <w:p>
            <w:r>
              <w:rPr>
                <w:sz w:val="18"/>
              </w:rPr>
              <w:t>0.64 (W)</w:t>
            </w:r>
          </w:p>
        </w:tc>
        <w:tc>
          <w:tcPr>
            <w:tcW w:type="dxa" w:w="1728"/>
          </w:tcPr>
          <w:p>
            <w:r>
              <w:rPr>
                <w:sz w:val="18"/>
              </w:rPr>
              <w:t>0.64 (W)</w:t>
            </w:r>
          </w:p>
        </w:tc>
      </w:tr>
    </w:tbl>
    <w:p>
      <w:pPr>
        <w:spacing w:after="40"/>
      </w:pPr>
    </w:p>
    <w:p>
      <w:pPr>
        <w:spacing w:after="120"/>
      </w:pPr>
      <w:r>
        <w:rPr>
          <w:i w:val="0"/>
        </w:rPr>
        <w:t>The read: US-states is a clean win — beats every simple baseline at every horizon on both error and correlation (PCC 0.81→0.64 across horizons vs baseline ~0.5). Dengue is the classic case: at 3 weeks 'copy last week' is almost unbeatable so we lose near-term, but we win at the far horizons where that trick collapses. Flu-Japan loses across the board — not because it ignores seasonality (the feasibility check proves it uses it), but because our 20-week memory can't reach last year's peak height, which 'copy last year' gets for free. US-regions (10 regions) is noisy and lands mixed. Temporally we're strongest at longer horizons (except Japan); spatially, correlation is solid-to-strong on the flu sets (0.64–0.90).</w:t>
      </w:r>
    </w:p>
    <w:p>
      <w:pPr>
        <w:pStyle w:val="Heading1"/>
      </w:pPr>
      <w:r>
        <w:t>2. Joint training (all diseases at once)</w:t>
      </w:r>
    </w:p>
    <w:p>
      <w:pPr>
        <w:spacing w:after="120"/>
      </w:pPr>
      <w:r>
        <w:rPr>
          <w:i w:val="0"/>
        </w:rPr>
        <w:t>What it is: one shared model trained on all four diseases together, hoping they help each other. 5-seed average. Each cell = change vs the single-disease model (positive = joint is better).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Dataset (regions) / metric</w:t>
            </w:r>
          </w:p>
        </w:tc>
        <w:tc>
          <w:tcPr>
            <w:tcW w:type="dxa" w:w="1728"/>
          </w:tcPr>
          <w:p>
            <w:r>
              <w:rPr>
                <w:b/>
                <w:sz w:val="18"/>
              </w:rPr>
              <w:t>h3</w:t>
            </w:r>
          </w:p>
        </w:tc>
        <w:tc>
          <w:tcPr>
            <w:tcW w:type="dxa" w:w="1728"/>
          </w:tcPr>
          <w:p>
            <w:r>
              <w:rPr>
                <w:b/>
                <w:sz w:val="18"/>
              </w:rPr>
              <w:t>h5</w:t>
            </w:r>
          </w:p>
        </w:tc>
        <w:tc>
          <w:tcPr>
            <w:tcW w:type="dxa" w:w="1728"/>
          </w:tcPr>
          <w:p>
            <w:r>
              <w:rPr>
                <w:b/>
                <w:sz w:val="18"/>
              </w:rPr>
              <w:t>h10</w:t>
            </w:r>
          </w:p>
        </w:tc>
        <w:tc>
          <w:tcPr>
            <w:tcW w:type="dxa" w:w="1728"/>
          </w:tcPr>
          <w:p>
            <w:r>
              <w:rPr>
                <w:b/>
                <w:sz w:val="18"/>
              </w:rPr>
              <w:t>h15</w:t>
            </w:r>
          </w:p>
        </w:tc>
      </w:tr>
      <w:tr>
        <w:tc>
          <w:tcPr>
            <w:tcW w:type="dxa" w:w="1728"/>
          </w:tcPr>
          <w:p>
            <w:r>
              <w:rPr>
                <w:sz w:val="18"/>
              </w:rPr>
              <w:t>Dengue (7165) · RMSE</w:t>
            </w:r>
          </w:p>
        </w:tc>
        <w:tc>
          <w:tcPr>
            <w:tcW w:type="dxa" w:w="1728"/>
          </w:tcPr>
          <w:p>
            <w:r>
              <w:rPr>
                <w:sz w:val="18"/>
              </w:rPr>
              <w:t>-1%</w:t>
            </w:r>
          </w:p>
        </w:tc>
        <w:tc>
          <w:tcPr>
            <w:tcW w:type="dxa" w:w="1728"/>
          </w:tcPr>
          <w:p>
            <w:r>
              <w:rPr>
                <w:sz w:val="18"/>
              </w:rPr>
              <w:t>+0%</w:t>
            </w:r>
          </w:p>
        </w:tc>
        <w:tc>
          <w:tcPr>
            <w:tcW w:type="dxa" w:w="1728"/>
          </w:tcPr>
          <w:p>
            <w:r>
              <w:rPr>
                <w:sz w:val="18"/>
              </w:rPr>
              <w:t>+0%</w:t>
            </w:r>
          </w:p>
        </w:tc>
        <w:tc>
          <w:tcPr>
            <w:tcW w:type="dxa" w:w="1728"/>
          </w:tcPr>
          <w:p>
            <w:r>
              <w:rPr>
                <w:sz w:val="18"/>
              </w:rPr>
              <w:t>-1%</w:t>
            </w:r>
          </w:p>
        </w:tc>
      </w:tr>
      <w:tr>
        <w:tc>
          <w:tcPr>
            <w:tcW w:type="dxa" w:w="1728"/>
          </w:tcPr>
          <w:p>
            <w:r>
              <w:rPr>
                <w:sz w:val="18"/>
              </w:rPr>
              <w:t>Dengue (7165) · PCC</w:t>
            </w:r>
          </w:p>
        </w:tc>
        <w:tc>
          <w:tcPr>
            <w:tcW w:type="dxa" w:w="1728"/>
          </w:tcPr>
          <w:p>
            <w:r>
              <w:rPr>
                <w:sz w:val="18"/>
              </w:rPr>
              <w:t>+3%</w:t>
            </w:r>
          </w:p>
        </w:tc>
        <w:tc>
          <w:tcPr>
            <w:tcW w:type="dxa" w:w="1728"/>
          </w:tcPr>
          <w:p>
            <w:r>
              <w:rPr>
                <w:sz w:val="18"/>
              </w:rPr>
              <w:t>-6%</w:t>
            </w:r>
          </w:p>
        </w:tc>
        <w:tc>
          <w:tcPr>
            <w:tcW w:type="dxa" w:w="1728"/>
          </w:tcPr>
          <w:p>
            <w:r>
              <w:rPr>
                <w:sz w:val="18"/>
              </w:rPr>
              <w:t>-1%</w:t>
            </w:r>
          </w:p>
        </w:tc>
        <w:tc>
          <w:tcPr>
            <w:tcW w:type="dxa" w:w="1728"/>
          </w:tcPr>
          <w:p>
            <w:r>
              <w:rPr>
                <w:sz w:val="18"/>
              </w:rPr>
              <w:t>-8%</w:t>
            </w:r>
          </w:p>
        </w:tc>
      </w:tr>
      <w:tr>
        <w:tc>
          <w:tcPr>
            <w:tcW w:type="dxa" w:w="1728"/>
          </w:tcPr>
          <w:p>
            <w:r>
              <w:rPr>
                <w:sz w:val="18"/>
              </w:rPr>
              <w:t>Flu — Japan (47) · RMSE</w:t>
            </w:r>
          </w:p>
        </w:tc>
        <w:tc>
          <w:tcPr>
            <w:tcW w:type="dxa" w:w="1728"/>
          </w:tcPr>
          <w:p>
            <w:r>
              <w:rPr>
                <w:sz w:val="18"/>
              </w:rPr>
              <w:t>-6%</w:t>
            </w:r>
          </w:p>
        </w:tc>
        <w:tc>
          <w:tcPr>
            <w:tcW w:type="dxa" w:w="1728"/>
          </w:tcPr>
          <w:p>
            <w:r>
              <w:rPr>
                <w:sz w:val="18"/>
              </w:rPr>
              <w:t>-4%</w:t>
            </w:r>
          </w:p>
        </w:tc>
        <w:tc>
          <w:tcPr>
            <w:tcW w:type="dxa" w:w="1728"/>
          </w:tcPr>
          <w:p>
            <w:r>
              <w:rPr>
                <w:sz w:val="18"/>
              </w:rPr>
              <w:t>-4%</w:t>
            </w:r>
          </w:p>
        </w:tc>
        <w:tc>
          <w:tcPr>
            <w:tcW w:type="dxa" w:w="1728"/>
          </w:tcPr>
          <w:p>
            <w:r>
              <w:rPr>
                <w:sz w:val="18"/>
              </w:rPr>
              <w:t>-18%</w:t>
            </w:r>
          </w:p>
        </w:tc>
      </w:tr>
      <w:tr>
        <w:tc>
          <w:tcPr>
            <w:tcW w:type="dxa" w:w="1728"/>
          </w:tcPr>
          <w:p>
            <w:r>
              <w:rPr>
                <w:sz w:val="18"/>
              </w:rPr>
              <w:t>Flu — Japan (47) · PCC</w:t>
            </w:r>
          </w:p>
        </w:tc>
        <w:tc>
          <w:tcPr>
            <w:tcW w:type="dxa" w:w="1728"/>
          </w:tcPr>
          <w:p>
            <w:r>
              <w:rPr>
                <w:sz w:val="18"/>
              </w:rPr>
              <w:t>-5%</w:t>
            </w:r>
          </w:p>
        </w:tc>
        <w:tc>
          <w:tcPr>
            <w:tcW w:type="dxa" w:w="1728"/>
          </w:tcPr>
          <w:p>
            <w:r>
              <w:rPr>
                <w:sz w:val="18"/>
              </w:rPr>
              <w:t>-4%</w:t>
            </w:r>
          </w:p>
        </w:tc>
        <w:tc>
          <w:tcPr>
            <w:tcW w:type="dxa" w:w="1728"/>
          </w:tcPr>
          <w:p>
            <w:r>
              <w:rPr>
                <w:sz w:val="18"/>
              </w:rPr>
              <w:t>-2%</w:t>
            </w:r>
          </w:p>
        </w:tc>
        <w:tc>
          <w:tcPr>
            <w:tcW w:type="dxa" w:w="1728"/>
          </w:tcPr>
          <w:p>
            <w:r>
              <w:rPr>
                <w:sz w:val="18"/>
              </w:rPr>
              <w:t>-2%</w:t>
            </w:r>
          </w:p>
        </w:tc>
      </w:tr>
      <w:tr>
        <w:tc>
          <w:tcPr>
            <w:tcW w:type="dxa" w:w="1728"/>
          </w:tcPr>
          <w:p>
            <w:r>
              <w:rPr>
                <w:sz w:val="18"/>
              </w:rPr>
              <w:t>Flu — US regions (10) · RMSE</w:t>
            </w:r>
          </w:p>
        </w:tc>
        <w:tc>
          <w:tcPr>
            <w:tcW w:type="dxa" w:w="1728"/>
          </w:tcPr>
          <w:p>
            <w:r>
              <w:rPr>
                <w:sz w:val="18"/>
              </w:rPr>
              <w:t>+1%</w:t>
            </w:r>
          </w:p>
        </w:tc>
        <w:tc>
          <w:tcPr>
            <w:tcW w:type="dxa" w:w="1728"/>
          </w:tcPr>
          <w:p>
            <w:r>
              <w:rPr>
                <w:sz w:val="18"/>
              </w:rPr>
              <w:t>-1%</w:t>
            </w:r>
          </w:p>
        </w:tc>
        <w:tc>
          <w:tcPr>
            <w:tcW w:type="dxa" w:w="1728"/>
          </w:tcPr>
          <w:p>
            <w:r>
              <w:rPr>
                <w:sz w:val="18"/>
              </w:rPr>
              <w:t>-8%</w:t>
            </w:r>
          </w:p>
        </w:tc>
        <w:tc>
          <w:tcPr>
            <w:tcW w:type="dxa" w:w="1728"/>
          </w:tcPr>
          <w:p>
            <w:r>
              <w:rPr>
                <w:sz w:val="18"/>
              </w:rPr>
              <w:t>-11%</w:t>
            </w:r>
          </w:p>
        </w:tc>
      </w:tr>
      <w:tr>
        <w:tc>
          <w:tcPr>
            <w:tcW w:type="dxa" w:w="1728"/>
          </w:tcPr>
          <w:p>
            <w:r>
              <w:rPr>
                <w:sz w:val="18"/>
              </w:rPr>
              <w:t>Flu — US regions (10) · PCC</w:t>
            </w:r>
          </w:p>
        </w:tc>
        <w:tc>
          <w:tcPr>
            <w:tcW w:type="dxa" w:w="1728"/>
          </w:tcPr>
          <w:p>
            <w:r>
              <w:rPr>
                <w:sz w:val="18"/>
              </w:rPr>
              <w:t>-1%</w:t>
            </w:r>
          </w:p>
        </w:tc>
        <w:tc>
          <w:tcPr>
            <w:tcW w:type="dxa" w:w="1728"/>
          </w:tcPr>
          <w:p>
            <w:r>
              <w:rPr>
                <w:sz w:val="18"/>
              </w:rPr>
              <w:t>-5%</w:t>
            </w:r>
          </w:p>
        </w:tc>
        <w:tc>
          <w:tcPr>
            <w:tcW w:type="dxa" w:w="1728"/>
          </w:tcPr>
          <w:p>
            <w:r>
              <w:rPr>
                <w:sz w:val="18"/>
              </w:rPr>
              <w:t>-14%</w:t>
            </w:r>
          </w:p>
        </w:tc>
        <w:tc>
          <w:tcPr>
            <w:tcW w:type="dxa" w:w="1728"/>
          </w:tcPr>
          <w:p>
            <w:r>
              <w:rPr>
                <w:sz w:val="18"/>
              </w:rPr>
              <w:t>-21%</w:t>
            </w:r>
          </w:p>
        </w:tc>
      </w:tr>
      <w:tr>
        <w:tc>
          <w:tcPr>
            <w:tcW w:type="dxa" w:w="1728"/>
          </w:tcPr>
          <w:p>
            <w:r>
              <w:rPr>
                <w:sz w:val="18"/>
              </w:rPr>
              <w:t>Flu — US states (49) · RMSE</w:t>
            </w:r>
          </w:p>
        </w:tc>
        <w:tc>
          <w:tcPr>
            <w:tcW w:type="dxa" w:w="1728"/>
          </w:tcPr>
          <w:p>
            <w:r>
              <w:rPr>
                <w:sz w:val="18"/>
              </w:rPr>
              <w:t>+1%</w:t>
            </w:r>
          </w:p>
        </w:tc>
        <w:tc>
          <w:tcPr>
            <w:tcW w:type="dxa" w:w="1728"/>
          </w:tcPr>
          <w:p>
            <w:r>
              <w:rPr>
                <w:sz w:val="18"/>
              </w:rPr>
              <w:t>+1%</w:t>
            </w:r>
          </w:p>
        </w:tc>
        <w:tc>
          <w:tcPr>
            <w:tcW w:type="dxa" w:w="1728"/>
          </w:tcPr>
          <w:p>
            <w:r>
              <w:rPr>
                <w:sz w:val="18"/>
              </w:rPr>
              <w:t>+0%</w:t>
            </w:r>
          </w:p>
        </w:tc>
        <w:tc>
          <w:tcPr>
            <w:tcW w:type="dxa" w:w="1728"/>
          </w:tcPr>
          <w:p>
            <w:r>
              <w:rPr>
                <w:sz w:val="18"/>
              </w:rPr>
              <w:t>-1%</w:t>
            </w:r>
          </w:p>
        </w:tc>
      </w:tr>
      <w:tr>
        <w:tc>
          <w:tcPr>
            <w:tcW w:type="dxa" w:w="1728"/>
          </w:tcPr>
          <w:p>
            <w:r>
              <w:rPr>
                <w:sz w:val="18"/>
              </w:rPr>
              <w:t>Flu — US states (49) · PCC</w:t>
            </w:r>
          </w:p>
        </w:tc>
        <w:tc>
          <w:tcPr>
            <w:tcW w:type="dxa" w:w="1728"/>
          </w:tcPr>
          <w:p>
            <w:r>
              <w:rPr>
                <w:sz w:val="18"/>
              </w:rPr>
              <w:t>-1%</w:t>
            </w:r>
          </w:p>
        </w:tc>
        <w:tc>
          <w:tcPr>
            <w:tcW w:type="dxa" w:w="1728"/>
          </w:tcPr>
          <w:p>
            <w:r>
              <w:rPr>
                <w:sz w:val="18"/>
              </w:rPr>
              <w:t>+1%</w:t>
            </w:r>
          </w:p>
        </w:tc>
        <w:tc>
          <w:tcPr>
            <w:tcW w:type="dxa" w:w="1728"/>
          </w:tcPr>
          <w:p>
            <w:r>
              <w:rPr>
                <w:sz w:val="18"/>
              </w:rPr>
              <w:t>+1%</w:t>
            </w:r>
          </w:p>
        </w:tc>
        <w:tc>
          <w:tcPr>
            <w:tcW w:type="dxa" w:w="1728"/>
          </w:tcPr>
          <w:p>
            <w:r>
              <w:rPr>
                <w:sz w:val="18"/>
              </w:rPr>
              <w:t>+2%</w:t>
            </w:r>
          </w:p>
        </w:tc>
      </w:tr>
    </w:tbl>
    <w:p>
      <w:pPr>
        <w:spacing w:after="40"/>
      </w:pPr>
    </w:p>
    <w:p>
      <w:pPr>
        <w:spacing w:after="120"/>
      </w:pPr>
      <w:r>
        <w:rPr>
          <w:i w:val="0"/>
        </w:rPr>
        <w:t>The read: training everything together did not help — and it hurt the two smallest datasets (Japan and US-regions), worst at the far horizons (Japan h15 −18%, US-regions h15 −11% on RMSE). The cause is lopsided data: dengue is ~98% of all training examples, so the shared model becomes a dengue model that merely glanced at flu. Dengue and US-states barely move; the small sets get squeezed. Short version: throwing all diseases into one pot is not the way.</w:t>
      </w:r>
    </w:p>
    <w:p>
      <w:pPr>
        <w:pStyle w:val="Heading1"/>
      </w:pPr>
      <w:r>
        <w:t>3. Transfer training (LODO — the emerging-disease scenario)</w:t>
      </w:r>
    </w:p>
    <w:p>
      <w:pPr>
        <w:spacing w:after="120"/>
      </w:pPr>
      <w:r>
        <w:rPr>
          <w:i w:val="0"/>
        </w:rPr>
        <w:t>What it is: this mimics a brand-new outbreak. We train the shared engine on 3 diseases, freeze it, then fit a tiny add-on (adapter) to the 4th disease it never saw — the stand-in for Ebola. One seed so far, so treat as directional. Each cell = our value and (change vs the model trained on that disease itself).</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Dataset (regions) / metric</w:t>
            </w:r>
          </w:p>
        </w:tc>
        <w:tc>
          <w:tcPr>
            <w:tcW w:type="dxa" w:w="1728"/>
          </w:tcPr>
          <w:p>
            <w:r>
              <w:rPr>
                <w:b/>
                <w:sz w:val="18"/>
              </w:rPr>
              <w:t>h3</w:t>
            </w:r>
          </w:p>
        </w:tc>
        <w:tc>
          <w:tcPr>
            <w:tcW w:type="dxa" w:w="1728"/>
          </w:tcPr>
          <w:p>
            <w:r>
              <w:rPr>
                <w:b/>
                <w:sz w:val="18"/>
              </w:rPr>
              <w:t>h5</w:t>
            </w:r>
          </w:p>
        </w:tc>
        <w:tc>
          <w:tcPr>
            <w:tcW w:type="dxa" w:w="1728"/>
          </w:tcPr>
          <w:p>
            <w:r>
              <w:rPr>
                <w:b/>
                <w:sz w:val="18"/>
              </w:rPr>
              <w:t>h10</w:t>
            </w:r>
          </w:p>
        </w:tc>
        <w:tc>
          <w:tcPr>
            <w:tcW w:type="dxa" w:w="1728"/>
          </w:tcPr>
          <w:p>
            <w:r>
              <w:rPr>
                <w:b/>
                <w:sz w:val="18"/>
              </w:rPr>
              <w:t>h15</w:t>
            </w:r>
          </w:p>
        </w:tc>
      </w:tr>
      <w:tr>
        <w:tc>
          <w:tcPr>
            <w:tcW w:type="dxa" w:w="1728"/>
          </w:tcPr>
          <w:p>
            <w:r>
              <w:rPr>
                <w:sz w:val="18"/>
              </w:rPr>
              <w:t>Dengue (7165) · RMSE</w:t>
            </w:r>
          </w:p>
        </w:tc>
        <w:tc>
          <w:tcPr>
            <w:tcW w:type="dxa" w:w="1728"/>
          </w:tcPr>
          <w:p>
            <w:r>
              <w:rPr>
                <w:sz w:val="18"/>
              </w:rPr>
              <w:t>49 (+3%)</w:t>
            </w:r>
          </w:p>
        </w:tc>
        <w:tc>
          <w:tcPr>
            <w:tcW w:type="dxa" w:w="1728"/>
          </w:tcPr>
          <w:p>
            <w:r>
              <w:rPr>
                <w:sz w:val="18"/>
              </w:rPr>
              <w:t>53 (+6%)</w:t>
            </w:r>
          </w:p>
        </w:tc>
        <w:tc>
          <w:tcPr>
            <w:tcW w:type="dxa" w:w="1728"/>
          </w:tcPr>
          <w:p>
            <w:r>
              <w:rPr>
                <w:sz w:val="18"/>
              </w:rPr>
              <w:t>57 (-1%)</w:t>
            </w:r>
          </w:p>
        </w:tc>
        <w:tc>
          <w:tcPr>
            <w:tcW w:type="dxa" w:w="1728"/>
          </w:tcPr>
          <w:p>
            <w:r>
              <w:rPr>
                <w:sz w:val="18"/>
              </w:rPr>
              <w:t>58 (-2%)</w:t>
            </w:r>
          </w:p>
        </w:tc>
      </w:tr>
      <w:tr>
        <w:tc>
          <w:tcPr>
            <w:tcW w:type="dxa" w:w="1728"/>
          </w:tcPr>
          <w:p>
            <w:r>
              <w:rPr>
                <w:sz w:val="18"/>
              </w:rPr>
              <w:t>Dengue (7165) · PCC</w:t>
            </w:r>
          </w:p>
        </w:tc>
        <w:tc>
          <w:tcPr>
            <w:tcW w:type="dxa" w:w="1728"/>
          </w:tcPr>
          <w:p>
            <w:r>
              <w:rPr>
                <w:sz w:val="18"/>
              </w:rPr>
              <w:t>0.42 (+1%)</w:t>
            </w:r>
          </w:p>
        </w:tc>
        <w:tc>
          <w:tcPr>
            <w:tcW w:type="dxa" w:w="1728"/>
          </w:tcPr>
          <w:p>
            <w:r>
              <w:rPr>
                <w:sz w:val="18"/>
              </w:rPr>
              <w:t>0.32 (-7%)</w:t>
            </w:r>
          </w:p>
        </w:tc>
        <w:tc>
          <w:tcPr>
            <w:tcW w:type="dxa" w:w="1728"/>
          </w:tcPr>
          <w:p>
            <w:r>
              <w:rPr>
                <w:sz w:val="18"/>
              </w:rPr>
              <w:t>0.18 (-16%)</w:t>
            </w:r>
          </w:p>
        </w:tc>
        <w:tc>
          <w:tcPr>
            <w:tcW w:type="dxa" w:w="1728"/>
          </w:tcPr>
          <w:p>
            <w:r>
              <w:rPr>
                <w:sz w:val="18"/>
              </w:rPr>
              <w:t>0.09 (-22%)</w:t>
            </w:r>
          </w:p>
        </w:tc>
      </w:tr>
      <w:tr>
        <w:tc>
          <w:tcPr>
            <w:tcW w:type="dxa" w:w="1728"/>
          </w:tcPr>
          <w:p>
            <w:r>
              <w:rPr>
                <w:sz w:val="18"/>
              </w:rPr>
              <w:t>Flu — Japan (47) · RMSE</w:t>
            </w:r>
          </w:p>
        </w:tc>
        <w:tc>
          <w:tcPr>
            <w:tcW w:type="dxa" w:w="1728"/>
          </w:tcPr>
          <w:p>
            <w:r>
              <w:rPr>
                <w:sz w:val="18"/>
              </w:rPr>
              <w:t>563 (+24%)</w:t>
            </w:r>
          </w:p>
        </w:tc>
        <w:tc>
          <w:tcPr>
            <w:tcW w:type="dxa" w:w="1728"/>
          </w:tcPr>
          <w:p>
            <w:r>
              <w:rPr>
                <w:sz w:val="18"/>
              </w:rPr>
              <w:t>779 (+4%)</w:t>
            </w:r>
          </w:p>
        </w:tc>
        <w:tc>
          <w:tcPr>
            <w:tcW w:type="dxa" w:w="1728"/>
          </w:tcPr>
          <w:p>
            <w:r>
              <w:rPr>
                <w:sz w:val="18"/>
              </w:rPr>
              <w:t>1290 (-25%)</w:t>
            </w:r>
          </w:p>
        </w:tc>
        <w:tc>
          <w:tcPr>
            <w:tcW w:type="dxa" w:w="1728"/>
          </w:tcPr>
          <w:p>
            <w:r>
              <w:rPr>
                <w:sz w:val="18"/>
              </w:rPr>
              <w:t>1304 (-23%)</w:t>
            </w:r>
          </w:p>
        </w:tc>
      </w:tr>
      <w:tr>
        <w:tc>
          <w:tcPr>
            <w:tcW w:type="dxa" w:w="1728"/>
          </w:tcPr>
          <w:p>
            <w:r>
              <w:rPr>
                <w:sz w:val="18"/>
              </w:rPr>
              <w:t>Flu — Japan (47) · PCC</w:t>
            </w:r>
          </w:p>
        </w:tc>
        <w:tc>
          <w:tcPr>
            <w:tcW w:type="dxa" w:w="1728"/>
          </w:tcPr>
          <w:p>
            <w:r>
              <w:rPr>
                <w:sz w:val="18"/>
              </w:rPr>
              <w:t>0.91 (+4%)</w:t>
            </w:r>
          </w:p>
        </w:tc>
        <w:tc>
          <w:tcPr>
            <w:tcW w:type="dxa" w:w="1728"/>
          </w:tcPr>
          <w:p>
            <w:r>
              <w:rPr>
                <w:sz w:val="18"/>
              </w:rPr>
              <w:t>0.93 (+4%)</w:t>
            </w:r>
          </w:p>
        </w:tc>
        <w:tc>
          <w:tcPr>
            <w:tcW w:type="dxa" w:w="1728"/>
          </w:tcPr>
          <w:p>
            <w:r>
              <w:rPr>
                <w:sz w:val="18"/>
              </w:rPr>
              <w:t>0.79 (-6%)</w:t>
            </w:r>
          </w:p>
        </w:tc>
        <w:tc>
          <w:tcPr>
            <w:tcW w:type="dxa" w:w="1728"/>
          </w:tcPr>
          <w:p>
            <w:r>
              <w:rPr>
                <w:sz w:val="18"/>
              </w:rPr>
              <w:t>0.75 (-9%)</w:t>
            </w:r>
          </w:p>
        </w:tc>
      </w:tr>
      <w:tr>
        <w:tc>
          <w:tcPr>
            <w:tcW w:type="dxa" w:w="1728"/>
          </w:tcPr>
          <w:p>
            <w:r>
              <w:rPr>
                <w:sz w:val="18"/>
              </w:rPr>
              <w:t>Flu — US regions (10) · RMSE</w:t>
            </w:r>
          </w:p>
        </w:tc>
        <w:tc>
          <w:tcPr>
            <w:tcW w:type="dxa" w:w="1728"/>
          </w:tcPr>
          <w:p>
            <w:r>
              <w:rPr>
                <w:sz w:val="18"/>
              </w:rPr>
              <w:t>553 (+20%)</w:t>
            </w:r>
          </w:p>
        </w:tc>
        <w:tc>
          <w:tcPr>
            <w:tcW w:type="dxa" w:w="1728"/>
          </w:tcPr>
          <w:p>
            <w:r>
              <w:rPr>
                <w:sz w:val="18"/>
              </w:rPr>
              <w:t>599 (+28%)</w:t>
            </w:r>
          </w:p>
        </w:tc>
        <w:tc>
          <w:tcPr>
            <w:tcW w:type="dxa" w:w="1728"/>
          </w:tcPr>
          <w:p>
            <w:r>
              <w:rPr>
                <w:sz w:val="18"/>
              </w:rPr>
              <w:t>756 (+2%)</w:t>
            </w:r>
          </w:p>
        </w:tc>
        <w:tc>
          <w:tcPr>
            <w:tcW w:type="dxa" w:w="1728"/>
          </w:tcPr>
          <w:p>
            <w:r>
              <w:rPr>
                <w:sz w:val="18"/>
              </w:rPr>
              <w:t>836 (-1%)</w:t>
            </w:r>
          </w:p>
        </w:tc>
      </w:tr>
      <w:tr>
        <w:tc>
          <w:tcPr>
            <w:tcW w:type="dxa" w:w="1728"/>
          </w:tcPr>
          <w:p>
            <w:r>
              <w:rPr>
                <w:sz w:val="18"/>
              </w:rPr>
              <w:t>Flu — US regions (10) · PCC</w:t>
            </w:r>
          </w:p>
        </w:tc>
        <w:tc>
          <w:tcPr>
            <w:tcW w:type="dxa" w:w="1728"/>
          </w:tcPr>
          <w:p>
            <w:r>
              <w:rPr>
                <w:sz w:val="18"/>
              </w:rPr>
              <w:t>0.87 (+8%)</w:t>
            </w:r>
          </w:p>
        </w:tc>
        <w:tc>
          <w:tcPr>
            <w:tcW w:type="dxa" w:w="1728"/>
          </w:tcPr>
          <w:p>
            <w:r>
              <w:rPr>
                <w:sz w:val="18"/>
              </w:rPr>
              <w:t>0.80 (+16%)</w:t>
            </w:r>
          </w:p>
        </w:tc>
        <w:tc>
          <w:tcPr>
            <w:tcW w:type="dxa" w:w="1728"/>
          </w:tcPr>
          <w:p>
            <w:r>
              <w:rPr>
                <w:sz w:val="18"/>
              </w:rPr>
              <w:t>0.66 (-4%)</w:t>
            </w:r>
          </w:p>
        </w:tc>
        <w:tc>
          <w:tcPr>
            <w:tcW w:type="dxa" w:w="1728"/>
          </w:tcPr>
          <w:p>
            <w:r>
              <w:rPr>
                <w:sz w:val="18"/>
              </w:rPr>
              <w:t>0.62 (-3%)</w:t>
            </w:r>
          </w:p>
        </w:tc>
      </w:tr>
      <w:tr>
        <w:tc>
          <w:tcPr>
            <w:tcW w:type="dxa" w:w="1728"/>
          </w:tcPr>
          <w:p>
            <w:r>
              <w:rPr>
                <w:sz w:val="18"/>
              </w:rPr>
              <w:t>Flu — US states (49) · RMSE</w:t>
            </w:r>
          </w:p>
        </w:tc>
        <w:tc>
          <w:tcPr>
            <w:tcW w:type="dxa" w:w="1728"/>
          </w:tcPr>
          <w:p>
            <w:r>
              <w:rPr>
                <w:sz w:val="18"/>
              </w:rPr>
              <w:t>112 (+6%)</w:t>
            </w:r>
          </w:p>
        </w:tc>
        <w:tc>
          <w:tcPr>
            <w:tcW w:type="dxa" w:w="1728"/>
          </w:tcPr>
          <w:p>
            <w:r>
              <w:rPr>
                <w:sz w:val="18"/>
              </w:rPr>
              <w:t>135 (+4%)</w:t>
            </w:r>
          </w:p>
        </w:tc>
        <w:tc>
          <w:tcPr>
            <w:tcW w:type="dxa" w:w="1728"/>
          </w:tcPr>
          <w:p>
            <w:r>
              <w:rPr>
                <w:sz w:val="18"/>
              </w:rPr>
              <w:t>153 (-0%)</w:t>
            </w:r>
          </w:p>
        </w:tc>
        <w:tc>
          <w:tcPr>
            <w:tcW w:type="dxa" w:w="1728"/>
          </w:tcPr>
          <w:p>
            <w:r>
              <w:rPr>
                <w:sz w:val="18"/>
              </w:rPr>
              <w:t>156 (-4%)</w:t>
            </w:r>
          </w:p>
        </w:tc>
      </w:tr>
      <w:tr>
        <w:tc>
          <w:tcPr>
            <w:tcW w:type="dxa" w:w="1728"/>
          </w:tcPr>
          <w:p>
            <w:r>
              <w:rPr>
                <w:sz w:val="18"/>
              </w:rPr>
              <w:t>Flu — US states (49) · PCC</w:t>
            </w:r>
          </w:p>
        </w:tc>
        <w:tc>
          <w:tcPr>
            <w:tcW w:type="dxa" w:w="1728"/>
          </w:tcPr>
          <w:p>
            <w:r>
              <w:rPr>
                <w:sz w:val="18"/>
              </w:rPr>
              <w:t>0.79 (-3%)</w:t>
            </w:r>
          </w:p>
        </w:tc>
        <w:tc>
          <w:tcPr>
            <w:tcW w:type="dxa" w:w="1728"/>
          </w:tcPr>
          <w:p>
            <w:r>
              <w:rPr>
                <w:sz w:val="18"/>
              </w:rPr>
              <w:t>0.73 (+6%)</w:t>
            </w:r>
          </w:p>
        </w:tc>
        <w:tc>
          <w:tcPr>
            <w:tcW w:type="dxa" w:w="1728"/>
          </w:tcPr>
          <w:p>
            <w:r>
              <w:rPr>
                <w:sz w:val="18"/>
              </w:rPr>
              <w:t>0.64 (-1%)</w:t>
            </w:r>
          </w:p>
        </w:tc>
        <w:tc>
          <w:tcPr>
            <w:tcW w:type="dxa" w:w="1728"/>
          </w:tcPr>
          <w:p>
            <w:r>
              <w:rPr>
                <w:sz w:val="18"/>
              </w:rPr>
              <w:t>0.67 (-0%)</w:t>
            </w:r>
          </w:p>
        </w:tc>
      </w:tr>
    </w:tbl>
    <w:p>
      <w:pPr>
        <w:spacing w:after="40"/>
      </w:pPr>
    </w:p>
    <w:p>
      <w:pPr>
        <w:spacing w:after="120"/>
      </w:pPr>
      <w:r>
        <w:rPr>
          <w:i w:val="0"/>
        </w:rPr>
        <w:t>The read — this is the surprising one. Near-term (3–5 weeks) the transferred model actually BEATS the model trained on the disease itself, and the boost is biggest on the smallest datasets: US-regions +20–28%, Japan +24% on RMSE. Japan and US-regions — which lost to the simple baselines on their own — reach or beat them once they borrow the shared engine. In plain terms: a model that never saw the disease, plus a small add-on, beats a model built from scratch on that disease, exactly in the low-data situation an emerging outbreak lives in. The catch: at far horizons (10–15 weeks) transfer does worse, and this is a single seed. Spatially, correlation also improves near-term for the small sets (+8–16%).</w:t>
      </w:r>
    </w:p>
    <w:p>
      <w:pPr>
        <w:spacing w:after="120"/>
      </w:pPr>
      <w:r>
        <w:rPr>
          <w:i/>
        </w:rPr>
        <w:t>Why this looks opposite to run 2: run 2 forces all diseases to share one model while training (they fight over it); run 3 freezes a general engine and gives each disease its own small add-on (no fight). Freeze-then-adapt is also exactly how the Ebola step will work.</w:t>
      </w:r>
    </w:p>
    <w:p>
      <w:pPr>
        <w:pStyle w:val="Heading1"/>
      </w:pPr>
      <w:r>
        <w:t>Spatial view — is the region-to-region graph doing anything?</w:t>
      </w:r>
    </w:p>
    <w:p>
      <w:pPr>
        <w:spacing w:after="120"/>
      </w:pPr>
      <w:r>
        <w:rPr>
          <w:i w:val="0"/>
        </w:rPr>
        <w:t>The model has a learned 'gate' deciding how much to use the map of which regions border which. Gate near 0 = ignoring the map; higher = using it. It's on for every dataset (nothing switched off), so the spatial part contributes — mostly by carrying timing between neighbouring regions.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Dataset</w:t>
            </w:r>
          </w:p>
        </w:tc>
        <w:tc>
          <w:tcPr>
            <w:tcW w:type="dxa" w:w="2160"/>
          </w:tcPr>
          <w:p>
            <w:r>
              <w:rPr>
                <w:b/>
                <w:sz w:val="18"/>
              </w:rPr>
              <w:t>Regions</w:t>
            </w:r>
          </w:p>
        </w:tc>
        <w:tc>
          <w:tcPr>
            <w:tcW w:type="dxa" w:w="2160"/>
          </w:tcPr>
          <w:p>
            <w:r>
              <w:rPr>
                <w:b/>
                <w:sz w:val="18"/>
              </w:rPr>
              <w:t>Gate (0–1, higher = more graph)</w:t>
            </w:r>
          </w:p>
        </w:tc>
        <w:tc>
          <w:tcPr>
            <w:tcW w:type="dxa" w:w="2160"/>
          </w:tcPr>
          <w:p>
            <w:r>
              <w:rPr>
                <w:b/>
                <w:sz w:val="18"/>
              </w:rPr>
              <w:t>Spatial contribution</w:t>
            </w:r>
          </w:p>
        </w:tc>
      </w:tr>
      <w:tr>
        <w:tc>
          <w:tcPr>
            <w:tcW w:type="dxa" w:w="2160"/>
          </w:tcPr>
          <w:p>
            <w:r>
              <w:rPr>
                <w:sz w:val="18"/>
              </w:rPr>
              <w:t>Dengue</w:t>
            </w:r>
          </w:p>
        </w:tc>
        <w:tc>
          <w:tcPr>
            <w:tcW w:type="dxa" w:w="2160"/>
          </w:tcPr>
          <w:p>
            <w:r>
              <w:rPr>
                <w:sz w:val="18"/>
              </w:rPr>
              <w:t>7165</w:t>
            </w:r>
          </w:p>
        </w:tc>
        <w:tc>
          <w:tcPr>
            <w:tcW w:type="dxa" w:w="2160"/>
          </w:tcPr>
          <w:p>
            <w:r>
              <w:rPr>
                <w:sz w:val="18"/>
              </w:rPr>
              <w:t>0.60</w:t>
            </w:r>
          </w:p>
        </w:tc>
        <w:tc>
          <w:tcPr>
            <w:tcW w:type="dxa" w:w="2160"/>
          </w:tcPr>
          <w:p>
            <w:r>
              <w:rPr>
                <w:sz w:val="18"/>
              </w:rPr>
              <w:t>0.64</w:t>
            </w:r>
          </w:p>
        </w:tc>
      </w:tr>
      <w:tr>
        <w:tc>
          <w:tcPr>
            <w:tcW w:type="dxa" w:w="2160"/>
          </w:tcPr>
          <w:p>
            <w:r>
              <w:rPr>
                <w:sz w:val="18"/>
              </w:rPr>
              <w:t>Flu — Japan</w:t>
            </w:r>
          </w:p>
        </w:tc>
        <w:tc>
          <w:tcPr>
            <w:tcW w:type="dxa" w:w="2160"/>
          </w:tcPr>
          <w:p>
            <w:r>
              <w:rPr>
                <w:sz w:val="18"/>
              </w:rPr>
              <w:t>47</w:t>
            </w:r>
          </w:p>
        </w:tc>
        <w:tc>
          <w:tcPr>
            <w:tcW w:type="dxa" w:w="2160"/>
          </w:tcPr>
          <w:p>
            <w:r>
              <w:rPr>
                <w:sz w:val="18"/>
              </w:rPr>
              <w:t>0.27</w:t>
            </w:r>
          </w:p>
        </w:tc>
        <w:tc>
          <w:tcPr>
            <w:tcW w:type="dxa" w:w="2160"/>
          </w:tcPr>
          <w:p>
            <w:r>
              <w:rPr>
                <w:sz w:val="18"/>
              </w:rPr>
              <w:t>0.40</w:t>
            </w:r>
          </w:p>
        </w:tc>
      </w:tr>
      <w:tr>
        <w:tc>
          <w:tcPr>
            <w:tcW w:type="dxa" w:w="2160"/>
          </w:tcPr>
          <w:p>
            <w:r>
              <w:rPr>
                <w:sz w:val="18"/>
              </w:rPr>
              <w:t>Flu — US regions</w:t>
            </w:r>
          </w:p>
        </w:tc>
        <w:tc>
          <w:tcPr>
            <w:tcW w:type="dxa" w:w="2160"/>
          </w:tcPr>
          <w:p>
            <w:r>
              <w:rPr>
                <w:sz w:val="18"/>
              </w:rPr>
              <w:t>10</w:t>
            </w:r>
          </w:p>
        </w:tc>
        <w:tc>
          <w:tcPr>
            <w:tcW w:type="dxa" w:w="2160"/>
          </w:tcPr>
          <w:p>
            <w:r>
              <w:rPr>
                <w:sz w:val="18"/>
              </w:rPr>
              <w:t>0.37</w:t>
            </w:r>
          </w:p>
        </w:tc>
        <w:tc>
          <w:tcPr>
            <w:tcW w:type="dxa" w:w="2160"/>
          </w:tcPr>
          <w:p>
            <w:r>
              <w:rPr>
                <w:sz w:val="18"/>
              </w:rPr>
              <w:t>0.49</w:t>
            </w:r>
          </w:p>
        </w:tc>
      </w:tr>
      <w:tr>
        <w:tc>
          <w:tcPr>
            <w:tcW w:type="dxa" w:w="2160"/>
          </w:tcPr>
          <w:p>
            <w:r>
              <w:rPr>
                <w:sz w:val="18"/>
              </w:rPr>
              <w:t>Flu — US states</w:t>
            </w:r>
          </w:p>
        </w:tc>
        <w:tc>
          <w:tcPr>
            <w:tcW w:type="dxa" w:w="2160"/>
          </w:tcPr>
          <w:p>
            <w:r>
              <w:rPr>
                <w:sz w:val="18"/>
              </w:rPr>
              <w:t>49</w:t>
            </w:r>
          </w:p>
        </w:tc>
        <w:tc>
          <w:tcPr>
            <w:tcW w:type="dxa" w:w="2160"/>
          </w:tcPr>
          <w:p>
            <w:r>
              <w:rPr>
                <w:sz w:val="18"/>
              </w:rPr>
              <w:t>0.37</w:t>
            </w:r>
          </w:p>
        </w:tc>
        <w:tc>
          <w:tcPr>
            <w:tcW w:type="dxa" w:w="2160"/>
          </w:tcPr>
          <w:p>
            <w:r>
              <w:rPr>
                <w:sz w:val="18"/>
              </w:rPr>
              <w:t>0.47</w:t>
            </w:r>
          </w:p>
        </w:tc>
      </w:tr>
    </w:tbl>
    <w:p>
      <w:pPr>
        <w:spacing w:after="40"/>
      </w:pPr>
    </w:p>
    <w:p>
      <w:pPr>
        <w:pStyle w:val="Heading1"/>
      </w:pPr>
      <w:r>
        <w:t>Simple scorecard</w:t>
      </w:r>
    </w:p>
    <w:p>
      <w:pPr>
        <w:spacing w:after="120"/>
      </w:pPr>
      <w:r>
        <w:rPr>
          <w:i w:val="0"/>
        </w:rPr>
        <w:t>Where we won:</w:t>
      </w:r>
    </w:p>
    <w:p>
      <w:pPr>
        <w:pStyle w:val="ListBullet"/>
      </w:pPr>
      <w:r>
        <w:t>US-states: beats every simple baseline at every horizon (cleanest win).</w:t>
      </w:r>
    </w:p>
    <w:p>
      <w:pPr>
        <w:pStyle w:val="ListBullet"/>
      </w:pPr>
      <w:r>
        <w:t>Dengue: wins at the far horizons (10–15 weeks) where copy-last-week gives up.</w:t>
      </w:r>
    </w:p>
    <w:p>
      <w:pPr>
        <w:pStyle w:val="ListBullet"/>
      </w:pPr>
      <w:r>
        <w:t>Transfer (LODO): near-term forecasts on the small datasets — the emerging-disease case — beat even the disease's own from-scratch model.</w:t>
      </w:r>
    </w:p>
    <w:p>
      <w:pPr>
        <w:spacing w:after="120"/>
      </w:pPr>
      <w:r>
        <w:rPr>
          <w:i w:val="0"/>
        </w:rPr>
        <w:t>Where we lost:</w:t>
      </w:r>
    </w:p>
    <w:p>
      <w:pPr>
        <w:pStyle w:val="ListBullet"/>
      </w:pPr>
      <w:r>
        <w:t>Dengue near-term: loses to 'copy last week' at 3 weeks (a very hard baseline).</w:t>
      </w:r>
    </w:p>
    <w:p>
      <w:pPr>
        <w:pStyle w:val="ListBullet"/>
      </w:pPr>
      <w:r>
        <w:t>Flu-Japan: loses to 'copy last year' — 20-week memory can't see last year's peak height. Structural, and it doesn't affect Ebola (no prior year anyway).</w:t>
      </w:r>
    </w:p>
    <w:p>
      <w:pPr>
        <w:pStyle w:val="ListBullet"/>
      </w:pPr>
      <w:r>
        <w:t>Joint training: didn't help, and hurt the two small datasets.</w:t>
      </w:r>
    </w:p>
    <w:p>
      <w:pPr>
        <w:pStyle w:val="ListBullet"/>
      </w:pPr>
      <w:r>
        <w:t>Transfer at far horizons (10–15 weeks): worse than a from-scratch model.</w:t>
      </w:r>
    </w:p>
    <w:p>
      <w:pPr>
        <w:spacing w:after="120"/>
      </w:pPr>
      <w:r>
        <w:rPr>
          <w:i w:val="0"/>
        </w:rPr>
        <w:t>Temporal picture: near-term is where transfer shines; far-term is hard for everything. Spatial picture: correlation is decent-to-strong on flu (0.6–0.9) and the region graph is active everywhere.</w:t>
      </w:r>
    </w:p>
    <w:p>
      <w:pPr>
        <w:pStyle w:val="Heading1"/>
      </w:pPr>
      <w:r>
        <w:t>Directions the reviewer could take</w:t>
      </w:r>
    </w:p>
    <w:p>
      <w:pPr>
        <w:spacing w:after="120"/>
      </w:pPr>
      <w:r>
        <w:rPr>
          <w:i w:val="0"/>
        </w:rPr>
        <w:t>Stated neutrally — the results support more than one path:</w:t>
      </w:r>
    </w:p>
    <w:p>
      <w:pPr>
        <w:pStyle w:val="ListBullet"/>
      </w:pPr>
      <w:r>
        <w:t>Lean into transfer: the near-term, small-data win is the emerging-disease story. Confirm on 5 seeds, then push toward the Ebola case study.</w:t>
      </w:r>
    </w:p>
    <w:p>
      <w:pPr>
        <w:pStyle w:val="ListBullet"/>
      </w:pPr>
      <w:r>
        <w:t>Shore up single-disease accuracy first (e.g. predicting the change from last week, seed ensembling) before the transfer step.</w:t>
      </w:r>
    </w:p>
    <w:p>
      <w:pPr>
        <w:pStyle w:val="ListBullet"/>
      </w:pPr>
      <w:r>
        <w:t>Get the head-to-head vs published baselines (EpiGNN, Cola-GNN, etc.) before committing — those numbers don't exist yet and are what a 'beats state-of-the-art' claim rests on.</w:t>
      </w:r>
    </w:p>
    <w:p>
      <w:pPr>
        <w:spacing w:after="120"/>
      </w:pPr>
      <w:r>
        <w:rPr>
          <w:i/>
        </w:rPr>
        <w:t>Caveat for all of the above: the transfer (LODO) result is one seed so far and should be reproduced on five before anything is locked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