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Every Experiment We Ran, and What It Showed — Stakeholder Brief</w:t>
      </w:r>
    </w:p>
    <w:p>
      <w:pPr>
        <w:spacing w:after="120"/>
      </w:pPr>
      <w:r>
        <w:rPr>
          <w:b/>
          <w:i w:val="0"/>
        </w:rPr>
        <w:t>5 August 2026 · Phase 3, Week 4</w:t>
      </w:r>
    </w:p>
    <w:p>
      <w:pPr>
        <w:spacing w:after="120"/>
      </w:pPr>
      <w:r>
        <w:rPr>
          <w:b w:val="0"/>
          <w:i w:val="0"/>
        </w:rPr>
        <w:t>An account of every training setup we ran this week and what each one returned. No statistics background assumed. Every figure below was recomputed directly from the run outputs before this document was written; nothing is carried forward from an earlier draft.</w:t>
      </w:r>
    </w:p>
    <w:p>
      <w:pPr>
        <w:pStyle w:val="Heading2"/>
      </w:pPr>
      <w:r>
        <w:t>The short version</w:t>
      </w:r>
    </w:p>
    <w:p>
      <w:pPr>
        <w:spacing w:after="120"/>
      </w:pPr>
      <w:r>
        <w:rPr>
          <w:b w:val="0"/>
          <w:i w:val="0"/>
        </w:rPr>
        <w:t xml:space="preserve">We ran eight distinct training setups, plus a full benchmark against published models — </w:t>
      </w:r>
      <w:r>
        <w:rPr>
          <w:b/>
          <w:i w:val="0"/>
        </w:rPr>
        <w:t>312 training runs in total</w:t>
      </w:r>
      <w:r>
        <w:rPr>
          <w:b w:val="0"/>
          <w:i w:val="0"/>
        </w:rPr>
        <w:t>, the largest of them a fifteen-run job that took just under eleven hours.</w:t>
      </w:r>
    </w:p>
    <w:p>
      <w:pPr>
        <w:spacing w:after="120"/>
      </w:pPr>
      <w:r>
        <w:rPr>
          <w:b w:val="0"/>
          <w:i w:val="0"/>
        </w:rPr>
        <w:t>Four things came out of it.</w:t>
      </w:r>
    </w:p>
    <w:p>
      <w:pPr>
        <w:spacing w:after="120"/>
      </w:pPr>
      <w:r>
        <w:rPr>
          <w:b/>
          <w:i w:val="0"/>
        </w:rPr>
        <w:t>One. Training across diseases does not help a disease the model has not seen.</w:t>
      </w:r>
      <w:r>
        <w:rPr>
          <w:b w:val="0"/>
          <w:i w:val="0"/>
        </w:rPr>
        <w:t xml:space="preserve"> We tested this four separate ways, each stricter than the one before. None of them found a benefit. In the largest and most careful test, the shared model was worse than a model trained on the disease itself in roughly half the comparisons, better in at most one, and too unsteady to call in the rest.</w:t>
      </w:r>
    </w:p>
    <w:p>
      <w:pPr>
        <w:spacing w:after="120"/>
      </w:pPr>
      <w:r>
        <w:rPr>
          <w:b/>
          <w:i w:val="0"/>
        </w:rPr>
        <w:t>Two. The gap widens the further ahead you forecast.</w:t>
      </w:r>
      <w:r>
        <w:rPr>
          <w:b w:val="0"/>
          <w:i w:val="0"/>
        </w:rPr>
        <w:t xml:space="preserve"> At three weeks out, a model built from other diseases is roughly level with one trained on the disease directly. At ten and fifteen weeks it is worse everywhere we can measure, by up to half again the error.</w:t>
      </w:r>
    </w:p>
    <w:p>
      <w:pPr>
        <w:spacing w:after="120"/>
      </w:pPr>
      <w:r>
        <w:rPr>
          <w:b/>
          <w:i w:val="0"/>
        </w:rPr>
        <w:t>Three. Our model is the strongest in the comparison, and the whole field loses to simple baselines on this data.</w:t>
      </w:r>
      <w:r>
        <w:rPr>
          <w:b w:val="0"/>
          <w:i w:val="0"/>
        </w:rPr>
        <w:t xml:space="preserve"> Against EpiGNN, Cola-GNN and MTGNN, all re-run on our own pipeline, ours is ahead far more often than behind. But ours beats a plain "next week resembles this week" baseline in only 6 of 16 cases, and every published model we tested does the same or worse. That is a property of these datasets and these forecast horizons, not a fault unique to our model.</w:t>
      </w:r>
    </w:p>
    <w:p>
      <w:pPr>
        <w:spacing w:after="120"/>
      </w:pPr>
      <w:r>
        <w:rPr>
          <w:b/>
          <w:i w:val="0"/>
        </w:rPr>
        <w:t>Four. One experiment found something that clearly works.</w:t>
      </w:r>
      <w:r>
        <w:rPr>
          <w:b w:val="0"/>
          <w:i w:val="0"/>
        </w:rPr>
        <w:t xml:space="preserve"> When we enlarged the small disease-specific piece of the model, cross-disease performance improved by up to 23%. The identical change applied within a single disease gained nothing at all. The limitation we had been measuring was in that component, and it is specific to the transfer setting.</w:t>
      </w:r>
    </w:p>
    <w:p>
      <w:pPr>
        <w:pStyle w:val="Heading2"/>
      </w:pPr>
      <w:r>
        <w:t>What we ran</w:t>
      </w:r>
    </w:p>
    <w:tbl>
      <w:tblPr>
        <w:tblStyle w:val="LightGrid-Accent1"/>
        <w:tblW w:type="auto" w:w="0"/>
        <w:tblLook w:firstColumn="1" w:firstRow="1" w:lastColumn="0" w:lastRow="0" w:noHBand="0" w:noVBand="1" w:val="04A0"/>
      </w:tblPr>
      <w:tblGrid>
        <w:gridCol w:w="2880"/>
        <w:gridCol w:w="2880"/>
        <w:gridCol w:w="2880"/>
      </w:tblGrid>
      <w:tr>
        <w:trPr>
          <w:tblHeader w:val="true"/>
        </w:trPr>
        <w:tc>
          <w:tcPr>
            <w:tcW w:type="dxa" w:w="2880"/>
          </w:tcPr>
          <w:p>
            <w:r>
              <w:rPr>
                <w:b/>
                <w:i w:val="0"/>
                <w:sz w:val="18"/>
              </w:rPr>
              <w:t>Setup</w:t>
            </w:r>
          </w:p>
        </w:tc>
        <w:tc>
          <w:tcPr>
            <w:tcW w:type="dxa" w:w="2880"/>
          </w:tcPr>
          <w:p>
            <w:r>
              <w:rPr>
                <w:b/>
                <w:i w:val="0"/>
                <w:sz w:val="18"/>
              </w:rPr>
              <w:t>What it does</w:t>
            </w:r>
          </w:p>
        </w:tc>
        <w:tc>
          <w:tcPr>
            <w:tcW w:type="dxa" w:w="2880"/>
          </w:tcPr>
          <w:p>
            <w:r>
              <w:rPr>
                <w:b/>
                <w:i w:val="0"/>
                <w:sz w:val="18"/>
              </w:rPr>
              <w:t>Runs</w:t>
            </w:r>
          </w:p>
        </w:tc>
      </w:tr>
      <w:tr>
        <w:tc>
          <w:tcPr>
            <w:tcW w:type="dxa" w:w="2880"/>
          </w:tcPr>
          <w:p>
            <w:r>
              <w:rPr>
                <w:b w:val="0"/>
                <w:i w:val="0"/>
                <w:sz w:val="18"/>
              </w:rPr>
              <w:t>One model per disease</w:t>
            </w:r>
          </w:p>
        </w:tc>
        <w:tc>
          <w:tcPr>
            <w:tcW w:type="dxa" w:w="2880"/>
          </w:tcPr>
          <w:p>
            <w:r>
              <w:rPr>
                <w:b w:val="0"/>
                <w:i w:val="0"/>
                <w:sz w:val="18"/>
              </w:rPr>
              <w:t>Trains and tests on the same disease. The reference everything else is read against.</w:t>
            </w:r>
          </w:p>
        </w:tc>
        <w:tc>
          <w:tcPr>
            <w:tcW w:type="dxa" w:w="2880"/>
          </w:tcPr>
          <w:p>
            <w:r>
              <w:rPr>
                <w:b w:val="0"/>
                <w:i w:val="0"/>
                <w:sz w:val="18"/>
              </w:rPr>
              <w:t>25</w:t>
            </w:r>
          </w:p>
        </w:tc>
      </w:tr>
      <w:tr>
        <w:tc>
          <w:tcPr>
            <w:tcW w:type="dxa" w:w="2880"/>
          </w:tcPr>
          <w:p>
            <w:r>
              <w:rPr>
                <w:b w:val="0"/>
                <w:i w:val="0"/>
                <w:sz w:val="18"/>
              </w:rPr>
              <w:t>Everything at once</w:t>
            </w:r>
          </w:p>
        </w:tc>
        <w:tc>
          <w:tcPr>
            <w:tcW w:type="dxa" w:w="2880"/>
          </w:tcPr>
          <w:p>
            <w:r>
              <w:rPr>
                <w:b w:val="0"/>
                <w:i w:val="0"/>
                <w:sz w:val="18"/>
              </w:rPr>
              <w:t>One model trained on all diseases together.</w:t>
            </w:r>
          </w:p>
        </w:tc>
        <w:tc>
          <w:tcPr>
            <w:tcW w:type="dxa" w:w="2880"/>
          </w:tcPr>
          <w:p>
            <w:r>
              <w:rPr>
                <w:b w:val="0"/>
                <w:i w:val="0"/>
                <w:sz w:val="18"/>
              </w:rPr>
              <w:t>6</w:t>
            </w:r>
          </w:p>
        </w:tc>
      </w:tr>
      <w:tr>
        <w:tc>
          <w:tcPr>
            <w:tcW w:type="dxa" w:w="2880"/>
          </w:tcPr>
          <w:p>
            <w:r>
              <w:rPr>
                <w:b w:val="0"/>
                <w:i w:val="0"/>
                <w:sz w:val="18"/>
              </w:rPr>
              <w:t>Hold out a population</w:t>
            </w:r>
          </w:p>
        </w:tc>
        <w:tc>
          <w:tcPr>
            <w:tcW w:type="dxa" w:w="2880"/>
          </w:tcPr>
          <w:p>
            <w:r>
              <w:rPr>
                <w:b w:val="0"/>
                <w:i w:val="0"/>
                <w:sz w:val="18"/>
              </w:rPr>
              <w:t>Trains on three influenza panels and dengue, holds out one panel.</w:t>
            </w:r>
          </w:p>
        </w:tc>
        <w:tc>
          <w:tcPr>
            <w:tcW w:type="dxa" w:w="2880"/>
          </w:tcPr>
          <w:p>
            <w:r>
              <w:rPr>
                <w:b w:val="0"/>
                <w:i w:val="0"/>
                <w:sz w:val="18"/>
              </w:rPr>
              <w:t>4</w:t>
            </w:r>
          </w:p>
        </w:tc>
      </w:tr>
      <w:tr>
        <w:tc>
          <w:tcPr>
            <w:tcW w:type="dxa" w:w="2880"/>
          </w:tcPr>
          <w:p>
            <w:r>
              <w:rPr>
                <w:b w:val="0"/>
                <w:i w:val="0"/>
                <w:sz w:val="18"/>
              </w:rPr>
              <w:t>Hold out a disease, two-way</w:t>
            </w:r>
          </w:p>
        </w:tc>
        <w:tc>
          <w:tcPr>
            <w:tcW w:type="dxa" w:w="2880"/>
          </w:tcPr>
          <w:p>
            <w:r>
              <w:rPr>
                <w:b w:val="0"/>
                <w:i w:val="0"/>
                <w:sz w:val="18"/>
              </w:rPr>
              <w:t>Influenza as one disease against dengue, in both directions.</w:t>
            </w:r>
          </w:p>
        </w:tc>
        <w:tc>
          <w:tcPr>
            <w:tcW w:type="dxa" w:w="2880"/>
          </w:tcPr>
          <w:p>
            <w:r>
              <w:rPr>
                <w:b w:val="0"/>
                <w:i w:val="0"/>
                <w:sz w:val="18"/>
              </w:rPr>
              <w:t>10</w:t>
            </w:r>
          </w:p>
        </w:tc>
      </w:tr>
      <w:tr>
        <w:tc>
          <w:tcPr>
            <w:tcW w:type="dxa" w:w="2880"/>
          </w:tcPr>
          <w:p>
            <w:r>
              <w:rPr>
                <w:b/>
                <w:i w:val="0"/>
                <w:sz w:val="18"/>
              </w:rPr>
              <w:t>Hold out a disease, three-way</w:t>
            </w:r>
          </w:p>
        </w:tc>
        <w:tc>
          <w:tcPr>
            <w:tcW w:type="dxa" w:w="2880"/>
          </w:tcPr>
          <w:p>
            <w:r>
              <w:rPr>
                <w:b/>
                <w:i w:val="0"/>
                <w:sz w:val="18"/>
              </w:rPr>
              <w:t>Dengue, influenza and COVID; each held out in turn.</w:t>
            </w:r>
          </w:p>
        </w:tc>
        <w:tc>
          <w:tcPr>
            <w:tcW w:type="dxa" w:w="2880"/>
          </w:tcPr>
          <w:p>
            <w:r>
              <w:rPr>
                <w:b/>
                <w:i w:val="0"/>
                <w:sz w:val="18"/>
              </w:rPr>
              <w:t>15</w:t>
            </w:r>
          </w:p>
        </w:tc>
      </w:tr>
      <w:tr>
        <w:tc>
          <w:tcPr>
            <w:tcW w:type="dxa" w:w="2880"/>
          </w:tcPr>
          <w:p>
            <w:r>
              <w:rPr>
                <w:b w:val="0"/>
                <w:i w:val="0"/>
                <w:sz w:val="18"/>
              </w:rPr>
              <w:t>The controlled comparison</w:t>
            </w:r>
          </w:p>
        </w:tc>
        <w:tc>
          <w:tcPr>
            <w:tcW w:type="dxa" w:w="2880"/>
          </w:tcPr>
          <w:p>
            <w:r>
              <w:rPr>
                <w:b w:val="0"/>
                <w:i w:val="0"/>
                <w:sz w:val="18"/>
              </w:rPr>
              <w:t>COVID against influenza on an identical map and identical inputs.</w:t>
            </w:r>
          </w:p>
        </w:tc>
        <w:tc>
          <w:tcPr>
            <w:tcW w:type="dxa" w:w="2880"/>
          </w:tcPr>
          <w:p>
            <w:r>
              <w:rPr>
                <w:b w:val="0"/>
                <w:i w:val="0"/>
                <w:sz w:val="18"/>
              </w:rPr>
              <w:t>10</w:t>
            </w:r>
          </w:p>
        </w:tc>
      </w:tr>
      <w:tr>
        <w:tc>
          <w:tcPr>
            <w:tcW w:type="dxa" w:w="2880"/>
          </w:tcPr>
          <w:p>
            <w:r>
              <w:rPr>
                <w:b w:val="0"/>
                <w:i w:val="0"/>
                <w:sz w:val="18"/>
              </w:rPr>
              <w:t>A larger tuning layer</w:t>
            </w:r>
          </w:p>
        </w:tc>
        <w:tc>
          <w:tcPr>
            <w:tcW w:type="dxa" w:w="2880"/>
          </w:tcPr>
          <w:p>
            <w:r>
              <w:rPr>
                <w:b w:val="0"/>
                <w:i w:val="0"/>
                <w:sz w:val="18"/>
              </w:rPr>
              <w:t>Four sizes of the disease-specific component.</w:t>
            </w:r>
          </w:p>
        </w:tc>
        <w:tc>
          <w:tcPr>
            <w:tcW w:type="dxa" w:w="2880"/>
          </w:tcPr>
          <w:p>
            <w:r>
              <w:rPr>
                <w:b w:val="0"/>
                <w:i w:val="0"/>
                <w:sz w:val="18"/>
              </w:rPr>
              <w:t>8</w:t>
            </w:r>
          </w:p>
        </w:tc>
      </w:tr>
      <w:tr>
        <w:tc>
          <w:tcPr>
            <w:tcW w:type="dxa" w:w="2880"/>
          </w:tcPr>
          <w:p>
            <w:r>
              <w:rPr>
                <w:b w:val="0"/>
                <w:i w:val="0"/>
                <w:sz w:val="18"/>
              </w:rPr>
              <w:t>Seasonality removed</w:t>
            </w:r>
          </w:p>
        </w:tc>
        <w:tc>
          <w:tcPr>
            <w:tcW w:type="dxa" w:w="2880"/>
          </w:tcPr>
          <w:p>
            <w:r>
              <w:rPr>
                <w:b w:val="0"/>
                <w:i w:val="0"/>
                <w:sz w:val="18"/>
              </w:rPr>
              <w:t>Influenza-Japan without its seasonal input.</w:t>
            </w:r>
          </w:p>
        </w:tc>
        <w:tc>
          <w:tcPr>
            <w:tcW w:type="dxa" w:w="2880"/>
          </w:tcPr>
          <w:p>
            <w:r>
              <w:rPr>
                <w:b w:val="0"/>
                <w:i w:val="0"/>
                <w:sz w:val="18"/>
              </w:rPr>
              <w:t>5</w:t>
            </w:r>
          </w:p>
        </w:tc>
      </w:tr>
      <w:tr>
        <w:tc>
          <w:tcPr>
            <w:tcW w:type="dxa" w:w="2880"/>
          </w:tcPr>
          <w:p>
            <w:r>
              <w:rPr>
                <w:b w:val="0"/>
                <w:i w:val="0"/>
                <w:sz w:val="18"/>
              </w:rPr>
              <w:t>Published models</w:t>
            </w:r>
          </w:p>
        </w:tc>
        <w:tc>
          <w:tcPr>
            <w:tcW w:type="dxa" w:w="2880"/>
          </w:tcPr>
          <w:p>
            <w:r>
              <w:rPr>
                <w:b w:val="0"/>
                <w:i w:val="0"/>
                <w:sz w:val="18"/>
              </w:rPr>
              <w:t>EpiGNN, Cola-GNN, MTGNN and HeatGNN on our pipeline.</w:t>
            </w:r>
          </w:p>
        </w:tc>
        <w:tc>
          <w:tcPr>
            <w:tcW w:type="dxa" w:w="2880"/>
          </w:tcPr>
          <w:p>
            <w:r>
              <w:rPr>
                <w:b w:val="0"/>
                <w:i w:val="0"/>
                <w:sz w:val="18"/>
              </w:rPr>
              <w:t>229</w:t>
            </w:r>
          </w:p>
        </w:tc>
      </w:tr>
    </w:tbl>
    <w:p>
      <w:pPr>
        <w:spacing w:after="40"/>
      </w:pPr>
    </w:p>
    <w:p>
      <w:pPr>
        <w:spacing w:after="120"/>
      </w:pPr>
      <w:r>
        <w:rPr>
          <w:b w:val="0"/>
          <w:i w:val="0"/>
        </w:rPr>
        <w:t xml:space="preserve">Each setup below is reported against the same reference: </w:t>
      </w:r>
      <w:r>
        <w:rPr>
          <w:b/>
          <w:i w:val="0"/>
        </w:rPr>
        <w:t>a model trained on the target disease itself</w:t>
      </w:r>
      <w:r>
        <w:rPr>
          <w:b w:val="0"/>
          <w:i w:val="0"/>
        </w:rPr>
        <w:t>, run five times from different random starting points, with the average taken. Where we say a result is "too unsteady to call", we mean the spread across those five runs is wide enough that we cannot honestly assign it a direction.</w:t>
      </w:r>
    </w:p>
    <w:p>
      <w:pPr>
        <w:pStyle w:val="Heading2"/>
      </w:pPr>
      <w:r>
        <w:t>One model per disease</w:t>
      </w:r>
    </w:p>
    <w:p>
      <w:pPr>
        <w:spacing w:after="120"/>
      </w:pPr>
      <w:r>
        <w:rPr>
          <w:b w:val="0"/>
          <w:i w:val="0"/>
        </w:rPr>
        <w:t>This is the foundation everything else is measured against, and it is weaker than we would like.</w:t>
      </w:r>
    </w:p>
    <w:p>
      <w:pPr>
        <w:spacing w:after="120"/>
      </w:pPr>
      <w:r>
        <w:rPr>
          <w:b/>
          <w:i w:val="0"/>
        </w:rPr>
        <w:t>Our model beats simple baselines on one of five datasets.</w:t>
      </w:r>
      <w:r>
        <w:rPr>
          <w:b w:val="0"/>
          <w:i w:val="0"/>
        </w:rPr>
        <w:t xml:space="preserve"> On influenza across US states it wins clearly, by 8% to 22% depending on the horizon. On dengue it is roughly level at the longer horizons and behind at the shorter ones. On influenza in Japan it loses badly — 34% to 58% behind a seasonal baseline, because Japanese influenza is strongly periodic and a model that simply repeats last year's season is hard to beat. On COVID it loses by a wide margin at every horizon.</w:t>
      </w:r>
    </w:p>
    <w:p>
      <w:pPr>
        <w:spacing w:after="120"/>
      </w:pPr>
      <w:r>
        <w:rPr>
          <w:b w:val="0"/>
          <w:i w:val="0"/>
        </w:rPr>
        <w:t>We report this plainly because it sets the ceiling on everything that follows. A transfer method is being asked to match a reference that is itself often beaten by arithmetic.</w:t>
      </w:r>
    </w:p>
    <w:p>
      <w:pPr>
        <w:pStyle w:val="Heading2"/>
      </w:pPr>
      <w:r>
        <w:t>Everything at once</w:t>
      </w:r>
    </w:p>
    <w:p>
      <w:pPr>
        <w:spacing w:after="120"/>
      </w:pPr>
      <w:r>
        <w:rPr>
          <w:b w:val="0"/>
          <w:i w:val="0"/>
        </w:rPr>
        <w:t>Training a single model on all diseases simultaneously performs the same as training each disease separately. Across 32 comparisons, one was better, one was worse, and thirty were too unsteady to call.</w:t>
      </w:r>
    </w:p>
    <w:p>
      <w:pPr>
        <w:spacing w:after="120"/>
      </w:pPr>
      <w:r>
        <w:rPr>
          <w:b w:val="0"/>
          <w:i w:val="0"/>
        </w:rPr>
        <w:t>This is a clean and complete negative result. It is not an unfinished experiment.</w:t>
      </w:r>
    </w:p>
    <w:p>
      <w:pPr>
        <w:pStyle w:val="Heading2"/>
      </w:pPr>
      <w:r>
        <w:t>Hold out a population</w:t>
      </w:r>
    </w:p>
    <w:p>
      <w:pPr>
        <w:spacing w:after="120"/>
      </w:pPr>
      <w:r>
        <w:rPr>
          <w:b w:val="0"/>
          <w:i w:val="0"/>
        </w:rPr>
        <w:t>Here the model trains on three influenza panels and dengue, and is tested on the influenza panel it did not see. This was the setup that produced our earlier headline of 20% to 28% improvement.</w:t>
      </w:r>
    </w:p>
    <w:p>
      <w:pPr>
        <w:spacing w:after="120"/>
      </w:pPr>
      <w:r>
        <w:rPr>
          <w:b/>
          <w:i w:val="0"/>
        </w:rPr>
        <w:t>Two things are now clear about it.</w:t>
      </w:r>
      <w:r>
        <w:rPr>
          <w:b w:val="0"/>
          <w:i w:val="0"/>
        </w:rPr>
        <w:t xml:space="preserve"> It never held out a </w:t>
      </w:r>
      <w:r>
        <w:rPr>
          <w:b w:val="0"/>
          <w:i/>
        </w:rPr>
        <w:t>disease</w:t>
      </w:r>
      <w:r>
        <w:rPr>
          <w:b w:val="0"/>
          <w:i w:val="0"/>
        </w:rPr>
        <w:t xml:space="preserve"> — when Japan was held out, the model had still trained on influenza in the United States, so it had seen the disease and only missed the population. And it was run only once, not five times, so no result from it can be tested for steadiness. The figures from this setup should not be quoted.</w:t>
      </w:r>
    </w:p>
    <w:p>
      <w:pPr>
        <w:pStyle w:val="Heading2"/>
      </w:pPr>
      <w:r>
        <w:t>Hold out a disease, two-way</w:t>
      </w:r>
    </w:p>
    <w:p>
      <w:pPr>
        <w:spacing w:after="120"/>
      </w:pPr>
      <w:r>
        <w:rPr>
          <w:b w:val="0"/>
          <w:i w:val="0"/>
        </w:rPr>
        <w:t>The first genuine cross-disease test: all three influenza panels treated as one disease on one side, dengue on the other, both directions, five runs each.</w:t>
      </w:r>
    </w:p>
    <w:p>
      <w:pPr>
        <w:spacing w:after="120"/>
      </w:pPr>
      <w:r>
        <w:rPr>
          <w:b w:val="0"/>
          <w:i w:val="0"/>
        </w:rPr>
        <w:t xml:space="preserve">Across 32 comparisons: </w:t>
      </w:r>
      <w:r>
        <w:rPr>
          <w:b/>
          <w:i w:val="0"/>
        </w:rPr>
        <w:t>none better, 22 worse, 10 too unsteady to call.</w:t>
      </w:r>
    </w:p>
    <w:p>
      <w:pPr>
        <w:pStyle w:val="Heading2"/>
      </w:pPr>
      <w:r>
        <w:t>Hold out a disease, three-way — the main run</w:t>
      </w:r>
    </w:p>
    <w:p>
      <w:pPr>
        <w:spacing w:after="120"/>
      </w:pPr>
      <w:r>
        <w:rPr>
          <w:b w:val="0"/>
          <w:i w:val="0"/>
        </w:rPr>
        <w:t>This is the experiment the week was built around. COVID was added as a third disease, and each of the three — dengue, influenza, COVID — was held out in turn while the model trained on the other two. Fifteen runs, five random starts each, 10.8 hours on one graphics card. Every expected output file was produced and checked.</w:t>
      </w:r>
    </w:p>
    <w:p>
      <w:pPr>
        <w:spacing w:after="120"/>
      </w:pPr>
      <w:r>
        <w:rPr>
          <w:b w:val="0"/>
          <w:i w:val="0"/>
        </w:rPr>
        <w:t>Two arms were measured. In the first, the shared model is frozen and a small disease-specific piece is fitted on the held-out disease. In the second, nothing at all is fitted on the held-out disease.</w:t>
      </w:r>
    </w:p>
    <w:p>
      <w:pPr>
        <w:spacing w:after="120"/>
      </w:pPr>
      <w:r>
        <w:rPr>
          <w:b/>
          <w:i w:val="0"/>
        </w:rPr>
        <w:t>The first arm.</w:t>
      </w:r>
      <w:r>
        <w:rPr>
          <w:b w:val="0"/>
          <w:i w:val="0"/>
        </w:rPr>
        <w:t xml:space="preserve"> Under two standard statistical tests, the shared model is significantly worse than the disease-specific reference in 18 to 25 of the comparisons, and significantly better in at most one. The two tests disagree about how many losses are large enough to be certain of; they agree completely that there is no benefit.</w:t>
      </w:r>
    </w:p>
    <w:p>
      <w:pPr>
        <w:spacing w:after="120"/>
      </w:pPr>
      <w:r>
        <w:rPr>
          <w:b/>
          <w:i w:val="0"/>
        </w:rPr>
        <w:t>The pattern by horizon is the more useful result.</w:t>
      </w:r>
      <w:r>
        <w:rPr>
          <w:b w:val="0"/>
          <w:i w:val="0"/>
        </w:rPr>
        <w:t xml:space="preserve"> At three weeks ahead most comparisons are too close to call. At five weeks the losses begin. By ten and fifteen weeks the shared model is worse in every comparison we can attribute, reaching 38% worse on influenza in Japan and 51% worse on influenza across US regions. Whatever the shared model carries between diseases, it holds for a few weeks and then stops holding.</w:t>
      </w:r>
    </w:p>
    <w:p>
      <w:pPr>
        <w:spacing w:after="120"/>
      </w:pPr>
      <w:r>
        <w:rPr>
          <w:b/>
          <w:i w:val="0"/>
        </w:rPr>
        <w:t>The second arm fails completely.</w:t>
      </w:r>
      <w:r>
        <w:rPr>
          <w:b w:val="0"/>
          <w:i w:val="0"/>
        </w:rPr>
        <w:t xml:space="preserve"> With nothing fitted on the new disease, the model is worse in every one of the 36 comparisons, by between 1% and 139%. Averaging what the model learned from other diseases and applying it directly to a new one does not produce a usable forecast.</w:t>
      </w:r>
    </w:p>
    <w:p>
      <w:pPr>
        <w:spacing w:after="120"/>
      </w:pPr>
      <w:r>
        <w:rPr>
          <w:b/>
          <w:i w:val="0"/>
        </w:rPr>
        <w:t>One fold is not readable and we are not counting it.</w:t>
      </w:r>
      <w:r>
        <w:rPr>
          <w:b w:val="0"/>
          <w:i w:val="0"/>
        </w:rPr>
        <w:t xml:space="preserve"> COVID at ten and fifteen weeks measures a data boundary rather than the model. The Omicron wave — the largest week in the entire COVID series — falls inside the period we use to select the model, while the period we score on is a flat tail with a peak six times lower and about half the week-to-week variation. Every model in the study is tuned on a surge and then graded on a lull. Those four comparisons are reported in full but excluded from the counts above, in both directions. COVID's shorter horizons are counted, and they are losses.</w:t>
      </w:r>
    </w:p>
    <w:p>
      <w:pPr>
        <w:pStyle w:val="Heading2"/>
      </w:pPr>
      <w:r>
        <w:t>The controlled comparison</w:t>
      </w:r>
    </w:p>
    <w:p>
      <w:pPr>
        <w:spacing w:after="120"/>
      </w:pPr>
      <w:r>
        <w:rPr>
          <w:b w:val="0"/>
          <w:i w:val="0"/>
        </w:rPr>
        <w:t>Every cross-disease test above changes more than the disease. Dengue has 7,165 regions across twelve countries; influenza in Japan has 47; US regions has 10. The map, the geography and the population all change at the same time as the pathogen, so a poor result cannot be pinned on the disease alone.</w:t>
      </w:r>
    </w:p>
    <w:p>
      <w:pPr>
        <w:spacing w:after="120"/>
      </w:pPr>
      <w:r>
        <w:rPr>
          <w:b w:val="0"/>
          <w:i w:val="0"/>
        </w:rPr>
        <w:t>COVID and influenza across US states are the one exception in the entire study: the same 49 states, the same map, the same inputs. Holding one out changes the disease and nothing else. We ran both directions, five times each.</w:t>
      </w:r>
    </w:p>
    <w:p>
      <w:pPr>
        <w:spacing w:after="120"/>
      </w:pPr>
      <w:r>
        <w:rPr>
          <w:b w:val="0"/>
          <w:i w:val="0"/>
        </w:rPr>
        <w:t xml:space="preserve">Across 16 comparisons: </w:t>
      </w:r>
      <w:r>
        <w:rPr>
          <w:b/>
          <w:i w:val="0"/>
        </w:rPr>
        <w:t>none better, 8 worse, 8 too unsteady to call.</w:t>
      </w:r>
    </w:p>
    <w:p>
      <w:pPr>
        <w:spacing w:after="120"/>
      </w:pPr>
      <w:r>
        <w:rPr>
          <w:b w:val="0"/>
          <w:i w:val="0"/>
        </w:rPr>
        <w:t>This is the cleanest cross-disease measurement we have, and it agrees with the others.</w:t>
      </w:r>
    </w:p>
    <w:p>
      <w:pPr>
        <w:pStyle w:val="Heading2"/>
      </w:pPr>
      <w:r>
        <w:t>A larger tuning layer</w:t>
      </w:r>
    </w:p>
    <w:p>
      <w:pPr>
        <w:spacing w:after="120"/>
      </w:pPr>
      <w:r>
        <w:rPr>
          <w:b w:val="0"/>
          <w:i w:val="0"/>
        </w:rPr>
        <w:t>The one experiment that returned a clear positive.</w:t>
      </w:r>
    </w:p>
    <w:p>
      <w:pPr>
        <w:spacing w:after="120"/>
      </w:pPr>
      <w:r>
        <w:rPr>
          <w:b w:val="0"/>
          <w:i w:val="0"/>
        </w:rPr>
        <w:t>The disease-specific component of our model is deliberately small — about 1,400 adjustable values, sized for the 27 labelled examples Ebola will offer. We tested three larger versions against it, on cross-disease transfer and, as a control, within a single disease.</w:t>
      </w:r>
    </w:p>
    <w:p>
      <w:pPr>
        <w:spacing w:after="120"/>
      </w:pPr>
      <w:r>
        <w:rPr>
          <w:b/>
          <w:i w:val="0"/>
        </w:rPr>
        <w:t>The larger component improved cross-disease performance by up to 23%, and by about 4% typically. The same change within a single disease produced no gain at all — slightly worse, if anything.</w:t>
      </w:r>
    </w:p>
    <w:p>
      <w:pPr>
        <w:spacing w:after="120"/>
      </w:pPr>
      <w:r>
        <w:rPr>
          <w:b w:val="0"/>
          <w:i w:val="0"/>
        </w:rPr>
        <w:t>This tells us something specific: part of what we have been measuring as "transfer does not work" was the tuning layer being too small to express the correction a new disease needs. It was a real bottleneck, and it was specific to transfer rather than a general shortage of model capacity. It does not overturn the results above — the gains are far smaller than the deficits — but it is a genuine finding and it was obtained cheaply.</w:t>
      </w:r>
    </w:p>
    <w:p>
      <w:pPr>
        <w:spacing w:after="120"/>
      </w:pPr>
      <w:r>
        <w:rPr>
          <w:b w:val="0"/>
          <w:i w:val="0"/>
        </w:rPr>
        <w:t>This run used a single random start, so it carries less weight than the five-run experiments.</w:t>
      </w:r>
    </w:p>
    <w:p>
      <w:pPr>
        <w:pStyle w:val="Heading2"/>
      </w:pPr>
      <w:r>
        <w:t>Against published models</w:t>
      </w:r>
    </w:p>
    <w:p>
      <w:pPr>
        <w:spacing w:after="120"/>
      </w:pPr>
      <w:r>
        <w:rPr>
          <w:b w:val="0"/>
          <w:i w:val="0"/>
        </w:rPr>
        <w:t>We re-ran EpiGNN, Cola-GNN, MTGNN and HeatGNN on our own data, splits, horizons and scoring, five times each — 229 runs. Running them identically is what makes the comparison fair, and it is a condition we set before looking at any result.</w:t>
      </w:r>
    </w:p>
    <w:p>
      <w:pPr>
        <w:spacing w:after="120"/>
      </w:pPr>
      <w:r>
        <w:rPr>
          <w:b/>
          <w:i w:val="0"/>
        </w:rPr>
        <w:t>Our model is the strongest of the group.</w:t>
      </w:r>
      <w:r>
        <w:rPr>
          <w:b w:val="0"/>
          <w:i w:val="0"/>
        </w:rPr>
        <w:t xml:space="preserve"> Against EpiGNN it is better in 9 of 16 comparisons and worse in 1. Against Cola-GNN it is better in 4 of 12 and worse in none. Against MTGNN it is better in 12 of 16. HeatGNN currently runs on only one dataset and two horizons, where the two are level.</w:t>
      </w:r>
    </w:p>
    <w:p>
      <w:pPr>
        <w:spacing w:after="120"/>
      </w:pPr>
      <w:r>
        <w:rPr>
          <w:b/>
          <w:i w:val="0"/>
        </w:rPr>
        <w:t>And every model in the group, including ours, loses to simple baselines more often than it wins.</w:t>
      </w:r>
      <w:r>
        <w:rPr>
          <w:b w:val="0"/>
          <w:i w:val="0"/>
        </w:rPr>
        <w:t xml:space="preserve"> Ours beats the best naive baseline in 6 of 16 dataset-and-horizon combinations; EpiGNN in 5, Cola-GNN in 5 of 12, MTGNN in 2. We state this alongside the head-to-head result rather than separately, because reporting only the head-to-head would leave a misleading impression.</w:t>
      </w:r>
    </w:p>
    <w:p>
      <w:pPr>
        <w:pStyle w:val="Heading2"/>
      </w:pPr>
      <w:r>
        <w:t>Adding COVID</w:t>
      </w:r>
    </w:p>
    <w:p>
      <w:pPr>
        <w:spacing w:after="120"/>
      </w:pPr>
      <w:r>
        <w:rPr>
          <w:b w:val="0"/>
          <w:i w:val="0"/>
        </w:rPr>
        <w:t>COVID was brought in this week as a third development disease, and the work to add it was substantial: a new data loader, a rebuilt input pipeline, and a diagnostic investigation when the first results looked wrong.</w:t>
      </w:r>
    </w:p>
    <w:p>
      <w:pPr>
        <w:spacing w:after="120"/>
      </w:pPr>
      <w:r>
        <w:rPr>
          <w:b w:val="0"/>
          <w:i w:val="0"/>
        </w:rPr>
        <w:t xml:space="preserve">They looked wrong because they were measuring the data, not the model. The COVID series contains a structural break — Omicron — that is larger than everything around it, and it falls between the period used to tune the model and the period used to grade it. A model fitted to a surge necessarily over-predicts the flat period that follows, and the error grows with forecast distance. COVID's own disease-specific model is </w:t>
      </w:r>
      <w:r>
        <w:rPr>
          <w:b w:val="0"/>
          <w:i/>
        </w:rPr>
        <w:t>negatively</w:t>
      </w:r>
      <w:r>
        <w:rPr>
          <w:b w:val="0"/>
          <w:i w:val="0"/>
        </w:rPr>
        <w:t xml:space="preserve"> correlated with the truth at five weeks and beyond, meaning it moves in the opposite direction to the real case counts.</w:t>
      </w:r>
    </w:p>
    <w:p>
      <w:pPr>
        <w:spacing w:after="120"/>
      </w:pPr>
      <w:r>
        <w:rPr>
          <w:b w:val="0"/>
          <w:i w:val="0"/>
        </w:rPr>
        <w:t>The COVID dataset is sound and the pipeline is correct. The problem is where the epidemic's shape falls relative to our fixed date boundaries.</w:t>
      </w:r>
    </w:p>
    <w:p>
      <w:pPr>
        <w:pStyle w:val="Heading2"/>
      </w:pPr>
      <w:r>
        <w:t>Uncertainty, measured for the first time</w:t>
      </w:r>
    </w:p>
    <w:p>
      <w:pPr>
        <w:spacing w:after="120"/>
      </w:pPr>
      <w:r>
        <w:rPr>
          <w:b w:val="0"/>
          <w:i w:val="0"/>
        </w:rPr>
        <w:t>Until this week our forecasts saved only a single number per prediction, which meant we could not evaluate the uncertainty ranges at all — a stated requirement we had no evidence for. The runs now save the full range, and we have measured it.</w:t>
      </w:r>
    </w:p>
    <w:p>
      <w:pPr>
        <w:spacing w:after="120"/>
      </w:pPr>
      <w:r>
        <w:rPr>
          <w:b/>
          <w:i w:val="0"/>
        </w:rPr>
        <w:t>The result is better than expected.</w:t>
      </w:r>
      <w:r>
        <w:rPr>
          <w:b w:val="0"/>
          <w:i w:val="0"/>
        </w:rPr>
        <w:t xml:space="preserve"> On influenza in Japan, a disease the shared model had never seen, our stated 50% range contained the truth 49.4% of the time and our 90% range contained it 89.9% of the time. Those are close to exactly right. The uncertainty ranges are honest even where the central forecast is not accurate.</w:t>
      </w:r>
    </w:p>
    <w:p>
      <w:pPr>
        <w:spacing w:after="120"/>
      </w:pPr>
      <w:r>
        <w:rPr>
          <w:b w:val="0"/>
          <w:i w:val="0"/>
        </w:rPr>
        <w:t>Two gaps remain. The no-tuning arm did not save these outputs, so it cannot be assessed. And of the disease-specific reference models, only COVID saved them, so for the other four datasets we can report our own calibration but cannot compare it against the reference.</w:t>
      </w:r>
    </w:p>
    <w:p>
      <w:pPr>
        <w:pStyle w:val="Heading2"/>
      </w:pPr>
      <w:r>
        <w:t>What we found wrong in our own work</w:t>
      </w:r>
    </w:p>
    <w:p>
      <w:pPr>
        <w:spacing w:after="120"/>
      </w:pPr>
      <w:r>
        <w:rPr>
          <w:b w:val="0"/>
          <w:i w:val="0"/>
        </w:rPr>
        <w:t>Three issues surfaced during checking, and all three are recorded here rather than quietly fixed.</w:t>
      </w:r>
    </w:p>
    <w:p>
      <w:pPr>
        <w:spacing w:after="120"/>
      </w:pPr>
      <w:r>
        <w:rPr>
          <w:b/>
          <w:i w:val="0"/>
        </w:rPr>
        <w:t>A results file was holding two different models under the same labels.</w:t>
      </w:r>
      <w:r>
        <w:rPr>
          <w:b w:val="0"/>
          <w:i w:val="0"/>
        </w:rPr>
        <w:t xml:space="preserve"> The COVID output contained both the standard forecast and an experimental bias-corrected variant, stored so that reading the file naively returned whichever appeared last. This inflated the COVID reference and manufactured </w:t>
      </w:r>
      <w:r>
        <w:rPr>
          <w:b/>
          <w:i w:val="0"/>
        </w:rPr>
        <w:t>three false "transfer helps" results</w:t>
      </w:r>
      <w:r>
        <w:rPr>
          <w:b w:val="0"/>
          <w:i w:val="0"/>
        </w:rPr>
        <w:t>. It was caught by an automated check that recomputes every published number from the raw outputs, and every figure in this document was produced after the fix.</w:t>
      </w:r>
    </w:p>
    <w:p>
      <w:pPr>
        <w:spacing w:after="120"/>
      </w:pPr>
      <w:r>
        <w:rPr>
          <w:b/>
          <w:i w:val="0"/>
        </w:rPr>
        <w:t>A 90% uncertainty range was being dropped silently.</w:t>
      </w:r>
      <w:r>
        <w:rPr>
          <w:b w:val="0"/>
          <w:i w:val="0"/>
        </w:rPr>
        <w:t xml:space="preserve"> A numerical precision issue meant one of the two uncertainty bands was discarded without any error being raised. Had it not been caught, the calibration result above would have been reported with half its evidence missing.</w:t>
      </w:r>
    </w:p>
    <w:p>
      <w:pPr>
        <w:spacing w:after="120"/>
      </w:pPr>
      <w:r>
        <w:rPr>
          <w:b/>
          <w:i w:val="0"/>
        </w:rPr>
        <w:t>The shared model stopped training very early.</w:t>
      </w:r>
      <w:r>
        <w:rPr>
          <w:b w:val="0"/>
          <w:i w:val="0"/>
        </w:rPr>
        <w:t xml:space="preserve"> In every one of the fifteen main runs, training halted after using between 1% and 16% of its allotted budget, because performance on the diseases it was training on stopped improving. The learning rate had barely moved from its starting value when training ended. The transfer results above are therefore measured on models that stopped early by their own criterion, and we cannot say from this run what a longer-trained shared model would do.</w:t>
      </w:r>
    </w:p>
    <w:p>
      <w:pPr>
        <w:pStyle w:val="Heading2"/>
      </w:pPr>
      <w:r>
        <w:t>Where these numbers are weak</w:t>
      </w:r>
    </w:p>
    <w:p>
      <w:pPr>
        <w:spacing w:after="120"/>
      </w:pPr>
      <w:r>
        <w:rPr>
          <w:b/>
          <w:i w:val="0"/>
        </w:rPr>
        <w:t>Three diseases is a small basis for a claim about diseases.</w:t>
      </w:r>
      <w:r>
        <w:rPr>
          <w:b w:val="0"/>
          <w:i w:val="0"/>
        </w:rPr>
        <w:t xml:space="preserve"> Influenza contributes three of the five datasets, dengue and COVID one each. Every conclusion about cross-disease behaviour rests on that.</w:t>
      </w:r>
    </w:p>
    <w:p>
      <w:pPr>
        <w:spacing w:after="120"/>
      </w:pPr>
      <w:r>
        <w:rPr>
          <w:b/>
          <w:i w:val="0"/>
        </w:rPr>
        <w:t>Only one comparison isolates the disease.</w:t>
      </w:r>
      <w:r>
        <w:rPr>
          <w:b w:val="0"/>
          <w:i w:val="0"/>
        </w:rPr>
        <w:t xml:space="preserve"> As described above, all the others change the map and the geography at the same time.</w:t>
      </w:r>
    </w:p>
    <w:p>
      <w:pPr>
        <w:spacing w:after="120"/>
      </w:pPr>
      <w:r>
        <w:rPr>
          <w:b/>
          <w:i w:val="0"/>
        </w:rPr>
        <w:t>The reference is an advantage the real application will not have.</w:t>
      </w:r>
      <w:r>
        <w:rPr>
          <w:b w:val="0"/>
          <w:i w:val="0"/>
        </w:rPr>
        <w:t xml:space="preserve"> In every transfer test, the held-out disease was given its complete training history to fit its disease-specific component. Ebola will offer 27 labelled examples. These results are therefore the most favourable case, not a typical one.</w:t>
      </w:r>
    </w:p>
    <w:p>
      <w:pPr>
        <w:spacing w:after="120"/>
      </w:pPr>
      <w:r>
        <w:rPr>
          <w:b/>
          <w:i w:val="0"/>
        </w:rPr>
        <w:t>The largest deficits fall at ten and fifteen weeks</w:t>
      </w:r>
      <w:r>
        <w:rPr>
          <w:b w:val="0"/>
          <w:i w:val="0"/>
        </w:rPr>
        <w:t>, which is where the Ebola data provides no material to tune on at all.</w:t>
      </w:r>
    </w:p>
    <w:p>
      <w:pPr>
        <w:spacing w:after="120"/>
      </w:pPr>
      <w:r>
        <w:rPr>
          <w:b w:val="0"/>
          <w:i w:val="0"/>
        </w:rPr>
        <w:t xml:space="preserve">Every number in this document can be traced to a run output. The detailed tables are in </w:t>
      </w:r>
      <w:r>
        <w:rPr>
          <w:rFonts w:ascii="Consolas" w:hAnsi="Consolas"/>
          <w:b w:val="0"/>
          <w:i w:val="0"/>
          <w:sz w:val="19"/>
        </w:rPr>
        <w:t>LDO3_Results.md</w:t>
      </w:r>
      <w:r>
        <w:rPr>
          <w:b w:val="0"/>
          <w:i w:val="0"/>
        </w:rPr>
        <w:t xml:space="preserve"> and </w:t>
      </w:r>
      <w:r>
        <w:rPr>
          <w:rFonts w:ascii="Consolas" w:hAnsi="Consolas"/>
          <w:b w:val="0"/>
          <w:i w:val="0"/>
          <w:sz w:val="19"/>
        </w:rPr>
        <w:t>Results_Matrix.md</w:t>
      </w:r>
      <w:r>
        <w:rPr>
          <w:b w:val="0"/>
          <w:i w:val="0"/>
        </w:rPr>
        <w:t xml:space="preserve">; the code that produced them, and the automated check that verifies each published figure against the raw results, are in </w:t>
      </w:r>
      <w:r>
        <w:rPr>
          <w:rFonts w:ascii="Consolas" w:hAnsi="Consolas"/>
          <w:b w:val="0"/>
          <w:i w:val="0"/>
          <w:sz w:val="19"/>
        </w:rPr>
        <w:t>ldo3_report.py</w:t>
      </w:r>
      <w:r>
        <w:rPr>
          <w:b w:val="0"/>
          <w:i w:val="0"/>
        </w:rPr>
        <w:t xml:space="preserve"> and </w:t>
      </w:r>
      <w:r>
        <w:rPr>
          <w:rFonts w:ascii="Consolas" w:hAnsi="Consolas"/>
          <w:b w:val="0"/>
          <w:i w:val="0"/>
          <w:sz w:val="19"/>
        </w:rPr>
        <w:t>verify_ldo3_doc.py</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