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588A13">
      <w:pPr>
        <w:pStyle w:val="36"/>
      </w:pPr>
      <w:r>
        <w:t>Emerging Disease Forecasting — What We Ran and What It Showed</w:t>
      </w:r>
    </w:p>
    <w:p w14:paraId="5BC9FB37">
      <w:pPr>
        <w:spacing w:after="200"/>
      </w:pPr>
      <w:r>
        <w:rPr>
          <w:i/>
        </w:rPr>
        <w:t>A walkthrough of the four experiments behind the current results. Each section says what the step was, shows its numbers, and gives the one-line conclusion. Ebola itself has not been touched — it stays sealed until everything upstream is final.</w:t>
      </w:r>
    </w:p>
    <w:p w14:paraId="19A06261">
      <w:pPr>
        <w:spacing w:after="120"/>
      </w:pPr>
      <w:r>
        <w:rPr>
          <w:i w:val="0"/>
        </w:rPr>
        <w:t>How to read the tables: 'Error' is average miss in real case counts, so lower is better. 'Correlation' is how well the predicted rise and fall matches what actually happened, from 0 to 1, so higher is better. '3 wks' and '15 wks' are how far ahead we forecast. Error figures show the average across 5 random restarts plus the spread between them (e.g. 42±6). Dagger (†) marks a number from a single restart, with no spread yet.</w:t>
      </w:r>
    </w:p>
    <w:p w14:paraId="37F7C5B0">
      <w:pPr>
        <w:pStyle w:val="2"/>
      </w:pPr>
      <w:r>
        <w:t>Step 1 — Train one model per disease, and check it beats the obvious shortcuts</w:t>
      </w:r>
    </w:p>
    <w:p w14:paraId="790FCAE0">
      <w:pPr>
        <w:spacing w:after="120"/>
      </w:pPr>
      <w:r>
        <w:rPr>
          <w:i w:val="0"/>
        </w:rPr>
        <w:t>Before anything clever, the model has to beat three shortcuts a non-specialist would try: copy last week's figure, copy the same week last year, or just use each region's long-run average. If it can't beat those, nothing else matters. We trained a separate model on each of the four diseases and compared it to the best of the three shortcuts, on every dataset and forecast range.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367693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6E3787A">
            <w:pPr>
              <w:spacing w:after="0" w:line="240" w:lineRule="auto"/>
            </w:pPr>
            <w:r>
              <w:rPr>
                <w:b/>
                <w:sz w:val="18"/>
              </w:rPr>
              <w:t>Dataset (regions)</w:t>
            </w:r>
          </w:p>
        </w:tc>
        <w:tc>
          <w:tcPr>
            <w:tcW w:w="1728" w:type="dxa"/>
          </w:tcPr>
          <w:p w14:paraId="2AB9DCD3">
            <w:pPr>
              <w:spacing w:after="0" w:line="240" w:lineRule="auto"/>
            </w:pPr>
            <w:r>
              <w:rPr>
                <w:b/>
                <w:sz w:val="18"/>
              </w:rPr>
              <w:t>Error, 3 wks</w:t>
            </w:r>
          </w:p>
        </w:tc>
        <w:tc>
          <w:tcPr>
            <w:tcW w:w="1728" w:type="dxa"/>
          </w:tcPr>
          <w:p w14:paraId="111EE8DF">
            <w:pPr>
              <w:spacing w:after="0" w:line="240" w:lineRule="auto"/>
            </w:pPr>
            <w:r>
              <w:rPr>
                <w:b/>
                <w:sz w:val="18"/>
              </w:rPr>
              <w:t>Error, 15 wks</w:t>
            </w:r>
          </w:p>
        </w:tc>
        <w:tc>
          <w:tcPr>
            <w:tcW w:w="1728" w:type="dxa"/>
          </w:tcPr>
          <w:p w14:paraId="65E25A21">
            <w:pPr>
              <w:spacing w:after="0" w:line="240" w:lineRule="auto"/>
            </w:pPr>
            <w:r>
              <w:rPr>
                <w:b/>
                <w:sz w:val="18"/>
              </w:rPr>
              <w:t>Correlation, 3 wks</w:t>
            </w:r>
          </w:p>
        </w:tc>
        <w:tc>
          <w:tcPr>
            <w:tcW w:w="1728" w:type="dxa"/>
          </w:tcPr>
          <w:p w14:paraId="7A554BFF">
            <w:pPr>
              <w:spacing w:after="0" w:line="240" w:lineRule="auto"/>
            </w:pPr>
            <w:r>
              <w:rPr>
                <w:b/>
                <w:sz w:val="18"/>
              </w:rPr>
              <w:t>Correlation, 15 wks</w:t>
            </w:r>
          </w:p>
        </w:tc>
      </w:tr>
      <w:tr w14:paraId="2981A3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76D992F">
            <w:pPr>
              <w:spacing w:after="0" w:line="240" w:lineRule="auto"/>
            </w:pPr>
            <w:r>
              <w:rPr>
                <w:sz w:val="18"/>
              </w:rPr>
              <w:t>Dengue (7165)</w:t>
            </w:r>
          </w:p>
        </w:tc>
        <w:tc>
          <w:tcPr>
            <w:tcW w:w="1728" w:type="dxa"/>
          </w:tcPr>
          <w:p w14:paraId="451CC357">
            <w:pPr>
              <w:spacing w:after="0" w:line="240" w:lineRule="auto"/>
            </w:pPr>
            <w:r>
              <w:rPr>
                <w:sz w:val="18"/>
              </w:rPr>
              <w:t>42±6 vs 32</w:t>
            </w:r>
          </w:p>
        </w:tc>
        <w:tc>
          <w:tcPr>
            <w:tcW w:w="1728" w:type="dxa"/>
          </w:tcPr>
          <w:p w14:paraId="2F65988F">
            <w:pPr>
              <w:spacing w:after="0" w:line="240" w:lineRule="auto"/>
            </w:pPr>
            <w:r>
              <w:rPr>
                <w:sz w:val="18"/>
              </w:rPr>
              <w:t>57±0 vs 57</w:t>
            </w:r>
          </w:p>
        </w:tc>
        <w:tc>
          <w:tcPr>
            <w:tcW w:w="1728" w:type="dxa"/>
          </w:tcPr>
          <w:p w14:paraId="25E26F3F">
            <w:pPr>
              <w:spacing w:after="0" w:line="240" w:lineRule="auto"/>
            </w:pPr>
            <w:r>
              <w:rPr>
                <w:sz w:val="18"/>
              </w:rPr>
              <w:t>0.42 vs 0.46</w:t>
            </w:r>
          </w:p>
        </w:tc>
        <w:tc>
          <w:tcPr>
            <w:tcW w:w="1728" w:type="dxa"/>
          </w:tcPr>
          <w:p w14:paraId="7A74B375">
            <w:pPr>
              <w:spacing w:after="0" w:line="240" w:lineRule="auto"/>
            </w:pPr>
            <w:r>
              <w:rPr>
                <w:sz w:val="18"/>
              </w:rPr>
              <w:t>0.11 vs 0.03</w:t>
            </w:r>
          </w:p>
        </w:tc>
      </w:tr>
      <w:tr w14:paraId="3AFC95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4640932">
            <w:pPr>
              <w:spacing w:after="0" w:line="240" w:lineRule="auto"/>
            </w:pPr>
            <w:r>
              <w:rPr>
                <w:sz w:val="18"/>
              </w:rPr>
              <w:t>Flu — Japan (47)</w:t>
            </w:r>
          </w:p>
        </w:tc>
        <w:tc>
          <w:tcPr>
            <w:tcW w:w="1728" w:type="dxa"/>
          </w:tcPr>
          <w:p w14:paraId="449EB3BB">
            <w:pPr>
              <w:spacing w:after="0" w:line="240" w:lineRule="auto"/>
            </w:pPr>
            <w:r>
              <w:rPr>
                <w:sz w:val="18"/>
              </w:rPr>
              <w:t>735±59 vs 547</w:t>
            </w:r>
          </w:p>
        </w:tc>
        <w:tc>
          <w:tcPr>
            <w:tcW w:w="1728" w:type="dxa"/>
          </w:tcPr>
          <w:p w14:paraId="68EFE644">
            <w:pPr>
              <w:spacing w:after="0" w:line="240" w:lineRule="auto"/>
            </w:pPr>
            <w:r>
              <w:rPr>
                <w:sz w:val="18"/>
              </w:rPr>
              <w:t>1031±121 vs 680</w:t>
            </w:r>
          </w:p>
        </w:tc>
        <w:tc>
          <w:tcPr>
            <w:tcW w:w="1728" w:type="dxa"/>
          </w:tcPr>
          <w:p w14:paraId="7F5DBA19">
            <w:pPr>
              <w:spacing w:after="0" w:line="240" w:lineRule="auto"/>
            </w:pPr>
            <w:r>
              <w:rPr>
                <w:sz w:val="18"/>
              </w:rPr>
              <w:t>0.87 vs 0.91</w:t>
            </w:r>
          </w:p>
        </w:tc>
        <w:tc>
          <w:tcPr>
            <w:tcW w:w="1728" w:type="dxa"/>
          </w:tcPr>
          <w:p w14:paraId="2C375349">
            <w:pPr>
              <w:spacing w:after="0" w:line="240" w:lineRule="auto"/>
            </w:pPr>
            <w:r>
              <w:rPr>
                <w:sz w:val="18"/>
              </w:rPr>
              <w:t>0.84 vs 0.87</w:t>
            </w:r>
          </w:p>
        </w:tc>
      </w:tr>
      <w:tr w14:paraId="538CB8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2EF8840">
            <w:pPr>
              <w:spacing w:after="0" w:line="240" w:lineRule="auto"/>
            </w:pPr>
            <w:r>
              <w:rPr>
                <w:sz w:val="18"/>
              </w:rPr>
              <w:t>Flu — US regions (10)</w:t>
            </w:r>
          </w:p>
        </w:tc>
        <w:tc>
          <w:tcPr>
            <w:tcW w:w="1728" w:type="dxa"/>
          </w:tcPr>
          <w:p w14:paraId="6E7EAE74">
            <w:pPr>
              <w:spacing w:after="0" w:line="240" w:lineRule="auto"/>
            </w:pPr>
            <w:r>
              <w:rPr>
                <w:sz w:val="18"/>
              </w:rPr>
              <w:t>613±82 vs 600</w:t>
            </w:r>
          </w:p>
        </w:tc>
        <w:tc>
          <w:tcPr>
            <w:tcW w:w="1728" w:type="dxa"/>
          </w:tcPr>
          <w:p w14:paraId="41225E44">
            <w:pPr>
              <w:spacing w:after="0" w:line="240" w:lineRule="auto"/>
            </w:pPr>
            <w:r>
              <w:rPr>
                <w:sz w:val="18"/>
              </w:rPr>
              <w:t>813±68 vs 715</w:t>
            </w:r>
          </w:p>
        </w:tc>
        <w:tc>
          <w:tcPr>
            <w:tcW w:w="1728" w:type="dxa"/>
          </w:tcPr>
          <w:p w14:paraId="3E95C3A8">
            <w:pPr>
              <w:spacing w:after="0" w:line="240" w:lineRule="auto"/>
            </w:pPr>
            <w:r>
              <w:rPr>
                <w:sz w:val="18"/>
              </w:rPr>
              <w:t>0.82 vs 0.79</w:t>
            </w:r>
          </w:p>
        </w:tc>
        <w:tc>
          <w:tcPr>
            <w:tcW w:w="1728" w:type="dxa"/>
          </w:tcPr>
          <w:p w14:paraId="475DFE90">
            <w:pPr>
              <w:spacing w:after="0" w:line="240" w:lineRule="auto"/>
            </w:pPr>
            <w:r>
              <w:rPr>
                <w:sz w:val="18"/>
              </w:rPr>
              <w:t>0.66 vs 0.71</w:t>
            </w:r>
          </w:p>
        </w:tc>
      </w:tr>
      <w:tr w14:paraId="5E4E68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DDF526E">
            <w:pPr>
              <w:spacing w:after="0" w:line="240" w:lineRule="auto"/>
            </w:pPr>
            <w:r>
              <w:rPr>
                <w:sz w:val="18"/>
              </w:rPr>
              <w:t>Flu — US states (49)</w:t>
            </w:r>
          </w:p>
        </w:tc>
        <w:tc>
          <w:tcPr>
            <w:tcW w:w="1728" w:type="dxa"/>
          </w:tcPr>
          <w:p w14:paraId="13C0D26A">
            <w:pPr>
              <w:spacing w:after="0" w:line="240" w:lineRule="auto"/>
            </w:pPr>
            <w:r>
              <w:rPr>
                <w:sz w:val="18"/>
              </w:rPr>
              <w:t>113±4 vs 124</w:t>
            </w:r>
          </w:p>
        </w:tc>
        <w:tc>
          <w:tcPr>
            <w:tcW w:w="1728" w:type="dxa"/>
          </w:tcPr>
          <w:p w14:paraId="011AAB77">
            <w:pPr>
              <w:spacing w:after="0" w:line="240" w:lineRule="auto"/>
            </w:pPr>
            <w:r>
              <w:rPr>
                <w:sz w:val="18"/>
              </w:rPr>
              <w:t>154±4 vs 190</w:t>
            </w:r>
          </w:p>
        </w:tc>
        <w:tc>
          <w:tcPr>
            <w:tcW w:w="1728" w:type="dxa"/>
          </w:tcPr>
          <w:p w14:paraId="2C5C4817">
            <w:pPr>
              <w:spacing w:after="0" w:line="240" w:lineRule="auto"/>
            </w:pPr>
            <w:r>
              <w:rPr>
                <w:sz w:val="18"/>
              </w:rPr>
              <w:t>0.81 vs 0.72</w:t>
            </w:r>
          </w:p>
        </w:tc>
        <w:tc>
          <w:tcPr>
            <w:tcW w:w="1728" w:type="dxa"/>
          </w:tcPr>
          <w:p w14:paraId="797A9CA6">
            <w:pPr>
              <w:spacing w:after="0" w:line="240" w:lineRule="auto"/>
            </w:pPr>
            <w:r>
              <w:rPr>
                <w:sz w:val="18"/>
              </w:rPr>
              <w:t>0.64 vs 0.46</w:t>
            </w:r>
          </w:p>
        </w:tc>
      </w:tr>
    </w:tbl>
    <w:p w14:paraId="0342FE24">
      <w:pPr>
        <w:spacing w:after="40"/>
      </w:pPr>
    </w:p>
    <w:p w14:paraId="276E91AA">
      <w:pPr>
        <w:spacing w:after="120"/>
      </w:pPr>
      <w:r>
        <w:rPr>
          <w:i/>
        </w:rPr>
        <w:t>Left number is our model, right number is the best shortcut. The winning shortcut is 'copy last week' at 3 weeks and 'copy last year' or the regional average at 15 weeks.</w:t>
      </w:r>
    </w:p>
    <w:p w14:paraId="7384104A">
      <w:pPr>
        <w:spacing w:after="280"/>
      </w:pPr>
      <w:r>
        <w:rPr>
          <w:b/>
        </w:rPr>
        <w:t xml:space="preserve">Takeaway: </w:t>
      </w:r>
      <w:r>
        <w:t>Clean win on US-states at every range. On dengue the shortcut wins short-term — copying last week is very hard to beat 3 weeks out — but we draw level or ahead from 10 weeks on. Japan loses throughout because our model only looks 20 weeks back and cannot see last year's peak height, which 'copy last year' gets for free. US-regions has only 10 regions and is too noisy to call.</w:t>
      </w:r>
    </w:p>
    <w:p w14:paraId="59A1A829">
      <w:pPr>
        <w:pStyle w:val="2"/>
      </w:pPr>
      <w:r>
        <w:t>Step 2 — Train one model on all four diseases at once</w:t>
      </w:r>
    </w:p>
    <w:p w14:paraId="55FE3608">
      <w:pPr>
        <w:spacing w:after="120"/>
      </w:pPr>
      <w:r>
        <w:rPr>
          <w:i w:val="0"/>
        </w:rPr>
        <w:t>The original plan was that diseases would teach each other: pool everything into one shared model and let it learn patterns common to all outbreaks. We ran that, then compared each disease against its own dedicated model from Step 1.</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060C6BC8">
        <w:tc>
          <w:tcPr>
            <w:tcW w:w="1728" w:type="dxa"/>
          </w:tcPr>
          <w:p w14:paraId="16EBB6F0">
            <w:pPr>
              <w:spacing w:after="0" w:line="240" w:lineRule="auto"/>
            </w:pPr>
            <w:r>
              <w:rPr>
                <w:b/>
                <w:sz w:val="18"/>
              </w:rPr>
              <w:t>Dataset (regions)</w:t>
            </w:r>
          </w:p>
        </w:tc>
        <w:tc>
          <w:tcPr>
            <w:tcW w:w="1728" w:type="dxa"/>
          </w:tcPr>
          <w:p w14:paraId="07559896">
            <w:pPr>
              <w:spacing w:after="0" w:line="240" w:lineRule="auto"/>
            </w:pPr>
            <w:r>
              <w:rPr>
                <w:b/>
                <w:sz w:val="18"/>
              </w:rPr>
              <w:t>Error, 3 wks</w:t>
            </w:r>
          </w:p>
        </w:tc>
        <w:tc>
          <w:tcPr>
            <w:tcW w:w="1728" w:type="dxa"/>
          </w:tcPr>
          <w:p w14:paraId="7FEFF8AF">
            <w:pPr>
              <w:spacing w:after="0" w:line="240" w:lineRule="auto"/>
            </w:pPr>
            <w:r>
              <w:rPr>
                <w:b/>
                <w:sz w:val="18"/>
              </w:rPr>
              <w:t>Error, 15 wks</w:t>
            </w:r>
          </w:p>
        </w:tc>
        <w:tc>
          <w:tcPr>
            <w:tcW w:w="1728" w:type="dxa"/>
          </w:tcPr>
          <w:p w14:paraId="4E7242E6">
            <w:pPr>
              <w:spacing w:after="0" w:line="240" w:lineRule="auto"/>
            </w:pPr>
            <w:r>
              <w:rPr>
                <w:b/>
                <w:sz w:val="18"/>
              </w:rPr>
              <w:t>Correlation, 3 wks</w:t>
            </w:r>
          </w:p>
        </w:tc>
        <w:tc>
          <w:tcPr>
            <w:tcW w:w="1728" w:type="dxa"/>
          </w:tcPr>
          <w:p w14:paraId="264E5007">
            <w:pPr>
              <w:spacing w:after="0" w:line="240" w:lineRule="auto"/>
            </w:pPr>
            <w:r>
              <w:rPr>
                <w:b/>
                <w:sz w:val="18"/>
              </w:rPr>
              <w:t>Correlation, 15 wks</w:t>
            </w:r>
          </w:p>
        </w:tc>
      </w:tr>
      <w:tr w14:paraId="54AB91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61B5107">
            <w:pPr>
              <w:spacing w:after="0" w:line="240" w:lineRule="auto"/>
            </w:pPr>
            <w:r>
              <w:rPr>
                <w:sz w:val="18"/>
              </w:rPr>
              <w:t>Dengue (7165)</w:t>
            </w:r>
          </w:p>
        </w:tc>
        <w:tc>
          <w:tcPr>
            <w:tcW w:w="1728" w:type="dxa"/>
          </w:tcPr>
          <w:p w14:paraId="4F96EED9">
            <w:pPr>
              <w:spacing w:after="0" w:line="240" w:lineRule="auto"/>
            </w:pPr>
            <w:r>
              <w:rPr>
                <w:sz w:val="18"/>
              </w:rPr>
              <w:t>42±6 → 43±3</w:t>
            </w:r>
          </w:p>
        </w:tc>
        <w:tc>
          <w:tcPr>
            <w:tcW w:w="1728" w:type="dxa"/>
          </w:tcPr>
          <w:p w14:paraId="2DE1E631">
            <w:pPr>
              <w:spacing w:after="0" w:line="240" w:lineRule="auto"/>
            </w:pPr>
            <w:r>
              <w:rPr>
                <w:sz w:val="18"/>
              </w:rPr>
              <w:t>57±0 → 58±0</w:t>
            </w:r>
          </w:p>
        </w:tc>
        <w:tc>
          <w:tcPr>
            <w:tcW w:w="1728" w:type="dxa"/>
          </w:tcPr>
          <w:p w14:paraId="4CB87D65">
            <w:pPr>
              <w:spacing w:after="0" w:line="240" w:lineRule="auto"/>
            </w:pPr>
            <w:r>
              <w:rPr>
                <w:sz w:val="18"/>
              </w:rPr>
              <w:t>0.42 → 0.43</w:t>
            </w:r>
          </w:p>
        </w:tc>
        <w:tc>
          <w:tcPr>
            <w:tcW w:w="1728" w:type="dxa"/>
          </w:tcPr>
          <w:p w14:paraId="2CD76457">
            <w:pPr>
              <w:spacing w:after="0" w:line="240" w:lineRule="auto"/>
            </w:pPr>
            <w:r>
              <w:rPr>
                <w:sz w:val="18"/>
              </w:rPr>
              <w:t>0.11 → 0.10</w:t>
            </w:r>
          </w:p>
        </w:tc>
      </w:tr>
      <w:tr w14:paraId="56257B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F96A728">
            <w:pPr>
              <w:spacing w:after="0" w:line="240" w:lineRule="auto"/>
            </w:pPr>
            <w:r>
              <w:rPr>
                <w:sz w:val="18"/>
              </w:rPr>
              <w:t>Flu — Japan (47)</w:t>
            </w:r>
          </w:p>
        </w:tc>
        <w:tc>
          <w:tcPr>
            <w:tcW w:w="1728" w:type="dxa"/>
          </w:tcPr>
          <w:p w14:paraId="3507A79D">
            <w:pPr>
              <w:spacing w:after="0" w:line="240" w:lineRule="auto"/>
            </w:pPr>
            <w:r>
              <w:rPr>
                <w:sz w:val="18"/>
              </w:rPr>
              <w:t>735±59 → 779±93</w:t>
            </w:r>
          </w:p>
        </w:tc>
        <w:tc>
          <w:tcPr>
            <w:tcW w:w="1728" w:type="dxa"/>
          </w:tcPr>
          <w:p w14:paraId="45053CFB">
            <w:pPr>
              <w:spacing w:after="0" w:line="240" w:lineRule="auto"/>
            </w:pPr>
            <w:r>
              <w:rPr>
                <w:sz w:val="18"/>
              </w:rPr>
              <w:t>1031±121 → 1217±109</w:t>
            </w:r>
          </w:p>
        </w:tc>
        <w:tc>
          <w:tcPr>
            <w:tcW w:w="1728" w:type="dxa"/>
          </w:tcPr>
          <w:p w14:paraId="5E0FCCF3">
            <w:pPr>
              <w:spacing w:after="0" w:line="240" w:lineRule="auto"/>
            </w:pPr>
            <w:r>
              <w:rPr>
                <w:sz w:val="18"/>
              </w:rPr>
              <w:t>0.87 → 0.83</w:t>
            </w:r>
          </w:p>
        </w:tc>
        <w:tc>
          <w:tcPr>
            <w:tcW w:w="1728" w:type="dxa"/>
          </w:tcPr>
          <w:p w14:paraId="56818D9B">
            <w:pPr>
              <w:spacing w:after="0" w:line="240" w:lineRule="auto"/>
            </w:pPr>
            <w:r>
              <w:rPr>
                <w:sz w:val="18"/>
              </w:rPr>
              <w:t>0.84 → 0.82</w:t>
            </w:r>
          </w:p>
        </w:tc>
      </w:tr>
      <w:tr w14:paraId="7B4729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969A470">
            <w:pPr>
              <w:spacing w:after="0" w:line="240" w:lineRule="auto"/>
            </w:pPr>
            <w:r>
              <w:rPr>
                <w:sz w:val="18"/>
              </w:rPr>
              <w:t>Flu — US regions (10)</w:t>
            </w:r>
          </w:p>
        </w:tc>
        <w:tc>
          <w:tcPr>
            <w:tcW w:w="1728" w:type="dxa"/>
          </w:tcPr>
          <w:p w14:paraId="4382F81D">
            <w:pPr>
              <w:spacing w:after="0" w:line="240" w:lineRule="auto"/>
            </w:pPr>
            <w:r>
              <w:rPr>
                <w:sz w:val="18"/>
              </w:rPr>
              <w:t>613±82 → 607±35</w:t>
            </w:r>
          </w:p>
        </w:tc>
        <w:tc>
          <w:tcPr>
            <w:tcW w:w="1728" w:type="dxa"/>
          </w:tcPr>
          <w:p w14:paraId="3FD63E2F">
            <w:pPr>
              <w:spacing w:after="0" w:line="240" w:lineRule="auto"/>
            </w:pPr>
            <w:r>
              <w:rPr>
                <w:sz w:val="18"/>
              </w:rPr>
              <w:t>813±68 → 905±174</w:t>
            </w:r>
          </w:p>
        </w:tc>
        <w:tc>
          <w:tcPr>
            <w:tcW w:w="1728" w:type="dxa"/>
          </w:tcPr>
          <w:p w14:paraId="3BF725AB">
            <w:pPr>
              <w:spacing w:after="0" w:line="240" w:lineRule="auto"/>
            </w:pPr>
            <w:r>
              <w:rPr>
                <w:sz w:val="18"/>
              </w:rPr>
              <w:t>0.82 → 0.82</w:t>
            </w:r>
          </w:p>
        </w:tc>
        <w:tc>
          <w:tcPr>
            <w:tcW w:w="1728" w:type="dxa"/>
          </w:tcPr>
          <w:p w14:paraId="40154B18">
            <w:pPr>
              <w:spacing w:after="0" w:line="240" w:lineRule="auto"/>
            </w:pPr>
            <w:r>
              <w:rPr>
                <w:sz w:val="18"/>
              </w:rPr>
              <w:t>0.66 → 0.52</w:t>
            </w:r>
          </w:p>
        </w:tc>
      </w:tr>
      <w:tr w14:paraId="70909E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9EEA175">
            <w:pPr>
              <w:spacing w:after="0" w:line="240" w:lineRule="auto"/>
            </w:pPr>
            <w:r>
              <w:rPr>
                <w:sz w:val="18"/>
              </w:rPr>
              <w:t>Flu — US states (49)</w:t>
            </w:r>
          </w:p>
        </w:tc>
        <w:tc>
          <w:tcPr>
            <w:tcW w:w="1728" w:type="dxa"/>
          </w:tcPr>
          <w:p w14:paraId="086CCEB2">
            <w:pPr>
              <w:spacing w:after="0" w:line="240" w:lineRule="auto"/>
            </w:pPr>
            <w:r>
              <w:rPr>
                <w:sz w:val="18"/>
              </w:rPr>
              <w:t>113±4 → 113±7</w:t>
            </w:r>
          </w:p>
        </w:tc>
        <w:tc>
          <w:tcPr>
            <w:tcW w:w="1728" w:type="dxa"/>
          </w:tcPr>
          <w:p w14:paraId="1B63D306">
            <w:pPr>
              <w:spacing w:after="0" w:line="240" w:lineRule="auto"/>
            </w:pPr>
            <w:r>
              <w:rPr>
                <w:sz w:val="18"/>
              </w:rPr>
              <w:t>154±4 → 155±4</w:t>
            </w:r>
          </w:p>
        </w:tc>
        <w:tc>
          <w:tcPr>
            <w:tcW w:w="1728" w:type="dxa"/>
          </w:tcPr>
          <w:p w14:paraId="4451B0F3">
            <w:pPr>
              <w:spacing w:after="0" w:line="240" w:lineRule="auto"/>
            </w:pPr>
            <w:r>
              <w:rPr>
                <w:sz w:val="18"/>
              </w:rPr>
              <w:t>0.81 → 0.80</w:t>
            </w:r>
          </w:p>
        </w:tc>
        <w:tc>
          <w:tcPr>
            <w:tcW w:w="1728" w:type="dxa"/>
          </w:tcPr>
          <w:p w14:paraId="2AC94B57">
            <w:pPr>
              <w:spacing w:after="0" w:line="240" w:lineRule="auto"/>
            </w:pPr>
            <w:r>
              <w:rPr>
                <w:sz w:val="18"/>
              </w:rPr>
              <w:t>0.64 → 0.66</w:t>
            </w:r>
          </w:p>
        </w:tc>
      </w:tr>
    </w:tbl>
    <w:p w14:paraId="76EB355F">
      <w:pPr>
        <w:spacing w:after="40"/>
      </w:pPr>
    </w:p>
    <w:p w14:paraId="646797F3">
      <w:pPr>
        <w:spacing w:after="120"/>
      </w:pPr>
      <w:r>
        <w:rPr>
          <w:i/>
        </w:rPr>
        <w:t>Left is the dedicated model, right is the shared model. Any change smaller than the spread figure is within noise and should not be read as a direction.</w:t>
      </w:r>
    </w:p>
    <w:p w14:paraId="612269B8">
      <w:pPr>
        <w:spacing w:after="280"/>
      </w:pPr>
      <w:r>
        <w:rPr>
          <w:b/>
        </w:rPr>
        <w:t xml:space="preserve">Takeaway: </w:t>
      </w:r>
      <w:r>
        <w:t>It did not work. Pooling never helped, and it hurt the two smallest datasets — the ones most like Ebola. The cause is lopsided data: dengue is about 98% of all training examples, so the shared model quietly becomes a dengue model that glanced at flu. This approach is closed.</w:t>
      </w:r>
    </w:p>
    <w:p w14:paraId="074860F0">
      <w:pPr>
        <w:pStyle w:val="2"/>
      </w:pPr>
      <w:r>
        <w:t>Step 3 — Train on three diseases, freeze, then adapt to the fourth</w:t>
      </w:r>
    </w:p>
    <w:p w14:paraId="0AE26BCD">
      <w:pPr>
        <w:spacing w:after="120"/>
      </w:pPr>
      <w:r>
        <w:rPr>
          <w:i w:val="0"/>
        </w:rPr>
        <w:t>This is the step that matters most, because it is exactly what we will have to do with Ebola. We train the shared engine on three diseases, lock it so it cannot change, then fit a very small add-on using only the fourth disease — the one it has never seen. If the locked engine carries anything genuinely useful about how outbreaks behave, this should work despite the tiny amount of new data. We compare it against the dedicated model that was trained on that disease directly.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4171A3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14D8D9D">
            <w:pPr>
              <w:spacing w:after="0" w:line="240" w:lineRule="auto"/>
            </w:pPr>
            <w:r>
              <w:rPr>
                <w:b/>
                <w:sz w:val="18"/>
              </w:rPr>
              <w:t>Dataset (regions)</w:t>
            </w:r>
          </w:p>
        </w:tc>
        <w:tc>
          <w:tcPr>
            <w:tcW w:w="1728" w:type="dxa"/>
          </w:tcPr>
          <w:p w14:paraId="17DF6049">
            <w:pPr>
              <w:spacing w:after="0" w:line="240" w:lineRule="auto"/>
            </w:pPr>
            <w:r>
              <w:rPr>
                <w:b/>
                <w:sz w:val="18"/>
              </w:rPr>
              <w:t>Error, 3 wks</w:t>
            </w:r>
          </w:p>
        </w:tc>
        <w:tc>
          <w:tcPr>
            <w:tcW w:w="1728" w:type="dxa"/>
          </w:tcPr>
          <w:p w14:paraId="239FB5D2">
            <w:pPr>
              <w:spacing w:after="0" w:line="240" w:lineRule="auto"/>
            </w:pPr>
            <w:r>
              <w:rPr>
                <w:b/>
                <w:sz w:val="18"/>
              </w:rPr>
              <w:t>Error, 15 wks</w:t>
            </w:r>
          </w:p>
        </w:tc>
        <w:tc>
          <w:tcPr>
            <w:tcW w:w="1728" w:type="dxa"/>
          </w:tcPr>
          <w:p w14:paraId="14E1845A">
            <w:pPr>
              <w:spacing w:after="0" w:line="240" w:lineRule="auto"/>
            </w:pPr>
            <w:r>
              <w:rPr>
                <w:b/>
                <w:sz w:val="18"/>
              </w:rPr>
              <w:t>Correlation, 3 wks</w:t>
            </w:r>
          </w:p>
        </w:tc>
        <w:tc>
          <w:tcPr>
            <w:tcW w:w="1728" w:type="dxa"/>
          </w:tcPr>
          <w:p w14:paraId="7992BF1E">
            <w:pPr>
              <w:spacing w:after="0" w:line="240" w:lineRule="auto"/>
            </w:pPr>
            <w:r>
              <w:rPr>
                <w:b/>
                <w:sz w:val="18"/>
              </w:rPr>
              <w:t>Correlation, 15 wks</w:t>
            </w:r>
          </w:p>
        </w:tc>
      </w:tr>
      <w:tr w14:paraId="43FC9E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8B30A44">
            <w:pPr>
              <w:spacing w:after="0" w:line="240" w:lineRule="auto"/>
            </w:pPr>
            <w:r>
              <w:rPr>
                <w:sz w:val="18"/>
              </w:rPr>
              <w:t>Dengue (7165)</w:t>
            </w:r>
          </w:p>
        </w:tc>
        <w:tc>
          <w:tcPr>
            <w:tcW w:w="1728" w:type="dxa"/>
          </w:tcPr>
          <w:p w14:paraId="58736D38">
            <w:pPr>
              <w:spacing w:after="0" w:line="240" w:lineRule="auto"/>
            </w:pPr>
            <w:r>
              <w:rPr>
                <w:sz w:val="18"/>
              </w:rPr>
              <w:t>42±6 → 49†</w:t>
            </w:r>
          </w:p>
        </w:tc>
        <w:tc>
          <w:tcPr>
            <w:tcW w:w="1728" w:type="dxa"/>
          </w:tcPr>
          <w:p w14:paraId="3FE6EA76">
            <w:pPr>
              <w:spacing w:after="0" w:line="240" w:lineRule="auto"/>
            </w:pPr>
            <w:r>
              <w:rPr>
                <w:sz w:val="18"/>
              </w:rPr>
              <w:t>57±0 → 58†</w:t>
            </w:r>
          </w:p>
        </w:tc>
        <w:tc>
          <w:tcPr>
            <w:tcW w:w="1728" w:type="dxa"/>
          </w:tcPr>
          <w:p w14:paraId="119B1F60">
            <w:pPr>
              <w:spacing w:after="0" w:line="240" w:lineRule="auto"/>
            </w:pPr>
            <w:r>
              <w:rPr>
                <w:sz w:val="18"/>
              </w:rPr>
              <w:t>0.42 → 0.42†</w:t>
            </w:r>
          </w:p>
        </w:tc>
        <w:tc>
          <w:tcPr>
            <w:tcW w:w="1728" w:type="dxa"/>
          </w:tcPr>
          <w:p w14:paraId="29C7D769">
            <w:pPr>
              <w:spacing w:after="0" w:line="240" w:lineRule="auto"/>
            </w:pPr>
            <w:r>
              <w:rPr>
                <w:sz w:val="18"/>
              </w:rPr>
              <w:t>0.11 → 0.09†</w:t>
            </w:r>
          </w:p>
        </w:tc>
      </w:tr>
      <w:tr w14:paraId="5EF0F2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7CA8523">
            <w:pPr>
              <w:spacing w:after="0" w:line="240" w:lineRule="auto"/>
            </w:pPr>
            <w:r>
              <w:rPr>
                <w:sz w:val="18"/>
              </w:rPr>
              <w:t>Flu — Japan (47)</w:t>
            </w:r>
          </w:p>
        </w:tc>
        <w:tc>
          <w:tcPr>
            <w:tcW w:w="1728" w:type="dxa"/>
          </w:tcPr>
          <w:p w14:paraId="16F7987A">
            <w:pPr>
              <w:spacing w:after="0" w:line="240" w:lineRule="auto"/>
            </w:pPr>
            <w:r>
              <w:rPr>
                <w:sz w:val="18"/>
              </w:rPr>
              <w:t>735±59 → 563†</w:t>
            </w:r>
          </w:p>
        </w:tc>
        <w:tc>
          <w:tcPr>
            <w:tcW w:w="1728" w:type="dxa"/>
          </w:tcPr>
          <w:p w14:paraId="0BFF1F43">
            <w:pPr>
              <w:spacing w:after="0" w:line="240" w:lineRule="auto"/>
            </w:pPr>
            <w:r>
              <w:rPr>
                <w:sz w:val="18"/>
              </w:rPr>
              <w:t>1031±121 → 1304†</w:t>
            </w:r>
          </w:p>
        </w:tc>
        <w:tc>
          <w:tcPr>
            <w:tcW w:w="1728" w:type="dxa"/>
          </w:tcPr>
          <w:p w14:paraId="7CAEAB21">
            <w:pPr>
              <w:spacing w:after="0" w:line="240" w:lineRule="auto"/>
            </w:pPr>
            <w:r>
              <w:rPr>
                <w:sz w:val="18"/>
              </w:rPr>
              <w:t>0.87 → 0.91†</w:t>
            </w:r>
          </w:p>
        </w:tc>
        <w:tc>
          <w:tcPr>
            <w:tcW w:w="1728" w:type="dxa"/>
          </w:tcPr>
          <w:p w14:paraId="6AD5825E">
            <w:pPr>
              <w:spacing w:after="0" w:line="240" w:lineRule="auto"/>
            </w:pPr>
            <w:r>
              <w:rPr>
                <w:sz w:val="18"/>
              </w:rPr>
              <w:t>0.84 → 0.75†</w:t>
            </w:r>
          </w:p>
        </w:tc>
      </w:tr>
      <w:tr w14:paraId="712C12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F577B3D">
            <w:pPr>
              <w:spacing w:after="0" w:line="240" w:lineRule="auto"/>
            </w:pPr>
            <w:r>
              <w:rPr>
                <w:sz w:val="18"/>
              </w:rPr>
              <w:t>Flu — US regions (10)</w:t>
            </w:r>
          </w:p>
        </w:tc>
        <w:tc>
          <w:tcPr>
            <w:tcW w:w="1728" w:type="dxa"/>
          </w:tcPr>
          <w:p w14:paraId="4F3C427E">
            <w:pPr>
              <w:spacing w:after="0" w:line="240" w:lineRule="auto"/>
            </w:pPr>
            <w:r>
              <w:rPr>
                <w:sz w:val="18"/>
              </w:rPr>
              <w:t>613±82 → 553†</w:t>
            </w:r>
          </w:p>
        </w:tc>
        <w:tc>
          <w:tcPr>
            <w:tcW w:w="1728" w:type="dxa"/>
          </w:tcPr>
          <w:p w14:paraId="657A65A8">
            <w:pPr>
              <w:spacing w:after="0" w:line="240" w:lineRule="auto"/>
            </w:pPr>
            <w:r>
              <w:rPr>
                <w:sz w:val="18"/>
              </w:rPr>
              <w:t>813±68 → 836†</w:t>
            </w:r>
          </w:p>
        </w:tc>
        <w:tc>
          <w:tcPr>
            <w:tcW w:w="1728" w:type="dxa"/>
          </w:tcPr>
          <w:p w14:paraId="2E8861C6">
            <w:pPr>
              <w:spacing w:after="0" w:line="240" w:lineRule="auto"/>
            </w:pPr>
            <w:r>
              <w:rPr>
                <w:sz w:val="18"/>
              </w:rPr>
              <w:t>0.82 → 0.87†</w:t>
            </w:r>
          </w:p>
        </w:tc>
        <w:tc>
          <w:tcPr>
            <w:tcW w:w="1728" w:type="dxa"/>
          </w:tcPr>
          <w:p w14:paraId="77D413D3">
            <w:pPr>
              <w:spacing w:after="0" w:line="240" w:lineRule="auto"/>
            </w:pPr>
            <w:r>
              <w:rPr>
                <w:sz w:val="18"/>
              </w:rPr>
              <w:t>0.66 → 0.62†</w:t>
            </w:r>
          </w:p>
        </w:tc>
      </w:tr>
      <w:tr w14:paraId="104B51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C86CEF2">
            <w:pPr>
              <w:spacing w:after="0" w:line="240" w:lineRule="auto"/>
            </w:pPr>
            <w:r>
              <w:rPr>
                <w:sz w:val="18"/>
              </w:rPr>
              <w:t>Flu — US states (49)</w:t>
            </w:r>
          </w:p>
        </w:tc>
        <w:tc>
          <w:tcPr>
            <w:tcW w:w="1728" w:type="dxa"/>
          </w:tcPr>
          <w:p w14:paraId="7DBB38B7">
            <w:pPr>
              <w:spacing w:after="0" w:line="240" w:lineRule="auto"/>
            </w:pPr>
            <w:r>
              <w:rPr>
                <w:sz w:val="18"/>
              </w:rPr>
              <w:t>113±4 → 112†</w:t>
            </w:r>
          </w:p>
        </w:tc>
        <w:tc>
          <w:tcPr>
            <w:tcW w:w="1728" w:type="dxa"/>
          </w:tcPr>
          <w:p w14:paraId="7C12A38E">
            <w:pPr>
              <w:spacing w:after="0" w:line="240" w:lineRule="auto"/>
            </w:pPr>
            <w:r>
              <w:rPr>
                <w:sz w:val="18"/>
              </w:rPr>
              <w:t>154±4 → 156†</w:t>
            </w:r>
          </w:p>
        </w:tc>
        <w:tc>
          <w:tcPr>
            <w:tcW w:w="1728" w:type="dxa"/>
          </w:tcPr>
          <w:p w14:paraId="2D89C5D3">
            <w:pPr>
              <w:spacing w:after="0" w:line="240" w:lineRule="auto"/>
            </w:pPr>
            <w:r>
              <w:rPr>
                <w:sz w:val="18"/>
              </w:rPr>
              <w:t>0.81 → 0.79†</w:t>
            </w:r>
          </w:p>
        </w:tc>
        <w:tc>
          <w:tcPr>
            <w:tcW w:w="1728" w:type="dxa"/>
          </w:tcPr>
          <w:p w14:paraId="5103CE35">
            <w:pPr>
              <w:spacing w:after="0" w:line="240" w:lineRule="auto"/>
            </w:pPr>
            <w:r>
              <w:rPr>
                <w:sz w:val="18"/>
              </w:rPr>
              <w:t>0.64 → 0.67†</w:t>
            </w:r>
          </w:p>
        </w:tc>
      </w:tr>
    </w:tbl>
    <w:p w14:paraId="4EE8214C">
      <w:pPr>
        <w:spacing w:after="40"/>
      </w:pPr>
    </w:p>
    <w:p w14:paraId="7E15EADD">
      <w:pPr>
        <w:spacing w:after="120"/>
      </w:pPr>
      <w:r>
        <w:rPr>
          <w:i/>
        </w:rPr>
        <w:t>Left is the dedicated model, right is the transferred one. All transfer figures are a single restart; the five-restart confirmation is on hold until the disease groupings are corrected.</w:t>
      </w:r>
    </w:p>
    <w:p w14:paraId="3AA42350">
      <w:pPr>
        <w:spacing w:after="280"/>
      </w:pPr>
      <w:r>
        <w:rPr>
          <w:b/>
        </w:rPr>
        <w:t xml:space="preserve">Takeaway: </w:t>
      </w:r>
      <w:r>
        <w:t>It works, and it works where we need it. On all three flu datasets the transferred model beats the one trained directly on that disease at 3 weeks, and the gain is largest on the smallest datasets. US-regions overtakes the shortcut it used to lose to, and Japan closes almost the whole gap to 'copy last year' (563 against 547) after losing to it badly before. It gives ground back at 15 weeks, and it is still one restart, so treat it as a strong signal rather than a locked result.</w:t>
      </w:r>
    </w:p>
    <w:p w14:paraId="39D23BC3">
      <w:pPr>
        <w:pStyle w:val="2"/>
      </w:pPr>
      <w:r>
        <w:t>Step 4 — Head-to-head against the published models</w:t>
      </w:r>
    </w:p>
    <w:p w14:paraId="4A0AA73A">
      <w:pPr>
        <w:spacing w:after="120"/>
      </w:pPr>
      <w:r>
        <w:rPr>
          <w:i w:val="0"/>
        </w:rPr>
        <w:t>Beating shortcuts is not enough for publication; we have to beat the models already in the literature. We rebuilt each published model, ran it on our data, our splits, our forecast ranges and our five restarts, then re-scored every prediction through our own scoring code. We never use a model's self-reported figure. Below, our dedicated model against the strongest published competitor on each dataset.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773A86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9E9C85E">
            <w:pPr>
              <w:spacing w:after="0" w:line="240" w:lineRule="auto"/>
            </w:pPr>
            <w:r>
              <w:rPr>
                <w:b/>
                <w:sz w:val="18"/>
              </w:rPr>
              <w:t>Dataset (regions) / competitor</w:t>
            </w:r>
          </w:p>
        </w:tc>
        <w:tc>
          <w:tcPr>
            <w:tcW w:w="1728" w:type="dxa"/>
          </w:tcPr>
          <w:p w14:paraId="5D5563EB">
            <w:pPr>
              <w:spacing w:after="0" w:line="240" w:lineRule="auto"/>
            </w:pPr>
            <w:r>
              <w:rPr>
                <w:b/>
                <w:sz w:val="18"/>
              </w:rPr>
              <w:t>Error, 3 wks</w:t>
            </w:r>
          </w:p>
        </w:tc>
        <w:tc>
          <w:tcPr>
            <w:tcW w:w="1728" w:type="dxa"/>
          </w:tcPr>
          <w:p w14:paraId="66BE487E">
            <w:pPr>
              <w:spacing w:after="0" w:line="240" w:lineRule="auto"/>
            </w:pPr>
            <w:r>
              <w:rPr>
                <w:b/>
                <w:sz w:val="18"/>
              </w:rPr>
              <w:t>Error, 15 wks</w:t>
            </w:r>
          </w:p>
        </w:tc>
        <w:tc>
          <w:tcPr>
            <w:tcW w:w="1728" w:type="dxa"/>
          </w:tcPr>
          <w:p w14:paraId="5CE01321">
            <w:pPr>
              <w:spacing w:after="0" w:line="240" w:lineRule="auto"/>
            </w:pPr>
            <w:r>
              <w:rPr>
                <w:b/>
                <w:sz w:val="18"/>
              </w:rPr>
              <w:t>Correlation, 3 wks</w:t>
            </w:r>
          </w:p>
        </w:tc>
        <w:tc>
          <w:tcPr>
            <w:tcW w:w="1728" w:type="dxa"/>
          </w:tcPr>
          <w:p w14:paraId="1B64B20E">
            <w:pPr>
              <w:spacing w:after="0" w:line="240" w:lineRule="auto"/>
            </w:pPr>
            <w:r>
              <w:rPr>
                <w:b/>
                <w:sz w:val="18"/>
              </w:rPr>
              <w:t>Correlation, 15 wks</w:t>
            </w:r>
          </w:p>
        </w:tc>
      </w:tr>
      <w:tr w14:paraId="6ED891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77E4D6D">
            <w:pPr>
              <w:spacing w:after="0" w:line="240" w:lineRule="auto"/>
            </w:pPr>
            <w:r>
              <w:rPr>
                <w:sz w:val="18"/>
              </w:rPr>
              <w:t>Dengue (7165)</w:t>
            </w:r>
            <w:r>
              <w:rPr>
                <w:sz w:val="18"/>
              </w:rPr>
              <w:br w:type="textWrapping"/>
            </w:r>
            <w:r>
              <w:rPr>
                <w:sz w:val="18"/>
              </w:rPr>
              <w:t>EpiGNN</w:t>
            </w:r>
          </w:p>
        </w:tc>
        <w:tc>
          <w:tcPr>
            <w:tcW w:w="1728" w:type="dxa"/>
          </w:tcPr>
          <w:p w14:paraId="56EB0BE9">
            <w:pPr>
              <w:spacing w:after="0" w:line="240" w:lineRule="auto"/>
            </w:pPr>
            <w:r>
              <w:rPr>
                <w:sz w:val="18"/>
              </w:rPr>
              <w:t>42±6 vs 81±19</w:t>
            </w:r>
          </w:p>
        </w:tc>
        <w:tc>
          <w:tcPr>
            <w:tcW w:w="1728" w:type="dxa"/>
          </w:tcPr>
          <w:p w14:paraId="4E81770A">
            <w:pPr>
              <w:spacing w:after="0" w:line="240" w:lineRule="auto"/>
            </w:pPr>
            <w:r>
              <w:rPr>
                <w:sz w:val="18"/>
              </w:rPr>
              <w:t>57±0 vs 138±18</w:t>
            </w:r>
          </w:p>
        </w:tc>
        <w:tc>
          <w:tcPr>
            <w:tcW w:w="1728" w:type="dxa"/>
          </w:tcPr>
          <w:p w14:paraId="4CFB33E0">
            <w:pPr>
              <w:spacing w:after="0" w:line="240" w:lineRule="auto"/>
            </w:pPr>
            <w:r>
              <w:rPr>
                <w:sz w:val="18"/>
              </w:rPr>
              <w:t>0.42 vs 0.39</w:t>
            </w:r>
          </w:p>
        </w:tc>
        <w:tc>
          <w:tcPr>
            <w:tcW w:w="1728" w:type="dxa"/>
          </w:tcPr>
          <w:p w14:paraId="6AC79371">
            <w:pPr>
              <w:spacing w:after="0" w:line="240" w:lineRule="auto"/>
            </w:pPr>
            <w:r>
              <w:rPr>
                <w:sz w:val="18"/>
              </w:rPr>
              <w:t>0.11 vs -0.00</w:t>
            </w:r>
          </w:p>
        </w:tc>
      </w:tr>
      <w:tr w14:paraId="097939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77D8EE1">
            <w:pPr>
              <w:spacing w:after="0" w:line="240" w:lineRule="auto"/>
            </w:pPr>
            <w:r>
              <w:rPr>
                <w:sz w:val="18"/>
              </w:rPr>
              <w:t>Flu — Japan (47)</w:t>
            </w:r>
            <w:r>
              <w:rPr>
                <w:sz w:val="18"/>
              </w:rPr>
              <w:br w:type="textWrapping"/>
            </w:r>
            <w:r>
              <w:rPr>
                <w:sz w:val="18"/>
              </w:rPr>
              <w:t>Cola-GNN</w:t>
            </w:r>
          </w:p>
        </w:tc>
        <w:tc>
          <w:tcPr>
            <w:tcW w:w="1728" w:type="dxa"/>
          </w:tcPr>
          <w:p w14:paraId="4B4DDC66">
            <w:pPr>
              <w:spacing w:after="0" w:line="240" w:lineRule="auto"/>
            </w:pPr>
            <w:r>
              <w:rPr>
                <w:sz w:val="18"/>
              </w:rPr>
              <w:t>735±59 vs 804±54</w:t>
            </w:r>
          </w:p>
        </w:tc>
        <w:tc>
          <w:tcPr>
            <w:tcW w:w="1728" w:type="dxa"/>
          </w:tcPr>
          <w:p w14:paraId="3F28220C">
            <w:pPr>
              <w:spacing w:after="0" w:line="240" w:lineRule="auto"/>
            </w:pPr>
            <w:r>
              <w:rPr>
                <w:sz w:val="18"/>
              </w:rPr>
              <w:t>1031±121 vs 1114±37</w:t>
            </w:r>
          </w:p>
        </w:tc>
        <w:tc>
          <w:tcPr>
            <w:tcW w:w="1728" w:type="dxa"/>
          </w:tcPr>
          <w:p w14:paraId="6FE24F34">
            <w:pPr>
              <w:spacing w:after="0" w:line="240" w:lineRule="auto"/>
            </w:pPr>
            <w:r>
              <w:rPr>
                <w:sz w:val="18"/>
              </w:rPr>
              <w:t>0.87 vs 0.89</w:t>
            </w:r>
          </w:p>
        </w:tc>
        <w:tc>
          <w:tcPr>
            <w:tcW w:w="1728" w:type="dxa"/>
          </w:tcPr>
          <w:p w14:paraId="67C466FD">
            <w:pPr>
              <w:spacing w:after="0" w:line="240" w:lineRule="auto"/>
            </w:pPr>
            <w:r>
              <w:rPr>
                <w:sz w:val="18"/>
              </w:rPr>
              <w:t>0.84 vs 0.77</w:t>
            </w:r>
          </w:p>
        </w:tc>
      </w:tr>
      <w:tr w14:paraId="6282EC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074E548">
            <w:pPr>
              <w:spacing w:after="0" w:line="240" w:lineRule="auto"/>
            </w:pPr>
            <w:r>
              <w:rPr>
                <w:sz w:val="18"/>
              </w:rPr>
              <w:t>Flu — US regions (10)</w:t>
            </w:r>
            <w:r>
              <w:rPr>
                <w:sz w:val="18"/>
              </w:rPr>
              <w:br w:type="textWrapping"/>
            </w:r>
            <w:r>
              <w:rPr>
                <w:sz w:val="18"/>
              </w:rPr>
              <w:t>EpiGNN</w:t>
            </w:r>
          </w:p>
        </w:tc>
        <w:tc>
          <w:tcPr>
            <w:tcW w:w="1728" w:type="dxa"/>
          </w:tcPr>
          <w:p w14:paraId="2019BD28">
            <w:pPr>
              <w:spacing w:after="0" w:line="240" w:lineRule="auto"/>
            </w:pPr>
            <w:r>
              <w:rPr>
                <w:sz w:val="18"/>
              </w:rPr>
              <w:t>613±82 vs 533±31</w:t>
            </w:r>
          </w:p>
        </w:tc>
        <w:tc>
          <w:tcPr>
            <w:tcW w:w="1728" w:type="dxa"/>
          </w:tcPr>
          <w:p w14:paraId="79B6FD88">
            <w:pPr>
              <w:spacing w:after="0" w:line="240" w:lineRule="auto"/>
            </w:pPr>
            <w:r>
              <w:rPr>
                <w:sz w:val="18"/>
              </w:rPr>
              <w:t>813±68 vs 954±91</w:t>
            </w:r>
          </w:p>
        </w:tc>
        <w:tc>
          <w:tcPr>
            <w:tcW w:w="1728" w:type="dxa"/>
          </w:tcPr>
          <w:p w14:paraId="1B23CB52">
            <w:pPr>
              <w:spacing w:after="0" w:line="240" w:lineRule="auto"/>
            </w:pPr>
            <w:r>
              <w:rPr>
                <w:sz w:val="18"/>
              </w:rPr>
              <w:t>0.82 vs 0.85</w:t>
            </w:r>
          </w:p>
        </w:tc>
        <w:tc>
          <w:tcPr>
            <w:tcW w:w="1728" w:type="dxa"/>
          </w:tcPr>
          <w:p w14:paraId="32C9CA01">
            <w:pPr>
              <w:spacing w:after="0" w:line="240" w:lineRule="auto"/>
            </w:pPr>
            <w:r>
              <w:rPr>
                <w:sz w:val="18"/>
              </w:rPr>
              <w:t>0.66 vs 0.41</w:t>
            </w:r>
          </w:p>
        </w:tc>
      </w:tr>
      <w:tr w14:paraId="072132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B5BF516">
            <w:pPr>
              <w:spacing w:after="0" w:line="240" w:lineRule="auto"/>
            </w:pPr>
            <w:r>
              <w:rPr>
                <w:sz w:val="18"/>
              </w:rPr>
              <w:t>Flu — US states (49)</w:t>
            </w:r>
            <w:r>
              <w:rPr>
                <w:sz w:val="18"/>
              </w:rPr>
              <w:br w:type="textWrapping"/>
            </w:r>
            <w:r>
              <w:rPr>
                <w:sz w:val="18"/>
              </w:rPr>
              <w:t>EpiGNN</w:t>
            </w:r>
          </w:p>
        </w:tc>
        <w:tc>
          <w:tcPr>
            <w:tcW w:w="1728" w:type="dxa"/>
          </w:tcPr>
          <w:p w14:paraId="2CC2C497">
            <w:pPr>
              <w:spacing w:after="0" w:line="240" w:lineRule="auto"/>
            </w:pPr>
            <w:r>
              <w:rPr>
                <w:sz w:val="18"/>
              </w:rPr>
              <w:t>113±4 vs 111±3</w:t>
            </w:r>
          </w:p>
        </w:tc>
        <w:tc>
          <w:tcPr>
            <w:tcW w:w="1728" w:type="dxa"/>
          </w:tcPr>
          <w:p w14:paraId="57332BB1">
            <w:pPr>
              <w:spacing w:after="0" w:line="240" w:lineRule="auto"/>
            </w:pPr>
            <w:r>
              <w:rPr>
                <w:sz w:val="18"/>
              </w:rPr>
              <w:t>154±4 vs 158±5</w:t>
            </w:r>
          </w:p>
        </w:tc>
        <w:tc>
          <w:tcPr>
            <w:tcW w:w="1728" w:type="dxa"/>
          </w:tcPr>
          <w:p w14:paraId="53AB072A">
            <w:pPr>
              <w:spacing w:after="0" w:line="240" w:lineRule="auto"/>
            </w:pPr>
            <w:r>
              <w:rPr>
                <w:sz w:val="18"/>
              </w:rPr>
              <w:t>0.81 vs 0.79</w:t>
            </w:r>
          </w:p>
        </w:tc>
        <w:tc>
          <w:tcPr>
            <w:tcW w:w="1728" w:type="dxa"/>
          </w:tcPr>
          <w:p w14:paraId="3D1F6129">
            <w:pPr>
              <w:spacing w:after="0" w:line="240" w:lineRule="auto"/>
            </w:pPr>
            <w:r>
              <w:rPr>
                <w:sz w:val="18"/>
              </w:rPr>
              <w:t>0.64 vs 0.61</w:t>
            </w:r>
          </w:p>
        </w:tc>
      </w:tr>
    </w:tbl>
    <w:p w14:paraId="78562644">
      <w:pPr>
        <w:spacing w:after="40"/>
      </w:pPr>
    </w:p>
    <w:p w14:paraId="2E2C3B44">
      <w:pPr>
        <w:spacing w:after="120"/>
      </w:pPr>
      <w:r>
        <w:rPr>
          <w:i/>
        </w:rPr>
        <w:t>Left is our model, right is the competitor named in the first column.</w:t>
      </w:r>
    </w:p>
    <w:p w14:paraId="4512905E">
      <w:pPr>
        <w:spacing w:after="280"/>
      </w:pPr>
      <w:r>
        <w:rPr>
          <w:b/>
        </w:rPr>
        <w:t xml:space="preserve">Takeaway: </w:t>
      </w:r>
      <w:r>
        <w:t>Competitive, not dominant — and that is the honest read. We roughly halve the best competitor's error on dengue and beat every competitor on Japan at every range. On the two US flu datasets we are level: they edge us at 3 weeks, we edge them at 15, and most of those gaps sit inside the restart spread. Where we do separate clearly is further out — at 15 weeks our predictions still track the shape of an outbreak while the competitors have largely lost it.</w:t>
      </w:r>
    </w:p>
    <w:p w14:paraId="7E5D3733">
      <w:pPr>
        <w:pStyle w:val="2"/>
      </w:pPr>
      <w:r>
        <w:t>Three things to keep attached to these numbers</w:t>
      </w:r>
    </w:p>
    <w:p w14:paraId="2BA44F1A">
      <w:pPr>
        <w:pStyle w:val="23"/>
      </w:pPr>
      <w:r>
        <w:t>Dengue is not a like-for-like comparison. The published models could not hold 7,165 regions, so they ran on a third of them; our model ran on all of them. Disclosed as a caveat.</w:t>
      </w:r>
    </w:p>
    <w:p w14:paraId="02D31EFF">
      <w:pPr>
        <w:pStyle w:val="23"/>
      </w:pPr>
      <w:bookmarkStart w:id="0" w:name="_GoBack"/>
      <w:bookmarkEnd w:id="0"/>
      <w:r>
        <w:t>The transfer result in Step 3 is a single restart. The five-restart confirmation is deliberately on hold until the disease groupings are corrected, so that the run measures cross-disease transfer rather than cross-population transfer.</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2F4D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1276</Words>
  <Characters>5663</Characters>
  <Lines>0</Lines>
  <Paragraphs>0</Paragraphs>
  <TotalTime>1</TotalTime>
  <ScaleCrop>false</ScaleCrop>
  <LinksUpToDate>false</LinksUpToDate>
  <CharactersWithSpaces>6812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2026-08-11T16:30:37Z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eyJoZGlkIjoiNmNkZjJlOTgzZGIzMjY0NTFkNzc1NTA2NGNkNjZkM2EifQ==</vt:lpwstr>
  </property>
  <property fmtid="{D5CDD505-2E9C-101B-9397-08002B2CF9AE}" pid="3" name="KSOProductBuildVer">
    <vt:lpwstr>1033-12.1.0.28032</vt:lpwstr>
  </property>
  <property fmtid="{D5CDD505-2E9C-101B-9397-08002B2CF9AE}" pid="4" name="ICV">
    <vt:lpwstr>4D0B7490E16B4FA792833748D9D49E46_12</vt:lpwstr>
  </property>
</Properties>
</file>