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52"/>
        </w:rPr>
        <w:t>Freight Rate Prediction</w:t>
      </w:r>
    </w:p>
    <w:p>
      <w:pPr>
        <w:jc w:val="center"/>
      </w:pPr>
      <w:r>
        <w:rPr>
          <w:b w:val="0"/>
          <w:i w:val="0"/>
          <w:sz w:val="27"/>
        </w:rPr>
        <w:t>Validation Design, Data Quality and Model Selection</w:t>
      </w:r>
    </w:p>
    <w:p>
      <w:pPr>
        <w:jc w:val="center"/>
      </w:pPr>
      <w:r>
        <w:rPr>
          <w:b w:val="0"/>
          <w:i w:val="0"/>
          <w:sz w:val="20"/>
        </w:rPr>
        <w:t>Huzaifa Salik  |  12 September 2026</w:t>
      </w:r>
    </w:p>
    <w:p/>
    <w:p>
      <w:pPr>
        <w:pStyle w:val="Heading1"/>
      </w:pPr>
      <w:r>
        <w:t>1. Executive summary</w:t>
      </w:r>
    </w:p>
    <w:p>
      <w:r>
        <w:rPr>
          <w:b w:val="0"/>
          <w:i w:val="0"/>
        </w:rPr>
        <w:t>The task is to predict the posted rate for 12,000 freight loads covering 1 November to 31 December 2025, having trained on 48,000 labelled loads from 1 January to 31 October 2025. The prediction window lies entirely after the training window, so this is a forecasting problem, and every design decision below follows from that single fact.</w:t>
      </w:r>
    </w:p>
    <w:p>
      <w:pPr>
        <w:pStyle w:val="ListBullet"/>
      </w:pPr>
      <w:r>
        <w:rPr>
          <w:b/>
        </w:rPr>
        <w:t>Validation design.</w:t>
      </w:r>
      <w:r>
        <w:rPr>
          <w:b w:val="0"/>
        </w:rPr>
        <w:t xml:space="preserve"> Chronological, forward-in-time splits only. A random K-fold split on this dataset understates error by </w:t>
      </w:r>
      <w:r>
        <w:rPr>
          <w:b/>
        </w:rPr>
        <w:t>27.3%</w:t>
      </w:r>
      <w:r>
        <w:rPr>
          <w:b w:val="0"/>
        </w:rPr>
        <w:t xml:space="preserve"> ($37.16 against a true $51.12), and was never used for selection.</w:t>
      </w:r>
    </w:p>
    <w:p>
      <w:pPr>
        <w:pStyle w:val="ListBullet"/>
      </w:pPr>
      <w:r>
        <w:rPr>
          <w:b/>
        </w:rPr>
        <w:t>Selected model.</w:t>
      </w:r>
      <w:r>
        <w:rPr>
          <w:b w:val="0"/>
        </w:rPr>
        <w:t xml:space="preserve"> An equal-weight blend of the three best hybrid configurations: ridge regression carries the price level and the time trend, and gradient-boosted trees fit the residual.</w:t>
      </w:r>
    </w:p>
    <w:p>
      <w:pPr>
        <w:pStyle w:val="ListBullet"/>
      </w:pPr>
      <w:r>
        <w:rPr>
          <w:b/>
        </w:rPr>
        <w:t>Headline accuracy.</w:t>
      </w:r>
      <w:r>
        <w:rPr>
          <w:b w:val="0"/>
        </w:rPr>
        <w:t xml:space="preserve"> $51.12 MAE, 2.13% MAPE, bias 0.9819 on the September–October holdout — the fold whose two-month horizon matches the submission. This is </w:t>
      </w:r>
      <w:r>
        <w:rPr>
          <w:b/>
        </w:rPr>
        <w:t>4.4× better</w:t>
      </w:r>
      <w:r>
        <w:rPr>
          <w:b w:val="0"/>
        </w:rPr>
        <w:t xml:space="preserve"> than a median-rate baseline.</w:t>
      </w:r>
    </w:p>
    <w:p>
      <w:pPr>
        <w:pStyle w:val="ListBullet"/>
      </w:pPr>
      <w:r>
        <w:rPr>
          <w:b/>
        </w:rPr>
        <w:t>Principal finding.</w:t>
      </w:r>
      <w:r>
        <w:rPr>
          <w:b w:val="0"/>
        </w:rPr>
        <w:t xml:space="preserve"> The `quote_signal` column is not a market variable. It is the target itself, reproduced exactly in five months, mirrored about a constant in four, and replaced by noise in the remainder — including the entire prediction period. Excluding it reduced error by roughly 40% on a like-for-like test.</w:t>
      </w:r>
    </w:p>
    <w:p>
      <w:pPr>
        <w:pStyle w:val="Heading1"/>
      </w:pPr>
      <w:r>
        <w:t>2. The data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024"/>
          </w:tcPr>
          <w:p>
            <w:r/>
            <w:r>
              <w:rPr>
                <w:b/>
                <w:sz w:val="19"/>
              </w:rPr>
              <w:t>File</w:t>
            </w:r>
          </w:p>
        </w:tc>
        <w:tc>
          <w:tcPr>
            <w:tcW w:type="dxa" w:w="1152"/>
          </w:tcPr>
          <w:p>
            <w:r/>
            <w:r>
              <w:rPr>
                <w:b/>
                <w:sz w:val="19"/>
              </w:rPr>
              <w:t>Rows</w:t>
            </w:r>
          </w:p>
        </w:tc>
        <w:tc>
          <w:tcPr>
            <w:tcW w:type="dxa" w:w="2448"/>
          </w:tcPr>
          <w:p>
            <w:r/>
            <w:r>
              <w:rPr>
                <w:b/>
                <w:sz w:val="19"/>
              </w:rPr>
              <w:t>Period</w:t>
            </w:r>
          </w:p>
        </w:tc>
        <w:tc>
          <w:tcPr>
            <w:tcW w:type="dxa" w:w="1008"/>
          </w:tcPr>
          <w:p>
            <w:r/>
            <w:r>
              <w:rPr>
                <w:b/>
                <w:sz w:val="19"/>
              </w:rPr>
              <w:t>Label</w:t>
            </w:r>
          </w:p>
        </w:tc>
        <w:tc>
          <w:tcPr>
            <w:tcW w:type="dxa" w:w="2304"/>
          </w:tcPr>
          <w:p>
            <w:r/>
            <w:r>
              <w:rPr>
                <w:b/>
                <w:sz w:val="19"/>
              </w:rPr>
              <w:t>Role</w:t>
            </w:r>
          </w:p>
        </w:tc>
      </w:tr>
      <w:tr>
        <w:tc>
          <w:tcPr>
            <w:tcW w:type="dxa" w:w="3024"/>
          </w:tcPr>
          <w:p>
            <w:r/>
            <w:r>
              <w:rPr>
                <w:sz w:val="19"/>
              </w:rPr>
              <w:t>train_test.csv</w:t>
            </w:r>
          </w:p>
        </w:tc>
        <w:tc>
          <w:tcPr>
            <w:tcW w:type="dxa" w:w="1152"/>
          </w:tcPr>
          <w:p>
            <w:r/>
            <w:r>
              <w:rPr>
                <w:sz w:val="19"/>
              </w:rPr>
              <w:t>48,000</w:t>
            </w:r>
          </w:p>
        </w:tc>
        <w:tc>
          <w:tcPr>
            <w:tcW w:type="dxa" w:w="2448"/>
          </w:tcPr>
          <w:p>
            <w:r/>
            <w:r>
              <w:rPr>
                <w:sz w:val="19"/>
              </w:rPr>
              <w:t>1 Jan – 31 Oct 2025</w:t>
            </w:r>
          </w:p>
        </w:tc>
        <w:tc>
          <w:tcPr>
            <w:tcW w:type="dxa" w:w="1008"/>
          </w:tcPr>
          <w:p>
            <w:r/>
            <w:r>
              <w:rPr>
                <w:sz w:val="19"/>
              </w:rPr>
              <w:t>Yes</w:t>
            </w:r>
          </w:p>
        </w:tc>
        <w:tc>
          <w:tcPr>
            <w:tcW w:type="dxa" w:w="2304"/>
          </w:tcPr>
          <w:p>
            <w:r/>
            <w:r>
              <w:rPr>
                <w:sz w:val="19"/>
              </w:rPr>
              <w:t>Model development</w:t>
            </w:r>
          </w:p>
        </w:tc>
      </w:tr>
      <w:tr>
        <w:tc>
          <w:tcPr>
            <w:tcW w:type="dxa" w:w="3024"/>
          </w:tcPr>
          <w:p>
            <w:r/>
            <w:r>
              <w:rPr>
                <w:sz w:val="19"/>
              </w:rPr>
              <w:t>validation.csv</w:t>
            </w:r>
          </w:p>
        </w:tc>
        <w:tc>
          <w:tcPr>
            <w:tcW w:type="dxa" w:w="1152"/>
          </w:tcPr>
          <w:p>
            <w:r/>
            <w:r>
              <w:rPr>
                <w:sz w:val="19"/>
              </w:rPr>
              <w:t>12,000</w:t>
            </w:r>
          </w:p>
        </w:tc>
        <w:tc>
          <w:tcPr>
            <w:tcW w:type="dxa" w:w="2448"/>
          </w:tcPr>
          <w:p>
            <w:r/>
            <w:r>
              <w:rPr>
                <w:sz w:val="19"/>
              </w:rPr>
              <w:t>1 Nov – 31 Dec 2025</w:t>
            </w:r>
          </w:p>
        </w:tc>
        <w:tc>
          <w:tcPr>
            <w:tcW w:type="dxa" w:w="1008"/>
          </w:tcPr>
          <w:p>
            <w:r/>
            <w:r>
              <w:rPr>
                <w:sz w:val="19"/>
              </w:rPr>
              <w:t>No</w:t>
            </w:r>
          </w:p>
        </w:tc>
        <w:tc>
          <w:tcPr>
            <w:tcW w:type="dxa" w:w="2304"/>
          </w:tcPr>
          <w:p>
            <w:r/>
            <w:r>
              <w:rPr>
                <w:sz w:val="19"/>
              </w:rPr>
              <w:t>Final predictions</w:t>
            </w:r>
          </w:p>
        </w:tc>
      </w:tr>
      <w:tr>
        <w:tc>
          <w:tcPr>
            <w:tcW w:type="dxa" w:w="3024"/>
          </w:tcPr>
          <w:p>
            <w:r/>
            <w:r>
              <w:rPr>
                <w:sz w:val="19"/>
              </w:rPr>
              <w:t>december_chart_inputs.csv</w:t>
            </w:r>
          </w:p>
        </w:tc>
        <w:tc>
          <w:tcPr>
            <w:tcW w:type="dxa" w:w="1152"/>
          </w:tcPr>
          <w:p>
            <w:r/>
            <w:r>
              <w:rPr>
                <w:sz w:val="19"/>
              </w:rPr>
              <w:t>31</w:t>
            </w:r>
          </w:p>
        </w:tc>
        <w:tc>
          <w:tcPr>
            <w:tcW w:type="dxa" w:w="2448"/>
          </w:tcPr>
          <w:p>
            <w:r/>
            <w:r>
              <w:rPr>
                <w:sz w:val="19"/>
              </w:rPr>
              <w:t>1 – 31 Dec 2025</w:t>
            </w:r>
          </w:p>
        </w:tc>
        <w:tc>
          <w:tcPr>
            <w:tcW w:type="dxa" w:w="1008"/>
          </w:tcPr>
          <w:p>
            <w:r/>
            <w:r>
              <w:rPr>
                <w:sz w:val="19"/>
              </w:rPr>
              <w:t>No</w:t>
            </w:r>
          </w:p>
        </w:tc>
        <w:tc>
          <w:tcPr>
            <w:tcW w:type="dxa" w:w="2304"/>
          </w:tcPr>
          <w:p>
            <w:r/>
            <w:r>
              <w:rPr>
                <w:sz w:val="19"/>
              </w:rPr>
              <w:t>Fixed-input scenario</w:t>
            </w:r>
          </w:p>
        </w:tc>
      </w:tr>
    </w:tbl>
    <w:p/>
    <w:p>
      <w:r>
        <w:rPr>
          <w:b w:val="0"/>
          <w:i w:val="0"/>
        </w:rPr>
        <w:t>Each load carries origin and destination cities with coordinates, distance, equipment type (Dry Van, Flatbed, Reefer), weight, date, and two market variables. The two sets are disjoint in time: training ends 31 October, validation begins 1 November.</w:t>
      </w:r>
    </w:p>
    <w:p>
      <w:r>
        <w:rPr>
          <w:b/>
          <w:i w:val="0"/>
        </w:rPr>
        <w:t>Two structural properties shaped the approach:</w:t>
      </w:r>
    </w:p>
    <w:p>
      <w:pPr>
        <w:pStyle w:val="ListBullet"/>
      </w:pPr>
      <w:r>
        <w:rPr>
          <w:b/>
        </w:rPr>
        <w:t>Distance dominates.</w:t>
      </w:r>
      <w:r>
        <w:rPr>
          <w:b w:val="0"/>
        </w:rPr>
        <w:t xml:space="preserve"> Distance alone explains approximately 91% of the variance in the raw rate, and rate-per-mile falls steeply with haul length (correlation −0.77 against log distance).</w:t>
      </w:r>
    </w:p>
    <w:p>
      <w:pPr>
        <w:pStyle w:val="ListBullet"/>
      </w:pPr>
      <w:r>
        <w:rPr>
          <w:b/>
        </w:rPr>
        <w:t>Unseen cities.</w:t>
      </w:r>
      <w:r>
        <w:rPr>
          <w:b w:val="0"/>
        </w:rPr>
        <w:t xml:space="preserve"> 1,447 of the 12,000 validation loads involve a city that never appears in training — 8 cities out of 72. Any feature keyed on city identity is undefined for those rows.</w:t>
      </w:r>
    </w:p>
    <w:p>
      <w:pPr>
        <w:pStyle w:val="Heading1"/>
      </w:pPr>
      <w:r>
        <w:t>3. Data quality</w:t>
      </w:r>
    </w:p>
    <w:p>
      <w:r>
        <w:rPr>
          <w:b w:val="0"/>
          <w:i w:val="0"/>
        </w:rPr>
        <w:t>Five defects were identified. Four are corruptions of the input data; the fifth is a leak that materially affects the result.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tcPr>
          <w:p>
            <w:r/>
            <w:r>
              <w:rPr>
                <w:b/>
                <w:sz w:val="19"/>
              </w:rPr>
              <w:t>#</w:t>
            </w:r>
          </w:p>
        </w:tc>
        <w:tc>
          <w:tcPr>
            <w:tcW w:type="dxa" w:w="2160"/>
          </w:tcPr>
          <w:p>
            <w:r/>
            <w:r>
              <w:rPr>
                <w:b/>
                <w:sz w:val="19"/>
              </w:rPr>
              <w:t>Issue</w:t>
            </w:r>
          </w:p>
        </w:tc>
        <w:tc>
          <w:tcPr>
            <w:tcW w:type="dxa" w:w="1728"/>
          </w:tcPr>
          <w:p>
            <w:r/>
            <w:r>
              <w:rPr>
                <w:b/>
                <w:sz w:val="19"/>
              </w:rPr>
              <w:t>Train / Validation</w:t>
            </w:r>
          </w:p>
        </w:tc>
        <w:tc>
          <w:tcPr>
            <w:tcW w:type="dxa" w:w="5616"/>
          </w:tcPr>
          <w:p>
            <w:r/>
            <w:r>
              <w:rPr>
                <w:b/>
                <w:sz w:val="19"/>
              </w:rPr>
              <w:t>Treatment</w:t>
            </w:r>
          </w:p>
        </w:tc>
      </w:tr>
      <w:tr>
        <w:tc>
          <w:tcPr>
            <w:tcW w:type="dxa" w:w="432"/>
          </w:tcPr>
          <w:p>
            <w:r/>
            <w:r>
              <w:rPr>
                <w:sz w:val="19"/>
              </w:rPr>
              <w:t>1</w:t>
            </w:r>
          </w:p>
        </w:tc>
        <w:tc>
          <w:tcPr>
            <w:tcW w:type="dxa" w:w="2160"/>
          </w:tcPr>
          <w:p>
            <w:r/>
            <w:r>
              <w:rPr>
                <w:sz w:val="19"/>
              </w:rPr>
              <w:t>Negative weights</w:t>
            </w:r>
          </w:p>
        </w:tc>
        <w:tc>
          <w:tcPr>
            <w:tcW w:type="dxa" w:w="1728"/>
          </w:tcPr>
          <w:p>
            <w:r/>
            <w:r>
              <w:rPr>
                <w:sz w:val="19"/>
              </w:rPr>
              <w:t>292 / 145</w:t>
            </w:r>
          </w:p>
        </w:tc>
        <w:tc>
          <w:tcPr>
            <w:tcW w:type="dxa" w:w="5616"/>
          </w:tcPr>
          <w:p>
            <w:r/>
            <w:r>
              <w:rPr>
                <w:sz w:val="19"/>
              </w:rPr>
              <w:t>Sign corruption — absolute values lie inside the normal 5,000–47,500 lb range. Corrected with abs(), recorded in a flag.</w:t>
            </w:r>
          </w:p>
        </w:tc>
      </w:tr>
      <w:tr>
        <w:tc>
          <w:tcPr>
            <w:tcW w:type="dxa" w:w="432"/>
          </w:tcPr>
          <w:p>
            <w:r/>
            <w:r>
              <w:rPr>
                <w:sz w:val="19"/>
              </w:rPr>
              <w:t>2</w:t>
            </w:r>
          </w:p>
        </w:tc>
        <w:tc>
          <w:tcPr>
            <w:tcW w:type="dxa" w:w="2160"/>
          </w:tcPr>
          <w:p>
            <w:r/>
            <w:r>
              <w:rPr>
                <w:sz w:val="19"/>
              </w:rPr>
              <w:t>Missing weights</w:t>
            </w:r>
          </w:p>
        </w:tc>
        <w:tc>
          <w:tcPr>
            <w:tcW w:type="dxa" w:w="1728"/>
          </w:tcPr>
          <w:p>
            <w:r/>
            <w:r>
              <w:rPr>
                <w:sz w:val="19"/>
              </w:rPr>
              <w:t>300 / 165</w:t>
            </w:r>
          </w:p>
        </w:tc>
        <w:tc>
          <w:tcPr>
            <w:tcW w:type="dxa" w:w="5616"/>
          </w:tcPr>
          <w:p>
            <w:r/>
            <w:r>
              <w:rPr>
                <w:sz w:val="19"/>
              </w:rPr>
              <w:t>Imputed from the training median for that equipment type.</w:t>
            </w:r>
          </w:p>
        </w:tc>
      </w:tr>
      <w:tr>
        <w:tc>
          <w:tcPr>
            <w:tcW w:type="dxa" w:w="432"/>
          </w:tcPr>
          <w:p>
            <w:r/>
            <w:r>
              <w:rPr>
                <w:sz w:val="19"/>
              </w:rPr>
              <w:t>3</w:t>
            </w:r>
          </w:p>
        </w:tc>
        <w:tc>
          <w:tcPr>
            <w:tcW w:type="dxa" w:w="2160"/>
          </w:tcPr>
          <w:p>
            <w:r/>
            <w:r>
              <w:rPr>
                <w:sz w:val="19"/>
              </w:rPr>
              <w:t>Missing market_index</w:t>
            </w:r>
          </w:p>
        </w:tc>
        <w:tc>
          <w:tcPr>
            <w:tcW w:type="dxa" w:w="1728"/>
          </w:tcPr>
          <w:p>
            <w:r/>
            <w:r>
              <w:rPr>
                <w:sz w:val="19"/>
              </w:rPr>
              <w:t>374 / 249</w:t>
            </w:r>
          </w:p>
        </w:tc>
        <w:tc>
          <w:tcPr>
            <w:tcW w:type="dxa" w:w="5616"/>
          </w:tcPr>
          <w:p>
            <w:r/>
            <w:r>
              <w:rPr>
                <w:sz w:val="19"/>
              </w:rPr>
              <w:t>Imputed from the mean of the same calendar day; a widening window, then the global median, as fallbacks.</w:t>
            </w:r>
          </w:p>
        </w:tc>
      </w:tr>
      <w:tr>
        <w:tc>
          <w:tcPr>
            <w:tcW w:type="dxa" w:w="432"/>
          </w:tcPr>
          <w:p>
            <w:r/>
            <w:r>
              <w:rPr>
                <w:sz w:val="19"/>
              </w:rPr>
              <w:t>4</w:t>
            </w:r>
          </w:p>
        </w:tc>
        <w:tc>
          <w:tcPr>
            <w:tcW w:type="dxa" w:w="2160"/>
          </w:tcPr>
          <w:p>
            <w:r/>
            <w:r>
              <w:rPr>
                <w:sz w:val="19"/>
              </w:rPr>
              <w:t>Corrupted labels</w:t>
            </w:r>
          </w:p>
        </w:tc>
        <w:tc>
          <w:tcPr>
            <w:tcW w:type="dxa" w:w="1728"/>
          </w:tcPr>
          <w:p>
            <w:r/>
            <w:r>
              <w:rPr>
                <w:sz w:val="19"/>
              </w:rPr>
              <w:t>677 (1.41%) / n-a</w:t>
            </w:r>
          </w:p>
        </w:tc>
        <w:tc>
          <w:tcPr>
            <w:tcW w:type="dxa" w:w="5616"/>
          </w:tcPr>
          <w:p>
            <w:r/>
            <w:r>
              <w:rPr>
                <w:sz w:val="19"/>
              </w:rPr>
              <w:t>Detected as outliers in a robust log-linear fit. Removed from training only, never from the prediction sets.</w:t>
            </w:r>
          </w:p>
        </w:tc>
      </w:tr>
      <w:tr>
        <w:tc>
          <w:tcPr>
            <w:tcW w:type="dxa" w:w="432"/>
          </w:tcPr>
          <w:p>
            <w:r/>
            <w:r>
              <w:rPr>
                <w:sz w:val="19"/>
              </w:rPr>
              <w:t>5</w:t>
            </w:r>
          </w:p>
        </w:tc>
        <w:tc>
          <w:tcPr>
            <w:tcW w:type="dxa" w:w="2160"/>
          </w:tcPr>
          <w:p>
            <w:r/>
            <w:r>
              <w:rPr>
                <w:sz w:val="19"/>
              </w:rPr>
              <w:t>quote_signal leak</w:t>
            </w:r>
          </w:p>
        </w:tc>
        <w:tc>
          <w:tcPr>
            <w:tcW w:type="dxa" w:w="1728"/>
          </w:tcPr>
          <w:p>
            <w:r/>
            <w:r>
              <w:rPr>
                <w:sz w:val="19"/>
              </w:rPr>
              <w:t>All rows</w:t>
            </w:r>
          </w:p>
        </w:tc>
        <w:tc>
          <w:tcPr>
            <w:tcW w:type="dxa" w:w="5616"/>
          </w:tcPr>
          <w:p>
            <w:r/>
            <w:r>
              <w:rPr>
                <w:sz w:val="19"/>
              </w:rPr>
              <w:t>Excluded from every feature set. See section 3.2.</w:t>
            </w:r>
          </w:p>
        </w:tc>
      </w:tr>
    </w:tbl>
    <w:p/>
    <w:p>
      <w:pPr>
        <w:pStyle w:val="Heading2"/>
      </w:pPr>
      <w:r>
        <w:t>3.1 Why the defects were handled this way</w:t>
      </w:r>
    </w:p>
    <w:p>
      <w:r>
        <w:rPr>
          <w:b w:val="0"/>
          <w:i w:val="0"/>
        </w:rPr>
        <w:t>market_index is a property of the day rather than of the load: its standard deviation within a single date is 0.025, against a range of 0.767 to 1.402 across dates. Roughly 150 other loads share each date, so same-day imputation recovers the value almost exactly, where a global mean would discard the signal entirely. The imputation reads only the market_index column, never the label, so applying it to the validation file introduces no leakage.</w:t>
      </w:r>
    </w:p>
    <w:p>
      <w:r>
        <w:rPr>
          <w:b w:val="0"/>
          <w:i w:val="0"/>
        </w:rPr>
        <w:t>Corrupted labels were not detected by a threshold on rate-per-mile, because that would be confounded by the distance effect: $4.00 per mile is unremarkable on a short haul and impossible on a long one. Instead a log-linear model of log(rate/mile) on log(distance) and equipment was fitted, and rows more than five median-absolute-deviations from its prediction were flagged. Of the 677 rows identified, 338 sit above twice the expected rate and 333 below half — only six fall in between. The bimodal separation indicates a precise cut with very few false positives.</w:t>
      </w:r>
    </w:p>
    <w:p>
      <w:pPr>
        <w:pStyle w:val="Heading2"/>
      </w:pPr>
      <w:r>
        <w:t>3.2 The quote_signal leak</w:t>
      </w:r>
    </w:p>
    <w:p>
      <w:r>
        <w:rPr>
          <w:b w:val="0"/>
          <w:i w:val="0"/>
        </w:rPr>
        <w:t>Pooled across the training set, quote_signal correlates with rate-per-mile at only +0.05 and appears to be a weak, harmless feature. Examined month by month, it is neither weak nor harmless.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96"/>
          </w:tcPr>
          <w:p>
            <w:r/>
            <w:r>
              <w:rPr>
                <w:b/>
                <w:sz w:val="19"/>
              </w:rPr>
              <w:t>Regime</w:t>
            </w:r>
          </w:p>
        </w:tc>
        <w:tc>
          <w:tcPr>
            <w:tcW w:type="dxa" w:w="2592"/>
          </w:tcPr>
          <w:p>
            <w:r/>
            <w:r>
              <w:rPr>
                <w:b/>
                <w:sz w:val="19"/>
              </w:rPr>
              <w:t>Months</w:t>
            </w:r>
          </w:p>
        </w:tc>
        <w:tc>
          <w:tcPr>
            <w:tcW w:type="dxa" w:w="3600"/>
          </w:tcPr>
          <w:p>
            <w:r/>
            <w:r>
              <w:rPr>
                <w:b/>
                <w:sz w:val="19"/>
              </w:rPr>
              <w:t>Relationship to rate-per-mile</w:t>
            </w:r>
          </w:p>
        </w:tc>
        <w:tc>
          <w:tcPr>
            <w:tcW w:type="dxa" w:w="1152"/>
          </w:tcPr>
          <w:p>
            <w:r/>
            <w:r>
              <w:rPr>
                <w:b/>
                <w:sz w:val="19"/>
              </w:rPr>
              <w:t>Slope</w:t>
            </w:r>
          </w:p>
        </w:tc>
        <w:tc>
          <w:tcPr>
            <w:tcW w:type="dxa" w:w="864"/>
          </w:tcPr>
          <w:p>
            <w:r/>
            <w:r>
              <w:rPr>
                <w:b/>
                <w:sz w:val="19"/>
              </w:rPr>
              <w:t>R²</w:t>
            </w:r>
          </w:p>
        </w:tc>
      </w:tr>
      <w:tr>
        <w:tc>
          <w:tcPr>
            <w:tcW w:type="dxa" w:w="1296"/>
          </w:tcPr>
          <w:p>
            <w:r/>
            <w:r>
              <w:rPr>
                <w:sz w:val="19"/>
              </w:rPr>
              <w:t>Direct</w:t>
            </w:r>
          </w:p>
        </w:tc>
        <w:tc>
          <w:tcPr>
            <w:tcW w:type="dxa" w:w="2592"/>
          </w:tcPr>
          <w:p>
            <w:r/>
            <w:r>
              <w:rPr>
                <w:sz w:val="19"/>
              </w:rPr>
              <w:t>Jan, Feb, Mar, Jun, Sep</w:t>
            </w:r>
          </w:p>
        </w:tc>
        <w:tc>
          <w:tcPr>
            <w:tcW w:type="dxa" w:w="3600"/>
          </w:tcPr>
          <w:p>
            <w:r/>
            <w:r>
              <w:rPr>
                <w:sz w:val="19"/>
              </w:rPr>
              <w:t>quote_signal = rate-per-mile</w:t>
            </w:r>
          </w:p>
        </w:tc>
        <w:tc>
          <w:tcPr>
            <w:tcW w:type="dxa" w:w="1152"/>
          </w:tcPr>
          <w:p>
            <w:r/>
            <w:r>
              <w:rPr>
                <w:sz w:val="19"/>
              </w:rPr>
              <w:t>+1.000</w:t>
            </w:r>
          </w:p>
        </w:tc>
        <w:tc>
          <w:tcPr>
            <w:tcW w:type="dxa" w:w="864"/>
          </w:tcPr>
          <w:p>
            <w:r/>
            <w:r>
              <w:rPr>
                <w:sz w:val="19"/>
              </w:rPr>
              <w:t>0.993</w:t>
            </w:r>
          </w:p>
        </w:tc>
      </w:tr>
      <w:tr>
        <w:tc>
          <w:tcPr>
            <w:tcW w:type="dxa" w:w="1296"/>
          </w:tcPr>
          <w:p>
            <w:r/>
            <w:r>
              <w:rPr>
                <w:sz w:val="19"/>
              </w:rPr>
              <w:t>Mirrored</w:t>
            </w:r>
          </w:p>
        </w:tc>
        <w:tc>
          <w:tcPr>
            <w:tcW w:type="dxa" w:w="2592"/>
          </w:tcPr>
          <w:p>
            <w:r/>
            <w:r>
              <w:rPr>
                <w:sz w:val="19"/>
              </w:rPr>
              <w:t>Apr, May, Jul, Oct</w:t>
            </w:r>
          </w:p>
        </w:tc>
        <w:tc>
          <w:tcPr>
            <w:tcW w:type="dxa" w:w="3600"/>
          </w:tcPr>
          <w:p>
            <w:r/>
            <w:r>
              <w:rPr>
                <w:sz w:val="19"/>
              </w:rPr>
              <w:t>quote_signal = 4.1487 − rate-per-mile</w:t>
            </w:r>
          </w:p>
        </w:tc>
        <w:tc>
          <w:tcPr>
            <w:tcW w:type="dxa" w:w="1152"/>
          </w:tcPr>
          <w:p>
            <w:r/>
            <w:r>
              <w:rPr>
                <w:sz w:val="19"/>
              </w:rPr>
              <w:t>−1.000</w:t>
            </w:r>
          </w:p>
        </w:tc>
        <w:tc>
          <w:tcPr>
            <w:tcW w:type="dxa" w:w="864"/>
          </w:tcPr>
          <w:p>
            <w:r/>
            <w:r>
              <w:rPr>
                <w:sz w:val="19"/>
              </w:rPr>
              <w:t>0.987</w:t>
            </w:r>
          </w:p>
        </w:tc>
      </w:tr>
      <w:tr>
        <w:tc>
          <w:tcPr>
            <w:tcW w:type="dxa" w:w="1296"/>
          </w:tcPr>
          <w:p>
            <w:r/>
            <w:r>
              <w:rPr>
                <w:sz w:val="19"/>
              </w:rPr>
              <w:t>Noise</w:t>
            </w:r>
          </w:p>
        </w:tc>
        <w:tc>
          <w:tcPr>
            <w:tcW w:type="dxa" w:w="2592"/>
          </w:tcPr>
          <w:p>
            <w:r/>
            <w:r>
              <w:rPr>
                <w:sz w:val="19"/>
              </w:rPr>
              <w:t>Aug, and Nov + Dec</w:t>
            </w:r>
          </w:p>
        </w:tc>
        <w:tc>
          <w:tcPr>
            <w:tcW w:type="dxa" w:w="3600"/>
          </w:tcPr>
          <w:p>
            <w:r/>
            <w:r>
              <w:rPr>
                <w:sz w:val="19"/>
              </w:rPr>
              <w:t>No relationship</w:t>
            </w:r>
          </w:p>
        </w:tc>
        <w:tc>
          <w:tcPr>
            <w:tcW w:type="dxa" w:w="1152"/>
          </w:tcPr>
          <w:p>
            <w:r/>
            <w:r>
              <w:rPr>
                <w:sz w:val="19"/>
              </w:rPr>
              <w:t>≈ 0</w:t>
            </w:r>
          </w:p>
        </w:tc>
        <w:tc>
          <w:tcPr>
            <w:tcW w:type="dxa" w:w="864"/>
          </w:tcPr>
          <w:p>
            <w:r/>
            <w:r>
              <w:rPr>
                <w:sz w:val="19"/>
              </w:rPr>
              <w:t>≈ 0</w:t>
            </w:r>
          </w:p>
        </w:tc>
      </w:tr>
    </w:tbl>
    <w:p/>
    <w:p>
      <w:r>
        <w:rPr>
          <w:b w:val="0"/>
          <w:i w:val="0"/>
        </w:rPr>
        <w:t>The direct and mirrored blocks cancel when pooled, which is why the effect is invisible in an aggregate correlation. The regime can be identified without labels using the correlation between quote_signal and log distance: −0.80 when direct, +0.81 when mirrored, and approximately zero when noise. The validation set reads +0.009 for November and +0.013 for December, placing the entire prediction period in the noise regime.</w:t>
      </w:r>
    </w:p>
    <w:p>
      <w:r>
        <w:rPr>
          <w:b w:val="0"/>
          <w:i w:val="0"/>
        </w:rPr>
        <w:t>August is the only labelled month in that regime and therefore the only like-for-like test available. Training on January–July and testing on August: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tcPr>
          <w:p>
            <w:r/>
            <w:r>
              <w:rPr>
                <w:b/>
                <w:sz w:val="19"/>
              </w:rPr>
              <w:t>Test month</w:t>
            </w:r>
          </w:p>
        </w:tc>
        <w:tc>
          <w:tcPr>
            <w:tcW w:type="dxa" w:w="2880"/>
          </w:tcPr>
          <w:p>
            <w:r/>
            <w:r>
              <w:rPr>
                <w:b/>
                <w:sz w:val="19"/>
              </w:rPr>
              <w:t>Regime</w:t>
            </w:r>
          </w:p>
        </w:tc>
        <w:tc>
          <w:tcPr>
            <w:tcW w:type="dxa" w:w="2448"/>
          </w:tcPr>
          <w:p>
            <w:r/>
            <w:r>
              <w:rPr>
                <w:b/>
                <w:sz w:val="19"/>
              </w:rPr>
              <w:t>quote_signal retained</w:t>
            </w:r>
          </w:p>
        </w:tc>
        <w:tc>
          <w:tcPr>
            <w:tcW w:type="dxa" w:w="2448"/>
          </w:tcPr>
          <w:p>
            <w:r/>
            <w:r>
              <w:rPr>
                <w:b/>
                <w:sz w:val="19"/>
              </w:rPr>
              <w:t>quote_signal excluded</w:t>
            </w:r>
          </w:p>
        </w:tc>
      </w:tr>
      <w:tr>
        <w:tc>
          <w:tcPr>
            <w:tcW w:type="dxa" w:w="1584"/>
          </w:tcPr>
          <w:p>
            <w:r/>
            <w:r>
              <w:rPr>
                <w:sz w:val="19"/>
              </w:rPr>
              <w:t>August</w:t>
            </w:r>
          </w:p>
        </w:tc>
        <w:tc>
          <w:tcPr>
            <w:tcW w:type="dxa" w:w="2880"/>
          </w:tcPr>
          <w:p>
            <w:r/>
            <w:r>
              <w:rPr>
                <w:sz w:val="19"/>
              </w:rPr>
              <w:t>Noise (matches validation)</w:t>
            </w:r>
          </w:p>
        </w:tc>
        <w:tc>
          <w:tcPr>
            <w:tcW w:type="dxa" w:w="2448"/>
          </w:tcPr>
          <w:p>
            <w:r/>
            <w:r>
              <w:rPr>
                <w:sz w:val="19"/>
              </w:rPr>
              <w:t>2.359% MAPE</w:t>
            </w:r>
          </w:p>
        </w:tc>
        <w:tc>
          <w:tcPr>
            <w:tcW w:type="dxa" w:w="2448"/>
          </w:tcPr>
          <w:p>
            <w:r/>
            <w:r>
              <w:rPr>
                <w:b/>
                <w:sz w:val="19"/>
              </w:rPr>
              <w:t>1.411% MAPE</w:t>
            </w:r>
          </w:p>
        </w:tc>
      </w:tr>
      <w:tr>
        <w:tc>
          <w:tcPr>
            <w:tcW w:type="dxa" w:w="1584"/>
          </w:tcPr>
          <w:p>
            <w:r/>
            <w:r>
              <w:rPr>
                <w:sz w:val="19"/>
              </w:rPr>
              <w:t>September</w:t>
            </w:r>
          </w:p>
        </w:tc>
        <w:tc>
          <w:tcPr>
            <w:tcW w:type="dxa" w:w="2880"/>
          </w:tcPr>
          <w:p>
            <w:r/>
            <w:r>
              <w:rPr>
                <w:sz w:val="19"/>
              </w:rPr>
              <w:t>Direct (leaking)</w:t>
            </w:r>
          </w:p>
        </w:tc>
        <w:tc>
          <w:tcPr>
            <w:tcW w:type="dxa" w:w="2448"/>
          </w:tcPr>
          <w:p>
            <w:r/>
            <w:r>
              <w:rPr>
                <w:sz w:val="19"/>
              </w:rPr>
              <w:t>1.323% MAPE</w:t>
            </w:r>
          </w:p>
        </w:tc>
        <w:tc>
          <w:tcPr>
            <w:tcW w:type="dxa" w:w="2448"/>
          </w:tcPr>
          <w:p>
            <w:r/>
            <w:r>
              <w:rPr>
                <w:sz w:val="19"/>
              </w:rPr>
              <w:t>2.206% MAPE</w:t>
            </w:r>
          </w:p>
        </w:tc>
      </w:tr>
    </w:tbl>
    <w:p/>
    <w:p>
      <w:r>
        <w:rPr>
          <w:b w:val="0"/>
          <w:i w:val="0"/>
        </w:rPr>
        <w:t>The results are a mirror image. Any holdout drawn from inside the training range has a high probability of landing in a leaking month and will argue for retaining the column; that argument does not transfer to the submission period, where the column carries no information. It was therefore excluded from every feature set.</w:t>
      </w:r>
    </w:p>
    <w:p>
      <w:r>
        <w:br w:type="page"/>
      </w:r>
    </w:p>
    <w:p>
      <w:pPr>
        <w:pStyle w:val="Heading1"/>
      </w:pPr>
      <w:r>
        <w:t>4. Validation and split strategy</w:t>
      </w:r>
    </w:p>
    <w:p>
      <w:r>
        <w:rPr>
          <w:b w:val="0"/>
          <w:i w:val="0"/>
        </w:rPr>
        <w:t>Because the prediction window follows the training window, a random split would allow the model to learn from dates surrounding those it is asked to predict — information unavailable at submission time. All splits are therefore chronological.</w:t>
      </w:r>
    </w:p>
    <w:p>
      <w:pPr>
        <w:pStyle w:val="Heading2"/>
      </w:pPr>
      <w:r>
        <w:t>4.1 Primary holdout</w:t>
      </w:r>
    </w:p>
    <w:p>
      <w:r>
        <w:rPr>
          <w:b w:val="0"/>
          <w:i w:val="0"/>
        </w:rPr>
        <w:t>The training data is split at 1 September 2025: fit on January–August (38,477 loads), score on September–October (9,523 loads). This reproduces the structure of the real task — an eight-month training period followed by a two-month forward gap — inside data where labels are available.</w:t>
      </w:r>
    </w:p>
    <w:p>
      <w:pPr>
        <w:pStyle w:val="Heading2"/>
      </w:pPr>
      <w:r>
        <w:t>4.2 Expanding-window cross-validation</w:t>
      </w:r>
    </w:p>
    <w:p>
      <w:r>
        <w:rPr>
          <w:b w:val="0"/>
          <w:i w:val="0"/>
        </w:rPr>
        <w:t>Model selection uses four expanding-window folds. Each trains on all data before a cut-off and scores the window immediately after it. The final fold spans two months, matching the submission horizon, and carries double weight in the objective.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
              <w:rPr>
                <w:b/>
                <w:sz w:val="19"/>
              </w:rPr>
              <w:t>Fold</w:t>
            </w:r>
          </w:p>
        </w:tc>
        <w:tc>
          <w:tcPr>
            <w:tcW w:type="dxa" w:w="2448"/>
          </w:tcPr>
          <w:p>
            <w:r/>
            <w:r>
              <w:rPr>
                <w:b/>
                <w:sz w:val="19"/>
              </w:rPr>
              <w:t>Scoring window</w:t>
            </w:r>
          </w:p>
        </w:tc>
        <w:tc>
          <w:tcPr>
            <w:tcW w:type="dxa" w:w="1296"/>
          </w:tcPr>
          <w:p>
            <w:r/>
            <w:r>
              <w:rPr>
                <w:b/>
                <w:sz w:val="19"/>
              </w:rPr>
              <w:t>Training loads</w:t>
            </w:r>
          </w:p>
        </w:tc>
        <w:tc>
          <w:tcPr>
            <w:tcW w:type="dxa" w:w="1152"/>
          </w:tcPr>
          <w:p>
            <w:r/>
            <w:r>
              <w:rPr>
                <w:b/>
                <w:sz w:val="19"/>
              </w:rPr>
              <w:t>Scored loads</w:t>
            </w:r>
          </w:p>
        </w:tc>
        <w:tc>
          <w:tcPr>
            <w:tcW w:type="dxa" w:w="1008"/>
          </w:tcPr>
          <w:p>
            <w:r/>
            <w:r>
              <w:rPr>
                <w:b/>
                <w:sz w:val="19"/>
              </w:rPr>
              <w:t>MAE</w:t>
            </w:r>
          </w:p>
        </w:tc>
        <w:tc>
          <w:tcPr>
            <w:tcW w:type="dxa" w:w="1008"/>
          </w:tcPr>
          <w:p>
            <w:r/>
            <w:r>
              <w:rPr>
                <w:b/>
                <w:sz w:val="19"/>
              </w:rPr>
              <w:t>MAPE</w:t>
            </w:r>
          </w:p>
        </w:tc>
        <w:tc>
          <w:tcPr>
            <w:tcW w:type="dxa" w:w="1008"/>
          </w:tcPr>
          <w:p>
            <w:r/>
            <w:r>
              <w:rPr>
                <w:b/>
                <w:sz w:val="19"/>
              </w:rPr>
              <w:t>Bias</w:t>
            </w:r>
          </w:p>
        </w:tc>
        <w:tc>
          <w:tcPr>
            <w:tcW w:type="dxa" w:w="864"/>
          </w:tcPr>
          <w:p>
            <w:r/>
            <w:r>
              <w:rPr>
                <w:b/>
                <w:sz w:val="19"/>
              </w:rPr>
              <w:t>Weight</w:t>
            </w:r>
          </w:p>
        </w:tc>
      </w:tr>
      <w:tr>
        <w:tc>
          <w:tcPr>
            <w:tcW w:type="dxa" w:w="576"/>
          </w:tcPr>
          <w:p>
            <w:r/>
            <w:r>
              <w:rPr>
                <w:sz w:val="19"/>
              </w:rPr>
              <w:t>1</w:t>
            </w:r>
          </w:p>
        </w:tc>
        <w:tc>
          <w:tcPr>
            <w:tcW w:type="dxa" w:w="2448"/>
          </w:tcPr>
          <w:p>
            <w:r/>
            <w:r>
              <w:rPr>
                <w:sz w:val="19"/>
              </w:rPr>
              <w:t>2025-06-01 to 2025-07-01</w:t>
            </w:r>
          </w:p>
        </w:tc>
        <w:tc>
          <w:tcPr>
            <w:tcW w:type="dxa" w:w="1296"/>
          </w:tcPr>
          <w:p>
            <w:r/>
            <w:r>
              <w:rPr>
                <w:sz w:val="19"/>
              </w:rPr>
              <w:t>24,023</w:t>
            </w:r>
          </w:p>
        </w:tc>
        <w:tc>
          <w:tcPr>
            <w:tcW w:type="dxa" w:w="1152"/>
          </w:tcPr>
          <w:p>
            <w:r/>
            <w:r>
              <w:rPr>
                <w:sz w:val="19"/>
              </w:rPr>
              <w:t>4,720</w:t>
            </w:r>
          </w:p>
        </w:tc>
        <w:tc>
          <w:tcPr>
            <w:tcW w:type="dxa" w:w="1008"/>
          </w:tcPr>
          <w:p>
            <w:r/>
            <w:r>
              <w:rPr>
                <w:sz w:val="19"/>
              </w:rPr>
              <w:t>$53.39</w:t>
            </w:r>
          </w:p>
        </w:tc>
        <w:tc>
          <w:tcPr>
            <w:tcW w:type="dxa" w:w="1008"/>
          </w:tcPr>
          <w:p>
            <w:r/>
            <w:r>
              <w:rPr>
                <w:sz w:val="19"/>
              </w:rPr>
              <w:t>2.14%</w:t>
            </w:r>
          </w:p>
        </w:tc>
        <w:tc>
          <w:tcPr>
            <w:tcW w:type="dxa" w:w="1008"/>
          </w:tcPr>
          <w:p>
            <w:r/>
            <w:r>
              <w:rPr>
                <w:sz w:val="19"/>
              </w:rPr>
              <w:t>0.9834</w:t>
            </w:r>
          </w:p>
        </w:tc>
        <w:tc>
          <w:tcPr>
            <w:tcW w:type="dxa" w:w="864"/>
          </w:tcPr>
          <w:p>
            <w:r/>
            <w:r>
              <w:rPr>
                <w:sz w:val="19"/>
              </w:rPr>
              <w:t>1</w:t>
            </w:r>
          </w:p>
        </w:tc>
      </w:tr>
      <w:tr>
        <w:tc>
          <w:tcPr>
            <w:tcW w:type="dxa" w:w="576"/>
          </w:tcPr>
          <w:p>
            <w:r/>
            <w:r>
              <w:rPr>
                <w:sz w:val="19"/>
              </w:rPr>
              <w:t>2</w:t>
            </w:r>
          </w:p>
        </w:tc>
        <w:tc>
          <w:tcPr>
            <w:tcW w:type="dxa" w:w="2448"/>
          </w:tcPr>
          <w:p>
            <w:r/>
            <w:r>
              <w:rPr>
                <w:sz w:val="19"/>
              </w:rPr>
              <w:t>2025-07-01 to 2025-08-01</w:t>
            </w:r>
          </w:p>
        </w:tc>
        <w:tc>
          <w:tcPr>
            <w:tcW w:type="dxa" w:w="1296"/>
          </w:tcPr>
          <w:p>
            <w:r/>
            <w:r>
              <w:rPr>
                <w:sz w:val="19"/>
              </w:rPr>
              <w:t>28,806</w:t>
            </w:r>
          </w:p>
        </w:tc>
        <w:tc>
          <w:tcPr>
            <w:tcW w:type="dxa" w:w="1152"/>
          </w:tcPr>
          <w:p>
            <w:r/>
            <w:r>
              <w:rPr>
                <w:sz w:val="19"/>
              </w:rPr>
              <w:t>4,847</w:t>
            </w:r>
          </w:p>
        </w:tc>
        <w:tc>
          <w:tcPr>
            <w:tcW w:type="dxa" w:w="1008"/>
          </w:tcPr>
          <w:p>
            <w:r/>
            <w:r>
              <w:rPr>
                <w:sz w:val="19"/>
              </w:rPr>
              <w:t>$81.00</w:t>
            </w:r>
          </w:p>
        </w:tc>
        <w:tc>
          <w:tcPr>
            <w:tcW w:type="dxa" w:w="1008"/>
          </w:tcPr>
          <w:p>
            <w:r/>
            <w:r>
              <w:rPr>
                <w:sz w:val="19"/>
              </w:rPr>
              <w:t>3.48%</w:t>
            </w:r>
          </w:p>
        </w:tc>
        <w:tc>
          <w:tcPr>
            <w:tcW w:type="dxa" w:w="1008"/>
          </w:tcPr>
          <w:p>
            <w:r/>
            <w:r>
              <w:rPr>
                <w:sz w:val="19"/>
              </w:rPr>
              <w:t>1.0332</w:t>
            </w:r>
          </w:p>
        </w:tc>
        <w:tc>
          <w:tcPr>
            <w:tcW w:type="dxa" w:w="864"/>
          </w:tcPr>
          <w:p>
            <w:r/>
            <w:r>
              <w:rPr>
                <w:sz w:val="19"/>
              </w:rPr>
              <w:t>1</w:t>
            </w:r>
          </w:p>
        </w:tc>
      </w:tr>
      <w:tr>
        <w:tc>
          <w:tcPr>
            <w:tcW w:type="dxa" w:w="576"/>
          </w:tcPr>
          <w:p>
            <w:r/>
            <w:r>
              <w:rPr>
                <w:sz w:val="19"/>
              </w:rPr>
              <w:t>3</w:t>
            </w:r>
          </w:p>
        </w:tc>
        <w:tc>
          <w:tcPr>
            <w:tcW w:type="dxa" w:w="2448"/>
          </w:tcPr>
          <w:p>
            <w:r/>
            <w:r>
              <w:rPr>
                <w:sz w:val="19"/>
              </w:rPr>
              <w:t>2025-08-01 to 2025-09-01</w:t>
            </w:r>
          </w:p>
        </w:tc>
        <w:tc>
          <w:tcPr>
            <w:tcW w:type="dxa" w:w="1296"/>
          </w:tcPr>
          <w:p>
            <w:r/>
            <w:r>
              <w:rPr>
                <w:sz w:val="19"/>
              </w:rPr>
              <w:t>33,718</w:t>
            </w:r>
          </w:p>
        </w:tc>
        <w:tc>
          <w:tcPr>
            <w:tcW w:type="dxa" w:w="1152"/>
          </w:tcPr>
          <w:p>
            <w:r/>
            <w:r>
              <w:rPr>
                <w:sz w:val="19"/>
              </w:rPr>
              <w:t>4,691</w:t>
            </w:r>
          </w:p>
        </w:tc>
        <w:tc>
          <w:tcPr>
            <w:tcW w:type="dxa" w:w="1008"/>
          </w:tcPr>
          <w:p>
            <w:r/>
            <w:r>
              <w:rPr>
                <w:sz w:val="19"/>
              </w:rPr>
              <w:t>$33.34</w:t>
            </w:r>
          </w:p>
        </w:tc>
        <w:tc>
          <w:tcPr>
            <w:tcW w:type="dxa" w:w="1008"/>
          </w:tcPr>
          <w:p>
            <w:r/>
            <w:r>
              <w:rPr>
                <w:sz w:val="19"/>
              </w:rPr>
              <w:t>1.45%</w:t>
            </w:r>
          </w:p>
        </w:tc>
        <w:tc>
          <w:tcPr>
            <w:tcW w:type="dxa" w:w="1008"/>
          </w:tcPr>
          <w:p>
            <w:r/>
            <w:r>
              <w:rPr>
                <w:sz w:val="19"/>
              </w:rPr>
              <w:t>1.0076</w:t>
            </w:r>
          </w:p>
        </w:tc>
        <w:tc>
          <w:tcPr>
            <w:tcW w:type="dxa" w:w="864"/>
          </w:tcPr>
          <w:p>
            <w:r/>
            <w:r>
              <w:rPr>
                <w:sz w:val="19"/>
              </w:rPr>
              <w:t>1</w:t>
            </w:r>
          </w:p>
        </w:tc>
      </w:tr>
      <w:tr>
        <w:tc>
          <w:tcPr>
            <w:tcW w:type="dxa" w:w="576"/>
          </w:tcPr>
          <w:p>
            <w:r/>
            <w:r>
              <w:rPr>
                <w:sz w:val="19"/>
              </w:rPr>
              <w:t>4</w:t>
            </w:r>
          </w:p>
        </w:tc>
        <w:tc>
          <w:tcPr>
            <w:tcW w:type="dxa" w:w="2448"/>
          </w:tcPr>
          <w:p>
            <w:r/>
            <w:r>
              <w:rPr>
                <w:sz w:val="19"/>
              </w:rPr>
              <w:t>2025-09-01 to 2025-11-01</w:t>
            </w:r>
          </w:p>
        </w:tc>
        <w:tc>
          <w:tcPr>
            <w:tcW w:type="dxa" w:w="1296"/>
          </w:tcPr>
          <w:p>
            <w:r/>
            <w:r>
              <w:rPr>
                <w:sz w:val="19"/>
              </w:rPr>
              <w:t>38,477</w:t>
            </w:r>
          </w:p>
        </w:tc>
        <w:tc>
          <w:tcPr>
            <w:tcW w:type="dxa" w:w="1152"/>
          </w:tcPr>
          <w:p>
            <w:r/>
            <w:r>
              <w:rPr>
                <w:sz w:val="19"/>
              </w:rPr>
              <w:t>9,379</w:t>
            </w:r>
          </w:p>
        </w:tc>
        <w:tc>
          <w:tcPr>
            <w:tcW w:type="dxa" w:w="1008"/>
          </w:tcPr>
          <w:p>
            <w:r/>
            <w:r>
              <w:rPr>
                <w:sz w:val="19"/>
              </w:rPr>
              <w:t>$51.12</w:t>
            </w:r>
          </w:p>
        </w:tc>
        <w:tc>
          <w:tcPr>
            <w:tcW w:type="dxa" w:w="1008"/>
          </w:tcPr>
          <w:p>
            <w:r/>
            <w:r>
              <w:rPr>
                <w:sz w:val="19"/>
              </w:rPr>
              <w:t>2.13%</w:t>
            </w:r>
          </w:p>
        </w:tc>
        <w:tc>
          <w:tcPr>
            <w:tcW w:type="dxa" w:w="1008"/>
          </w:tcPr>
          <w:p>
            <w:r/>
            <w:r>
              <w:rPr>
                <w:sz w:val="19"/>
              </w:rPr>
              <w:t>0.9819</w:t>
            </w:r>
          </w:p>
        </w:tc>
        <w:tc>
          <w:tcPr>
            <w:tcW w:type="dxa" w:w="864"/>
          </w:tcPr>
          <w:p>
            <w:r/>
            <w:r>
              <w:rPr>
                <w:sz w:val="19"/>
              </w:rPr>
              <w:t>2</w:t>
            </w:r>
          </w:p>
        </w:tc>
      </w:tr>
    </w:tbl>
    <w:p/>
    <w:p>
      <w:pPr>
        <w:jc w:val="center"/>
      </w:pPr>
      <w:r>
        <w:rPr>
          <w:i/>
          <w:color w:val="455A60"/>
          <w:sz w:val="18"/>
        </w:rPr>
        <w:t>Table: expanding-window folds. Corrupted labels are removed from the training side of every fold and excluded from the scored rows.</w:t>
      </w:r>
    </w:p>
    <w:p>
      <w:pPr>
        <w:pStyle w:val="Heading2"/>
      </w:pPr>
      <w:r>
        <w:t>4.3 Handling of corrupted labels within a split</w:t>
      </w:r>
    </w:p>
    <w:p>
      <w:r>
        <w:rPr>
          <w:b w:val="0"/>
          <w:i w:val="0"/>
        </w:rPr>
        <w:t>Corrupted labels are removed from the training side of each split but retained in the scored set, which is then evaluated twice: against clean rows only, which measures the model, and against all rows, which estimates what a grader scoring against a corrupted answer key would observe. Figures in this report are the clean-row metrics unless stated otherwise.</w:t>
      </w:r>
    </w:p>
    <w:p>
      <w:pPr>
        <w:pStyle w:val="Heading2"/>
      </w:pPr>
      <w:r>
        <w:t>4.4 Demonstration that random splitting leaks</w:t>
      </w:r>
    </w:p>
    <w:p>
      <w:r>
        <w:rPr>
          <w:b w:val="0"/>
          <w:i w:val="0"/>
        </w:rPr>
        <w:t>To quantify the cost of the wrong design, the selected model was evaluated under both schemes on identical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Validation design</w:t>
            </w:r>
          </w:p>
        </w:tc>
        <w:tc>
          <w:tcPr>
            <w:tcW w:type="dxa" w:w="1440"/>
          </w:tcPr>
          <w:p>
            <w:r/>
            <w:r>
              <w:rPr>
                <w:b/>
                <w:sz w:val="19"/>
              </w:rPr>
              <w:t>MAE</w:t>
            </w:r>
          </w:p>
        </w:tc>
        <w:tc>
          <w:tcPr>
            <w:tcW w:type="dxa" w:w="5040"/>
          </w:tcPr>
          <w:p>
            <w:r/>
            <w:r>
              <w:rPr>
                <w:b/>
                <w:sz w:val="19"/>
              </w:rPr>
              <w:t>Interpretation</w:t>
            </w:r>
          </w:p>
        </w:tc>
      </w:tr>
      <w:tr>
        <w:tc>
          <w:tcPr>
            <w:tcW w:type="dxa" w:w="2880"/>
          </w:tcPr>
          <w:p>
            <w:r/>
            <w:r>
              <w:rPr>
                <w:sz w:val="19"/>
              </w:rPr>
              <w:t>Random 4-fold, shuffled</w:t>
            </w:r>
          </w:p>
        </w:tc>
        <w:tc>
          <w:tcPr>
            <w:tcW w:type="dxa" w:w="1440"/>
          </w:tcPr>
          <w:p>
            <w:r/>
            <w:r>
              <w:rPr>
                <w:sz w:val="19"/>
              </w:rPr>
              <w:t>$37.16</w:t>
            </w:r>
          </w:p>
        </w:tc>
        <w:tc>
          <w:tcPr>
            <w:tcW w:type="dxa" w:w="5040"/>
          </w:tcPr>
          <w:p>
            <w:r/>
            <w:r>
              <w:rPr>
                <w:sz w:val="19"/>
              </w:rPr>
              <w:t>Optimistic — not used for any decision</w:t>
            </w:r>
          </w:p>
        </w:tc>
      </w:tr>
      <w:tr>
        <w:tc>
          <w:tcPr>
            <w:tcW w:type="dxa" w:w="2880"/>
          </w:tcPr>
          <w:p>
            <w:r/>
            <w:r>
              <w:rPr>
                <w:sz w:val="19"/>
              </w:rPr>
              <w:t>Forward fold, Sep–Oct</w:t>
            </w:r>
          </w:p>
        </w:tc>
        <w:tc>
          <w:tcPr>
            <w:tcW w:type="dxa" w:w="1440"/>
          </w:tcPr>
          <w:p>
            <w:r/>
            <w:r>
              <w:rPr>
                <w:b/>
                <w:sz w:val="19"/>
              </w:rPr>
              <w:t>$51.12</w:t>
            </w:r>
          </w:p>
        </w:tc>
        <w:tc>
          <w:tcPr>
            <w:tcW w:type="dxa" w:w="5040"/>
          </w:tcPr>
          <w:p>
            <w:r/>
            <w:r>
              <w:rPr>
                <w:sz w:val="19"/>
              </w:rPr>
              <w:t>Honest estimate, matches the submission horizon</w:t>
            </w:r>
          </w:p>
        </w:tc>
      </w:tr>
    </w:tbl>
    <w:p/>
    <w:p>
      <w:r>
        <w:rPr>
          <w:b w:val="0"/>
          <w:i w:val="0"/>
        </w:rPr>
        <w:t>Random K-fold understates error by 27.3%. Reporting that figure would have overstated the model's accuracy by more than a third. This comparison is computed on every run and recorded in outputs/cv_metrics.json.</w:t>
      </w:r>
    </w:p>
    <w:p>
      <w:pPr>
        <w:pStyle w:val="Heading1"/>
      </w:pPr>
      <w:r>
        <w:t>5. Feature engineering</w:t>
      </w:r>
    </w:p>
    <w:p>
      <w:r>
        <w:rPr>
          <w:b w:val="0"/>
          <w:i w:val="0"/>
        </w:rPr>
        <w:t>The modelling target is log(rate ÷ distance). Dividing by distance removes the dominant driver so the model can address the remaining variation; the logarithm matches the multiplicative structure of freight pricing and guarantees strictly positive predictions when exponentiated. Two decisions were consequential.</w:t>
      </w:r>
    </w:p>
    <w:p>
      <w:pPr>
        <w:pStyle w:val="Heading2"/>
      </w:pPr>
      <w:r>
        <w:t>5.1 Time enters as a slope, never as a split</w:t>
      </w:r>
    </w:p>
    <w:p>
      <w:r>
        <w:rPr>
          <w:b w:val="0"/>
          <w:i w:val="0"/>
        </w:rPr>
        <w:t>A decision tree partitions on thresholds and cannot produce a value outside the range it was trained on; every validation row lies beyond the last training date, so all 12,000 would fall in a single terminal leaf. A linear coefficient extrapolates. A single term, days_since_start, is therefore supplied to the linear component only and withheld from the tree component entirely.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
              <w:rPr>
                <w:b/>
                <w:sz w:val="19"/>
              </w:rPr>
              <w:t>Configuration</w:t>
            </w:r>
          </w:p>
        </w:tc>
        <w:tc>
          <w:tcPr>
            <w:tcW w:type="dxa" w:w="1440"/>
          </w:tcPr>
          <w:p>
            <w:r/>
            <w:r>
              <w:rPr>
                <w:b/>
                <w:sz w:val="19"/>
              </w:rPr>
              <w:t>MAE</w:t>
            </w:r>
          </w:p>
        </w:tc>
        <w:tc>
          <w:tcPr>
            <w:tcW w:type="dxa" w:w="1440"/>
          </w:tcPr>
          <w:p>
            <w:r/>
            <w:r>
              <w:rPr>
                <w:b/>
                <w:sz w:val="19"/>
              </w:rPr>
              <w:t>MAPE</w:t>
            </w:r>
          </w:p>
        </w:tc>
        <w:tc>
          <w:tcPr>
            <w:tcW w:type="dxa" w:w="1440"/>
          </w:tcPr>
          <w:p>
            <w:r/>
            <w:r>
              <w:rPr>
                <w:b/>
                <w:sz w:val="19"/>
              </w:rPr>
              <w:t>Bias</w:t>
            </w:r>
          </w:p>
        </w:tc>
      </w:tr>
      <w:tr>
        <w:tc>
          <w:tcPr>
            <w:tcW w:type="dxa" w:w="3168"/>
          </w:tcPr>
          <w:p>
            <w:r/>
            <w:r>
              <w:rPr>
                <w:sz w:val="19"/>
              </w:rPr>
              <w:t>With days_since_start</w:t>
            </w:r>
          </w:p>
        </w:tc>
        <w:tc>
          <w:tcPr>
            <w:tcW w:type="dxa" w:w="1440"/>
          </w:tcPr>
          <w:p>
            <w:r/>
            <w:r>
              <w:rPr>
                <w:b/>
                <w:sz w:val="19"/>
              </w:rPr>
              <w:t>$52.04</w:t>
            </w:r>
          </w:p>
        </w:tc>
        <w:tc>
          <w:tcPr>
            <w:tcW w:type="dxa" w:w="1440"/>
          </w:tcPr>
          <w:p>
            <w:r/>
            <w:r>
              <w:rPr>
                <w:b/>
                <w:sz w:val="19"/>
              </w:rPr>
              <w:t>2.19%</w:t>
            </w:r>
          </w:p>
        </w:tc>
        <w:tc>
          <w:tcPr>
            <w:tcW w:type="dxa" w:w="1440"/>
          </w:tcPr>
          <w:p>
            <w:r/>
            <w:r>
              <w:rPr>
                <w:b/>
                <w:sz w:val="19"/>
              </w:rPr>
              <w:t>0.985</w:t>
            </w:r>
          </w:p>
        </w:tc>
      </w:tr>
      <w:tr>
        <w:tc>
          <w:tcPr>
            <w:tcW w:type="dxa" w:w="3168"/>
          </w:tcPr>
          <w:p>
            <w:r/>
            <w:r>
              <w:rPr>
                <w:sz w:val="19"/>
              </w:rPr>
              <w:t>Without</w:t>
            </w:r>
          </w:p>
        </w:tc>
        <w:tc>
          <w:tcPr>
            <w:tcW w:type="dxa" w:w="1440"/>
          </w:tcPr>
          <w:p>
            <w:r/>
            <w:r>
              <w:rPr>
                <w:sz w:val="19"/>
              </w:rPr>
              <w:t>$111.40</w:t>
            </w:r>
          </w:p>
        </w:tc>
        <w:tc>
          <w:tcPr>
            <w:tcW w:type="dxa" w:w="1440"/>
          </w:tcPr>
          <w:p>
            <w:r/>
            <w:r>
              <w:rPr>
                <w:sz w:val="19"/>
              </w:rPr>
              <w:t>4.72%</w:t>
            </w:r>
          </w:p>
        </w:tc>
        <w:tc>
          <w:tcPr>
            <w:tcW w:type="dxa" w:w="1440"/>
          </w:tcPr>
          <w:p>
            <w:r/>
            <w:r>
              <w:rPr>
                <w:sz w:val="19"/>
              </w:rPr>
              <w:t>0.953</w:t>
            </w:r>
          </w:p>
        </w:tc>
      </w:tr>
    </w:tbl>
    <w:p/>
    <w:p>
      <w:pPr>
        <w:jc w:val="center"/>
      </w:pPr>
      <w:r>
        <w:rPr>
          <w:i/>
          <w:color w:val="455A60"/>
          <w:sz w:val="18"/>
        </w:rPr>
        <w:t>Table: ridge model, fit January–August, scored September–October. Removing the trend term doubles the error and introduces a 4.7% systematic underprediction.</w:t>
      </w:r>
    </w:p>
    <w:p>
      <w:pPr>
        <w:pStyle w:val="Heading2"/>
      </w:pPr>
      <w:r>
        <w:t>5.2 Geography as coordinates, never as identity</w:t>
      </w:r>
    </w:p>
    <w:p>
      <w:r>
        <w:rPr>
          <w:b w:val="0"/>
          <w:i w:val="0"/>
        </w:rPr>
        <w:t>Because 1,447 validation loads involve cities absent from training, city dummies and target encodings are undefined for those rows. Geography instead enters through coordinates: raw latitude and longitude for both ends, great-circle distance, circuity (road miles per straight-line mile), and the direction of haul. For the linear component, a radial basis over 40 k-means centres converts position into smooth membership values that remain defined for any coordinate pair. Measured against city identity the cost is negligible — 2.47% versus 2.45% MAPE — and unseen cities degrade gracefully rather than failing.</w:t>
      </w:r>
    </w:p>
    <w:p>
      <w:r>
        <w:br w:type="page"/>
      </w:r>
    </w:p>
    <w:p>
      <w:pPr>
        <w:pStyle w:val="Heading1"/>
      </w:pPr>
      <w:r>
        <w:t>6. Model selection</w:t>
      </w:r>
    </w:p>
    <w:p>
      <w:r>
        <w:rPr>
          <w:b w:val="0"/>
          <w:i w:val="0"/>
        </w:rPr>
        <w:t>Four families were evaluated on the primary holdout, with a median-rate model as the baseline to beat.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304"/>
          </w:tcPr>
          <w:p>
            <w:r/>
            <w:r>
              <w:rPr>
                <w:b/>
                <w:sz w:val="19"/>
              </w:rPr>
              <w:t>Model</w:t>
            </w:r>
          </w:p>
        </w:tc>
        <w:tc>
          <w:tcPr>
            <w:tcW w:type="dxa" w:w="1296"/>
          </w:tcPr>
          <w:p>
            <w:r/>
            <w:r>
              <w:rPr>
                <w:b/>
                <w:sz w:val="19"/>
              </w:rPr>
              <w:t>MAE</w:t>
            </w:r>
          </w:p>
        </w:tc>
        <w:tc>
          <w:tcPr>
            <w:tcW w:type="dxa" w:w="1296"/>
          </w:tcPr>
          <w:p>
            <w:r/>
            <w:r>
              <w:rPr>
                <w:b/>
                <w:sz w:val="19"/>
              </w:rPr>
              <w:t>RMSE</w:t>
            </w:r>
          </w:p>
        </w:tc>
        <w:tc>
          <w:tcPr>
            <w:tcW w:type="dxa" w:w="1152"/>
          </w:tcPr>
          <w:p>
            <w:r/>
            <w:r>
              <w:rPr>
                <w:b/>
                <w:sz w:val="19"/>
              </w:rPr>
              <w:t>MAPE</w:t>
            </w:r>
          </w:p>
        </w:tc>
        <w:tc>
          <w:tcPr>
            <w:tcW w:type="dxa" w:w="1440"/>
          </w:tcPr>
          <w:p>
            <w:r/>
            <w:r>
              <w:rPr>
                <w:b/>
                <w:sz w:val="19"/>
              </w:rPr>
              <w:t>Median APE</w:t>
            </w:r>
          </w:p>
        </w:tc>
        <w:tc>
          <w:tcPr>
            <w:tcW w:type="dxa" w:w="1152"/>
          </w:tcPr>
          <w:p>
            <w:r/>
            <w:r>
              <w:rPr>
                <w:b/>
                <w:sz w:val="19"/>
              </w:rPr>
              <w:t>Bias</w:t>
            </w:r>
          </w:p>
        </w:tc>
      </w:tr>
      <w:tr>
        <w:tc>
          <w:tcPr>
            <w:tcW w:type="dxa" w:w="2304"/>
          </w:tcPr>
          <w:p>
            <w:r/>
            <w:r>
              <w:rPr>
                <w:sz w:val="19"/>
              </w:rPr>
              <w:t>Median baseline</w:t>
            </w:r>
          </w:p>
        </w:tc>
        <w:tc>
          <w:tcPr>
            <w:tcW w:type="dxa" w:w="1296"/>
          </w:tcPr>
          <w:p>
            <w:r/>
            <w:r>
              <w:rPr>
                <w:sz w:val="19"/>
              </w:rPr>
              <w:t>$203.69</w:t>
            </w:r>
          </w:p>
        </w:tc>
        <w:tc>
          <w:tcPr>
            <w:tcW w:type="dxa" w:w="1296"/>
          </w:tcPr>
          <w:p>
            <w:r/>
            <w:r>
              <w:rPr>
                <w:sz w:val="19"/>
              </w:rPr>
              <w:t>$295.92</w:t>
            </w:r>
          </w:p>
        </w:tc>
        <w:tc>
          <w:tcPr>
            <w:tcW w:type="dxa" w:w="1152"/>
          </w:tcPr>
          <w:p>
            <w:r/>
            <w:r>
              <w:rPr>
                <w:sz w:val="19"/>
              </w:rPr>
              <w:t>9.27%</w:t>
            </w:r>
          </w:p>
        </w:tc>
        <w:tc>
          <w:tcPr>
            <w:tcW w:type="dxa" w:w="1440"/>
          </w:tcPr>
          <w:p>
            <w:r/>
            <w:r>
              <w:rPr>
                <w:sz w:val="19"/>
              </w:rPr>
              <w:t>7.90%</w:t>
            </w:r>
          </w:p>
        </w:tc>
        <w:tc>
          <w:tcPr>
            <w:tcW w:type="dxa" w:w="1152"/>
          </w:tcPr>
          <w:p>
            <w:r/>
            <w:r>
              <w:rPr>
                <w:sz w:val="19"/>
              </w:rPr>
              <w:t>1.0305</w:t>
            </w:r>
          </w:p>
        </w:tc>
      </w:tr>
      <w:tr>
        <w:tc>
          <w:tcPr>
            <w:tcW w:type="dxa" w:w="2304"/>
          </w:tcPr>
          <w:p>
            <w:r/>
            <w:r>
              <w:rPr>
                <w:sz w:val="19"/>
              </w:rPr>
              <w:t>Tree</w:t>
            </w:r>
          </w:p>
        </w:tc>
        <w:tc>
          <w:tcPr>
            <w:tcW w:type="dxa" w:w="1296"/>
          </w:tcPr>
          <w:p>
            <w:r/>
            <w:r>
              <w:rPr>
                <w:sz w:val="19"/>
              </w:rPr>
              <w:t>$116.90</w:t>
            </w:r>
          </w:p>
        </w:tc>
        <w:tc>
          <w:tcPr>
            <w:tcW w:type="dxa" w:w="1296"/>
          </w:tcPr>
          <w:p>
            <w:r/>
            <w:r>
              <w:rPr>
                <w:sz w:val="19"/>
              </w:rPr>
              <w:t>$149.87</w:t>
            </w:r>
          </w:p>
        </w:tc>
        <w:tc>
          <w:tcPr>
            <w:tcW w:type="dxa" w:w="1152"/>
          </w:tcPr>
          <w:p>
            <w:r/>
            <w:r>
              <w:rPr>
                <w:sz w:val="19"/>
              </w:rPr>
              <w:t>4.88%</w:t>
            </w:r>
          </w:p>
        </w:tc>
        <w:tc>
          <w:tcPr>
            <w:tcW w:type="dxa" w:w="1440"/>
          </w:tcPr>
          <w:p>
            <w:r/>
            <w:r>
              <w:rPr>
                <w:sz w:val="19"/>
              </w:rPr>
              <w:t>4.71%</w:t>
            </w:r>
          </w:p>
        </w:tc>
        <w:tc>
          <w:tcPr>
            <w:tcW w:type="dxa" w:w="1152"/>
          </w:tcPr>
          <w:p>
            <w:r/>
            <w:r>
              <w:rPr>
                <w:sz w:val="19"/>
              </w:rPr>
              <w:t>0.9506</w:t>
            </w:r>
          </w:p>
        </w:tc>
      </w:tr>
      <w:tr>
        <w:tc>
          <w:tcPr>
            <w:tcW w:type="dxa" w:w="2304"/>
          </w:tcPr>
          <w:p>
            <w:r/>
            <w:r>
              <w:rPr>
                <w:sz w:val="19"/>
              </w:rPr>
              <w:t>Ridge</w:t>
            </w:r>
          </w:p>
        </w:tc>
        <w:tc>
          <w:tcPr>
            <w:tcW w:type="dxa" w:w="1296"/>
          </w:tcPr>
          <w:p>
            <w:r/>
            <w:r>
              <w:rPr>
                <w:sz w:val="19"/>
              </w:rPr>
              <w:t>$54.59</w:t>
            </w:r>
          </w:p>
        </w:tc>
        <w:tc>
          <w:tcPr>
            <w:tcW w:type="dxa" w:w="1296"/>
          </w:tcPr>
          <w:p>
            <w:r/>
            <w:r>
              <w:rPr>
                <w:sz w:val="19"/>
              </w:rPr>
              <w:t>$80.27</w:t>
            </w:r>
          </w:p>
        </w:tc>
        <w:tc>
          <w:tcPr>
            <w:tcW w:type="dxa" w:w="1152"/>
          </w:tcPr>
          <w:p>
            <w:r/>
            <w:r>
              <w:rPr>
                <w:sz w:val="19"/>
              </w:rPr>
              <w:t>2.34%</w:t>
            </w:r>
          </w:p>
        </w:tc>
        <w:tc>
          <w:tcPr>
            <w:tcW w:type="dxa" w:w="1440"/>
          </w:tcPr>
          <w:p>
            <w:r/>
            <w:r>
              <w:rPr>
                <w:sz w:val="19"/>
              </w:rPr>
              <w:t>1.96%</w:t>
            </w:r>
          </w:p>
        </w:tc>
        <w:tc>
          <w:tcPr>
            <w:tcW w:type="dxa" w:w="1152"/>
          </w:tcPr>
          <w:p>
            <w:r/>
            <w:r>
              <w:rPr>
                <w:sz w:val="19"/>
              </w:rPr>
              <w:t>0.9826</w:t>
            </w:r>
          </w:p>
        </w:tc>
      </w:tr>
      <w:tr>
        <w:tc>
          <w:tcPr>
            <w:tcW w:type="dxa" w:w="2304"/>
          </w:tcPr>
          <w:p>
            <w:r/>
            <w:r>
              <w:rPr>
                <w:sz w:val="19"/>
              </w:rPr>
              <w:t>Hybrid</w:t>
            </w:r>
          </w:p>
        </w:tc>
        <w:tc>
          <w:tcPr>
            <w:tcW w:type="dxa" w:w="1296"/>
          </w:tcPr>
          <w:p>
            <w:r/>
            <w:r>
              <w:rPr>
                <w:sz w:val="19"/>
              </w:rPr>
              <w:t>$51.84</w:t>
            </w:r>
          </w:p>
        </w:tc>
        <w:tc>
          <w:tcPr>
            <w:tcW w:type="dxa" w:w="1296"/>
          </w:tcPr>
          <w:p>
            <w:r/>
            <w:r>
              <w:rPr>
                <w:sz w:val="19"/>
              </w:rPr>
              <w:t>$78.03</w:t>
            </w:r>
          </w:p>
        </w:tc>
        <w:tc>
          <w:tcPr>
            <w:tcW w:type="dxa" w:w="1152"/>
          </w:tcPr>
          <w:p>
            <w:r/>
            <w:r>
              <w:rPr>
                <w:sz w:val="19"/>
              </w:rPr>
              <w:t>2.15%</w:t>
            </w:r>
          </w:p>
        </w:tc>
        <w:tc>
          <w:tcPr>
            <w:tcW w:type="dxa" w:w="1440"/>
          </w:tcPr>
          <w:p>
            <w:r/>
            <w:r>
              <w:rPr>
                <w:sz w:val="19"/>
              </w:rPr>
              <w:t>1.79%</w:t>
            </w:r>
          </w:p>
        </w:tc>
        <w:tc>
          <w:tcPr>
            <w:tcW w:type="dxa" w:w="1152"/>
          </w:tcPr>
          <w:p>
            <w:r/>
            <w:r>
              <w:rPr>
                <w:sz w:val="19"/>
              </w:rPr>
              <w:t>0.9814</w:t>
            </w:r>
          </w:p>
        </w:tc>
      </w:tr>
    </w:tbl>
    <w:p/>
    <w:p>
      <w:r>
        <w:rPr>
          <w:b w:val="0"/>
          <w:i w:val="0"/>
        </w:rPr>
        <w:t>The tree-only model is the weakest and, more informatively, carries a bias of 0.9506 — a systematic 4.9% underprediction, which is precisely the extrapolation failure anticipated in section 5.1. It is retained as the residual stage of the hybrid, where it is not asked to carry the trend.</w:t>
      </w:r>
    </w:p>
    <w:p>
      <w:pPr>
        <w:pStyle w:val="Heading2"/>
      </w:pPr>
      <w:r>
        <w:t>6.1 Search</w:t>
      </w:r>
    </w:p>
    <w:p>
      <w:r>
        <w:rPr>
          <w:b w:val="0"/>
          <w:i w:val="0"/>
        </w:rPr>
        <w:t>An Optuna study of 60 trials searched over the model family itself as well as its hyperparameters, minimising the weighted mean MAE across the four forward folds. Pointing the search at a leaky objective would cause every trial to optimise into the leak while reporting a record score, so the choice of objective matters more than the search budget.</w:t>
      </w:r>
    </w:p>
    <w:tbl>
      <w:tblPr>
        <w:tblStyle w:val="LightGrid-Accent1"/>
        <w:tblW w:type="auto" w:w="0"/>
        <w:jc w:val="center"/>
        <w:tblLook w:firstColumn="1" w:firstRow="1" w:lastColumn="0" w:lastRow="0" w:noHBand="0" w:noVBand="1" w:val="04A0"/>
      </w:tblPr>
      <w:tblGrid>
        <w:gridCol w:w="4320"/>
        <w:gridCol w:w="4320"/>
      </w:tblGrid>
      <w:tr>
        <w:tc>
          <w:tcPr>
            <w:tcW w:type="dxa" w:w="2880"/>
          </w:tcPr>
          <w:p>
            <w:r/>
            <w:r>
              <w:rPr>
                <w:b/>
                <w:sz w:val="19"/>
              </w:rPr>
              <w:t>Family</w:t>
            </w:r>
          </w:p>
        </w:tc>
        <w:tc>
          <w:tcPr>
            <w:tcW w:type="dxa" w:w="2304"/>
          </w:tcPr>
          <w:p>
            <w:r/>
            <w:r>
              <w:rPr>
                <w:b/>
                <w:sz w:val="19"/>
              </w:rPr>
              <w:t>Best objective MAE</w:t>
            </w:r>
          </w:p>
        </w:tc>
      </w:tr>
      <w:tr>
        <w:tc>
          <w:tcPr>
            <w:tcW w:type="dxa" w:w="2880"/>
          </w:tcPr>
          <w:p>
            <w:r/>
            <w:r>
              <w:rPr>
                <w:sz w:val="19"/>
              </w:rPr>
              <w:t>Hybrid</w:t>
            </w:r>
          </w:p>
        </w:tc>
        <w:tc>
          <w:tcPr>
            <w:tcW w:type="dxa" w:w="2304"/>
          </w:tcPr>
          <w:p>
            <w:r/>
            <w:r>
              <w:rPr>
                <w:sz w:val="19"/>
              </w:rPr>
              <w:t>$54.07</w:t>
            </w:r>
          </w:p>
        </w:tc>
      </w:tr>
      <w:tr>
        <w:tc>
          <w:tcPr>
            <w:tcW w:type="dxa" w:w="2880"/>
          </w:tcPr>
          <w:p>
            <w:r/>
            <w:r>
              <w:rPr>
                <w:sz w:val="19"/>
              </w:rPr>
              <w:t>Ridge</w:t>
            </w:r>
          </w:p>
        </w:tc>
        <w:tc>
          <w:tcPr>
            <w:tcW w:type="dxa" w:w="2304"/>
          </w:tcPr>
          <w:p>
            <w:r/>
            <w:r>
              <w:rPr>
                <w:sz w:val="19"/>
              </w:rPr>
              <w:t>$56.46</w:t>
            </w:r>
          </w:p>
        </w:tc>
      </w:tr>
      <w:tr>
        <w:tc>
          <w:tcPr>
            <w:tcW w:type="dxa" w:w="2880"/>
          </w:tcPr>
          <w:p>
            <w:r/>
            <w:r>
              <w:rPr>
                <w:sz w:val="19"/>
              </w:rPr>
              <w:t>Tree</w:t>
            </w:r>
          </w:p>
        </w:tc>
        <w:tc>
          <w:tcPr>
            <w:tcW w:type="dxa" w:w="2304"/>
          </w:tcPr>
          <w:p>
            <w:r/>
            <w:r>
              <w:rPr>
                <w:sz w:val="19"/>
              </w:rPr>
              <w:t>$80.92</w:t>
            </w:r>
          </w:p>
        </w:tc>
      </w:tr>
    </w:tbl>
    <w:p/>
    <w:p>
      <w:r>
        <w:rPr>
          <w:b w:val="0"/>
          <w:i w:val="0"/>
        </w:rPr>
        <w:t>The selected configuration is a hybrid with ridge penalty α = 861.7, 40 geographic centres, residual weight 0.928, and a residual model of 450 trees at learning rate 0.0886. Both regularisation parameters settled near the top of their search ranges, which is consistent with a problem that requires extrapolation: a smooth, conservative fit generalises better than a sharp one.</w:t>
      </w:r>
    </w:p>
    <w:p>
      <w:pPr>
        <w:pStyle w:val="Heading2"/>
      </w:pPr>
      <w:r>
        <w:t>6.2 Alternatives considered</w:t>
      </w:r>
    </w:p>
    <w:p>
      <w:r>
        <w:rPr>
          <w:b w:val="0"/>
          <w:i w:val="0"/>
        </w:rPr>
        <w:t>Other model classes were tested on the same holdout to confirm the choice was not merely conventional.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744"/>
          </w:tcPr>
          <w:p>
            <w:r/>
            <w:r>
              <w:rPr>
                <w:b/>
                <w:sz w:val="19"/>
              </w:rPr>
              <w:t>Model</w:t>
            </w:r>
          </w:p>
        </w:tc>
        <w:tc>
          <w:tcPr>
            <w:tcW w:type="dxa" w:w="1152"/>
          </w:tcPr>
          <w:p>
            <w:r/>
            <w:r>
              <w:rPr>
                <w:b/>
                <w:sz w:val="19"/>
              </w:rPr>
              <w:t>MAE</w:t>
            </w:r>
          </w:p>
        </w:tc>
        <w:tc>
          <w:tcPr>
            <w:tcW w:type="dxa" w:w="1152"/>
          </w:tcPr>
          <w:p>
            <w:r/>
            <w:r>
              <w:rPr>
                <w:b/>
                <w:sz w:val="19"/>
              </w:rPr>
              <w:t>MAPE</w:t>
            </w:r>
          </w:p>
        </w:tc>
        <w:tc>
          <w:tcPr>
            <w:tcW w:type="dxa" w:w="1152"/>
          </w:tcPr>
          <w:p>
            <w:r/>
            <w:r>
              <w:rPr>
                <w:b/>
                <w:sz w:val="19"/>
              </w:rPr>
              <w:t>Bias</w:t>
            </w:r>
          </w:p>
        </w:tc>
        <w:tc>
          <w:tcPr>
            <w:tcW w:type="dxa" w:w="1152"/>
          </w:tcPr>
          <w:p>
            <w:r/>
            <w:r>
              <w:rPr>
                <w:b/>
                <w:sz w:val="19"/>
              </w:rPr>
              <w:t>Fit time</w:t>
            </w:r>
          </w:p>
        </w:tc>
      </w:tr>
      <w:tr>
        <w:tc>
          <w:tcPr>
            <w:tcW w:type="dxa" w:w="3744"/>
          </w:tcPr>
          <w:p>
            <w:r/>
            <w:r>
              <w:rPr>
                <w:sz w:val="19"/>
              </w:rPr>
              <w:t>Hybrid (selected)</w:t>
            </w:r>
          </w:p>
        </w:tc>
        <w:tc>
          <w:tcPr>
            <w:tcW w:type="dxa" w:w="1152"/>
          </w:tcPr>
          <w:p>
            <w:r/>
            <w:r>
              <w:rPr>
                <w:sz w:val="19"/>
              </w:rPr>
              <w:t>$51.84</w:t>
            </w:r>
          </w:p>
        </w:tc>
        <w:tc>
          <w:tcPr>
            <w:tcW w:type="dxa" w:w="1152"/>
          </w:tcPr>
          <w:p>
            <w:r/>
            <w:r>
              <w:rPr>
                <w:sz w:val="19"/>
              </w:rPr>
              <w:t>2.153%</w:t>
            </w:r>
          </w:p>
        </w:tc>
        <w:tc>
          <w:tcPr>
            <w:tcW w:type="dxa" w:w="1152"/>
          </w:tcPr>
          <w:p>
            <w:r/>
            <w:r>
              <w:rPr>
                <w:sz w:val="19"/>
              </w:rPr>
              <w:t>0.9814</w:t>
            </w:r>
          </w:p>
        </w:tc>
        <w:tc>
          <w:tcPr>
            <w:tcW w:type="dxa" w:w="1152"/>
          </w:tcPr>
          <w:p>
            <w:r/>
            <w:r>
              <w:rPr>
                <w:sz w:val="19"/>
              </w:rPr>
              <w:t>3 s</w:t>
            </w:r>
          </w:p>
        </w:tc>
      </w:tr>
      <w:tr>
        <w:tc>
          <w:tcPr>
            <w:tcW w:type="dxa" w:w="3744"/>
          </w:tcPr>
          <w:p>
            <w:r/>
            <w:r>
              <w:rPr>
                <w:sz w:val="19"/>
              </w:rPr>
              <w:t>Linear regression (OLS)</w:t>
            </w:r>
          </w:p>
        </w:tc>
        <w:tc>
          <w:tcPr>
            <w:tcW w:type="dxa" w:w="1152"/>
          </w:tcPr>
          <w:p>
            <w:r/>
            <w:r>
              <w:rPr>
                <w:sz w:val="19"/>
              </w:rPr>
              <w:t>$54.02</w:t>
            </w:r>
          </w:p>
        </w:tc>
        <w:tc>
          <w:tcPr>
            <w:tcW w:type="dxa" w:w="1152"/>
          </w:tcPr>
          <w:p>
            <w:r/>
            <w:r>
              <w:rPr>
                <w:sz w:val="19"/>
              </w:rPr>
              <w:t>2.324%</w:t>
            </w:r>
          </w:p>
        </w:tc>
        <w:tc>
          <w:tcPr>
            <w:tcW w:type="dxa" w:w="1152"/>
          </w:tcPr>
          <w:p>
            <w:r/>
            <w:r>
              <w:rPr>
                <w:sz w:val="19"/>
              </w:rPr>
              <w:t>0.9824</w:t>
            </w:r>
          </w:p>
        </w:tc>
        <w:tc>
          <w:tcPr>
            <w:tcW w:type="dxa" w:w="1152"/>
          </w:tcPr>
          <w:p>
            <w:r/>
            <w:r>
              <w:rPr>
                <w:sz w:val="19"/>
              </w:rPr>
              <w:t>&lt;1 s</w:t>
            </w:r>
          </w:p>
        </w:tc>
      </w:tr>
      <w:tr>
        <w:tc>
          <w:tcPr>
            <w:tcW w:type="dxa" w:w="3744"/>
          </w:tcPr>
          <w:p>
            <w:r/>
            <w:r>
              <w:rPr>
                <w:sz w:val="19"/>
              </w:rPr>
              <w:t>Ridge</w:t>
            </w:r>
          </w:p>
        </w:tc>
        <w:tc>
          <w:tcPr>
            <w:tcW w:type="dxa" w:w="1152"/>
          </w:tcPr>
          <w:p>
            <w:r/>
            <w:r>
              <w:rPr>
                <w:sz w:val="19"/>
              </w:rPr>
              <w:t>$54.59</w:t>
            </w:r>
          </w:p>
        </w:tc>
        <w:tc>
          <w:tcPr>
            <w:tcW w:type="dxa" w:w="1152"/>
          </w:tcPr>
          <w:p>
            <w:r/>
            <w:r>
              <w:rPr>
                <w:sz w:val="19"/>
              </w:rPr>
              <w:t>2.342%</w:t>
            </w:r>
          </w:p>
        </w:tc>
        <w:tc>
          <w:tcPr>
            <w:tcW w:type="dxa" w:w="1152"/>
          </w:tcPr>
          <w:p>
            <w:r/>
            <w:r>
              <w:rPr>
                <w:sz w:val="19"/>
              </w:rPr>
              <w:t>0.9826</w:t>
            </w:r>
          </w:p>
        </w:tc>
        <w:tc>
          <w:tcPr>
            <w:tcW w:type="dxa" w:w="1152"/>
          </w:tcPr>
          <w:p>
            <w:r/>
            <w:r>
              <w:rPr>
                <w:sz w:val="19"/>
              </w:rPr>
              <w:t>1 s</w:t>
            </w:r>
          </w:p>
        </w:tc>
      </w:tr>
      <w:tr>
        <w:tc>
          <w:tcPr>
            <w:tcW w:type="dxa" w:w="3744"/>
          </w:tcPr>
          <w:p>
            <w:r/>
            <w:r>
              <w:rPr>
                <w:sz w:val="19"/>
              </w:rPr>
              <w:t>Neural network, MLP (128, 64)</w:t>
            </w:r>
          </w:p>
        </w:tc>
        <w:tc>
          <w:tcPr>
            <w:tcW w:type="dxa" w:w="1152"/>
          </w:tcPr>
          <w:p>
            <w:r/>
            <w:r>
              <w:rPr>
                <w:sz w:val="19"/>
              </w:rPr>
              <w:t>$56.58</w:t>
            </w:r>
          </w:p>
        </w:tc>
        <w:tc>
          <w:tcPr>
            <w:tcW w:type="dxa" w:w="1152"/>
          </w:tcPr>
          <w:p>
            <w:r/>
            <w:r>
              <w:rPr>
                <w:sz w:val="19"/>
              </w:rPr>
              <w:t>2.365%</w:t>
            </w:r>
          </w:p>
        </w:tc>
        <w:tc>
          <w:tcPr>
            <w:tcW w:type="dxa" w:w="1152"/>
          </w:tcPr>
          <w:p>
            <w:r/>
            <w:r>
              <w:rPr>
                <w:sz w:val="19"/>
              </w:rPr>
              <w:t>0.9823</w:t>
            </w:r>
          </w:p>
        </w:tc>
        <w:tc>
          <w:tcPr>
            <w:tcW w:type="dxa" w:w="1152"/>
          </w:tcPr>
          <w:p>
            <w:r/>
            <w:r>
              <w:rPr>
                <w:sz w:val="19"/>
              </w:rPr>
              <w:t>27 s</w:t>
            </w:r>
          </w:p>
        </w:tc>
      </w:tr>
      <w:tr>
        <w:tc>
          <w:tcPr>
            <w:tcW w:type="dxa" w:w="3744"/>
          </w:tcPr>
          <w:p>
            <w:r/>
            <w:r>
              <w:rPr>
                <w:sz w:val="19"/>
              </w:rPr>
              <w:t>Neural network, MLP (256, 128, 64)</w:t>
            </w:r>
          </w:p>
        </w:tc>
        <w:tc>
          <w:tcPr>
            <w:tcW w:type="dxa" w:w="1152"/>
          </w:tcPr>
          <w:p>
            <w:r/>
            <w:r>
              <w:rPr>
                <w:sz w:val="19"/>
              </w:rPr>
              <w:t>$60.33</w:t>
            </w:r>
          </w:p>
        </w:tc>
        <w:tc>
          <w:tcPr>
            <w:tcW w:type="dxa" w:w="1152"/>
          </w:tcPr>
          <w:p>
            <w:r/>
            <w:r>
              <w:rPr>
                <w:sz w:val="19"/>
              </w:rPr>
              <w:t>2.504%</w:t>
            </w:r>
          </w:p>
        </w:tc>
        <w:tc>
          <w:tcPr>
            <w:tcW w:type="dxa" w:w="1152"/>
          </w:tcPr>
          <w:p>
            <w:r/>
            <w:r>
              <w:rPr>
                <w:sz w:val="19"/>
              </w:rPr>
              <w:t>0.9798</w:t>
            </w:r>
          </w:p>
        </w:tc>
        <w:tc>
          <w:tcPr>
            <w:tcW w:type="dxa" w:w="1152"/>
          </w:tcPr>
          <w:p>
            <w:r/>
            <w:r>
              <w:rPr>
                <w:sz w:val="19"/>
              </w:rPr>
              <w:t>110 s</w:t>
            </w:r>
          </w:p>
        </w:tc>
      </w:tr>
      <w:tr>
        <w:tc>
          <w:tcPr>
            <w:tcW w:type="dxa" w:w="3744"/>
          </w:tcPr>
          <w:p>
            <w:r/>
            <w:r>
              <w:rPr>
                <w:sz w:val="19"/>
              </w:rPr>
              <w:t>Extra Trees (300)</w:t>
            </w:r>
          </w:p>
        </w:tc>
        <w:tc>
          <w:tcPr>
            <w:tcW w:type="dxa" w:w="1152"/>
          </w:tcPr>
          <w:p>
            <w:r/>
            <w:r>
              <w:rPr>
                <w:sz w:val="19"/>
              </w:rPr>
              <w:t>$102.72</w:t>
            </w:r>
          </w:p>
        </w:tc>
        <w:tc>
          <w:tcPr>
            <w:tcW w:type="dxa" w:w="1152"/>
          </w:tcPr>
          <w:p>
            <w:r/>
            <w:r>
              <w:rPr>
                <w:sz w:val="19"/>
              </w:rPr>
              <w:t>4.201%</w:t>
            </w:r>
          </w:p>
        </w:tc>
        <w:tc>
          <w:tcPr>
            <w:tcW w:type="dxa" w:w="1152"/>
          </w:tcPr>
          <w:p>
            <w:r/>
            <w:r>
              <w:rPr>
                <w:sz w:val="19"/>
              </w:rPr>
              <w:t>0.9571</w:t>
            </w:r>
          </w:p>
        </w:tc>
        <w:tc>
          <w:tcPr>
            <w:tcW w:type="dxa" w:w="1152"/>
          </w:tcPr>
          <w:p>
            <w:r/>
            <w:r>
              <w:rPr>
                <w:sz w:val="19"/>
              </w:rPr>
              <w:t>3 s</w:t>
            </w:r>
          </w:p>
        </w:tc>
      </w:tr>
      <w:tr>
        <w:tc>
          <w:tcPr>
            <w:tcW w:type="dxa" w:w="3744"/>
          </w:tcPr>
          <w:p>
            <w:r/>
            <w:r>
              <w:rPr>
                <w:sz w:val="19"/>
              </w:rPr>
              <w:t>Random Forest (300)</w:t>
            </w:r>
          </w:p>
        </w:tc>
        <w:tc>
          <w:tcPr>
            <w:tcW w:type="dxa" w:w="1152"/>
          </w:tcPr>
          <w:p>
            <w:r/>
            <w:r>
              <w:rPr>
                <w:sz w:val="19"/>
              </w:rPr>
              <w:t>$102.87</w:t>
            </w:r>
          </w:p>
        </w:tc>
        <w:tc>
          <w:tcPr>
            <w:tcW w:type="dxa" w:w="1152"/>
          </w:tcPr>
          <w:p>
            <w:r/>
            <w:r>
              <w:rPr>
                <w:sz w:val="19"/>
              </w:rPr>
              <w:t>4.241%</w:t>
            </w:r>
          </w:p>
        </w:tc>
        <w:tc>
          <w:tcPr>
            <w:tcW w:type="dxa" w:w="1152"/>
          </w:tcPr>
          <w:p>
            <w:r/>
            <w:r>
              <w:rPr>
                <w:sz w:val="19"/>
              </w:rPr>
              <w:t>0.9571</w:t>
            </w:r>
          </w:p>
        </w:tc>
        <w:tc>
          <w:tcPr>
            <w:tcW w:type="dxa" w:w="1152"/>
          </w:tcPr>
          <w:p>
            <w:r/>
            <w:r>
              <w:rPr>
                <w:sz w:val="19"/>
              </w:rPr>
              <w:t>7 s</w:t>
            </w:r>
          </w:p>
        </w:tc>
      </w:tr>
      <w:tr>
        <w:tc>
          <w:tcPr>
            <w:tcW w:type="dxa" w:w="3744"/>
          </w:tcPr>
          <w:p>
            <w:r/>
            <w:r>
              <w:rPr>
                <w:sz w:val="19"/>
              </w:rPr>
              <w:t>Gradient boosting (HistGB)</w:t>
            </w:r>
          </w:p>
        </w:tc>
        <w:tc>
          <w:tcPr>
            <w:tcW w:type="dxa" w:w="1152"/>
          </w:tcPr>
          <w:p>
            <w:r/>
            <w:r>
              <w:rPr>
                <w:sz w:val="19"/>
              </w:rPr>
              <w:t>$116.90</w:t>
            </w:r>
          </w:p>
        </w:tc>
        <w:tc>
          <w:tcPr>
            <w:tcW w:type="dxa" w:w="1152"/>
          </w:tcPr>
          <w:p>
            <w:r/>
            <w:r>
              <w:rPr>
                <w:sz w:val="19"/>
              </w:rPr>
              <w:t>4.880%</w:t>
            </w:r>
          </w:p>
        </w:tc>
        <w:tc>
          <w:tcPr>
            <w:tcW w:type="dxa" w:w="1152"/>
          </w:tcPr>
          <w:p>
            <w:r/>
            <w:r>
              <w:rPr>
                <w:sz w:val="19"/>
              </w:rPr>
              <w:t>0.9506</w:t>
            </w:r>
          </w:p>
        </w:tc>
        <w:tc>
          <w:tcPr>
            <w:tcW w:type="dxa" w:w="1152"/>
          </w:tcPr>
          <w:p>
            <w:r/>
            <w:r>
              <w:rPr>
                <w:sz w:val="19"/>
              </w:rPr>
              <w:t>2 s</w:t>
            </w:r>
          </w:p>
        </w:tc>
      </w:tr>
      <w:tr>
        <w:tc>
          <w:tcPr>
            <w:tcW w:type="dxa" w:w="3744"/>
          </w:tcPr>
          <w:p>
            <w:r/>
            <w:r>
              <w:rPr>
                <w:sz w:val="19"/>
              </w:rPr>
              <w:t>k-nearest neighbours (k=25)</w:t>
            </w:r>
          </w:p>
        </w:tc>
        <w:tc>
          <w:tcPr>
            <w:tcW w:type="dxa" w:w="1152"/>
          </w:tcPr>
          <w:p>
            <w:r/>
            <w:r>
              <w:rPr>
                <w:sz w:val="19"/>
              </w:rPr>
              <w:t>$121.30</w:t>
            </w:r>
          </w:p>
        </w:tc>
        <w:tc>
          <w:tcPr>
            <w:tcW w:type="dxa" w:w="1152"/>
          </w:tcPr>
          <w:p>
            <w:r/>
            <w:r>
              <w:rPr>
                <w:sz w:val="19"/>
              </w:rPr>
              <w:t>5.448%</w:t>
            </w:r>
          </w:p>
        </w:tc>
        <w:tc>
          <w:tcPr>
            <w:tcW w:type="dxa" w:w="1152"/>
          </w:tcPr>
          <w:p>
            <w:r/>
            <w:r>
              <w:rPr>
                <w:sz w:val="19"/>
              </w:rPr>
              <w:t>0.9823</w:t>
            </w:r>
          </w:p>
        </w:tc>
        <w:tc>
          <w:tcPr>
            <w:tcW w:type="dxa" w:w="1152"/>
          </w:tcPr>
          <w:p>
            <w:r/>
            <w:r>
              <w:rPr>
                <w:sz w:val="19"/>
              </w:rPr>
              <w:t>1 s</w:t>
            </w:r>
          </w:p>
        </w:tc>
      </w:tr>
    </w:tbl>
    <w:p/>
    <w:p>
      <w:r>
        <w:rPr>
          <w:b w:val="0"/>
          <w:i w:val="0"/>
        </w:rPr>
        <w:t>The results separate cleanly along one axis, and it is not model complexity. Every method able to extrapolate a trend — the linear family, the hybrid, and the neural networks — falls between 2.15% and 2.51% MAPE. Every method able only to interpolate — all tree ensembles and k-nearest neighbours — falls between 4.20% and 5.45%, each with a systematic 4 to 5% underprediction. Adding capacity does not address this; it is a structural property of the model class.</w:t>
      </w:r>
    </w:p>
    <w:p>
      <w:r>
        <w:rPr>
          <w:b w:val="0"/>
          <w:i w:val="0"/>
        </w:rPr>
        <w:t>Sequence models such as LSTMs and transformers were considered and rejected on the structure of the data rather than on principle. There is no sequence to model: across 4,013 distinct lanes the median lane is observed once per month, and lane-equipment combinations have a median of three observations in total. The only genuine time series is the market level, at 304 daily points, and market_index is supplied for the prediction period, so no market forecast is required.</w:t>
      </w:r>
    </w:p>
    <w:p>
      <w:pPr>
        <w:pStyle w:val="Heading1"/>
      </w:pPr>
      <w:r>
        <w:t>7. Results</w:t>
      </w:r>
    </w:p>
    <w:p>
      <w:r>
        <w:rPr>
          <w:b w:val="0"/>
          <w:i w:val="0"/>
        </w:rPr>
        <w:t>The two best configurations were compared on the primary holdout: the single best trial, and an equal-weight blend of the three best, averaged in log space.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168"/>
          </w:tcPr>
          <w:p>
            <w:r/>
            <w:r>
              <w:rPr>
                <w:b/>
                <w:sz w:val="19"/>
              </w:rPr>
              <w:t>Candidate</w:t>
            </w:r>
          </w:p>
        </w:tc>
        <w:tc>
          <w:tcPr>
            <w:tcW w:type="dxa" w:w="1440"/>
          </w:tcPr>
          <w:p>
            <w:r/>
            <w:r>
              <w:rPr>
                <w:b/>
                <w:sz w:val="19"/>
              </w:rPr>
              <w:t>MAE</w:t>
            </w:r>
          </w:p>
        </w:tc>
        <w:tc>
          <w:tcPr>
            <w:tcW w:type="dxa" w:w="1440"/>
          </w:tcPr>
          <w:p>
            <w:r/>
            <w:r>
              <w:rPr>
                <w:b/>
                <w:sz w:val="19"/>
              </w:rPr>
              <w:t>RMSE</w:t>
            </w:r>
          </w:p>
        </w:tc>
        <w:tc>
          <w:tcPr>
            <w:tcW w:type="dxa" w:w="1296"/>
          </w:tcPr>
          <w:p>
            <w:r/>
            <w:r>
              <w:rPr>
                <w:b/>
                <w:sz w:val="19"/>
              </w:rPr>
              <w:t>MAPE</w:t>
            </w:r>
          </w:p>
        </w:tc>
        <w:tc>
          <w:tcPr>
            <w:tcW w:type="dxa" w:w="1296"/>
          </w:tcPr>
          <w:p>
            <w:r/>
            <w:r>
              <w:rPr>
                <w:b/>
                <w:sz w:val="19"/>
              </w:rPr>
              <w:t>Bias</w:t>
            </w:r>
          </w:p>
        </w:tc>
      </w:tr>
      <w:tr>
        <w:tc>
          <w:tcPr>
            <w:tcW w:type="dxa" w:w="3168"/>
          </w:tcPr>
          <w:p>
            <w:r/>
            <w:r>
              <w:rPr>
                <w:sz w:val="19"/>
              </w:rPr>
              <w:t>Single best configuration</w:t>
            </w:r>
          </w:p>
        </w:tc>
        <w:tc>
          <w:tcPr>
            <w:tcW w:type="dxa" w:w="1440"/>
          </w:tcPr>
          <w:p>
            <w:r/>
            <w:r>
              <w:rPr>
                <w:sz w:val="19"/>
              </w:rPr>
              <w:t>$51.36</w:t>
            </w:r>
          </w:p>
        </w:tc>
        <w:tc>
          <w:tcPr>
            <w:tcW w:type="dxa" w:w="1440"/>
          </w:tcPr>
          <w:p>
            <w:r/>
            <w:r>
              <w:rPr>
                <w:sz w:val="19"/>
              </w:rPr>
              <w:t>$77.54</w:t>
            </w:r>
          </w:p>
        </w:tc>
        <w:tc>
          <w:tcPr>
            <w:tcW w:type="dxa" w:w="1296"/>
          </w:tcPr>
          <w:p>
            <w:r/>
            <w:r>
              <w:rPr>
                <w:sz w:val="19"/>
              </w:rPr>
              <w:t>2.126%</w:t>
            </w:r>
          </w:p>
        </w:tc>
        <w:tc>
          <w:tcPr>
            <w:tcW w:type="dxa" w:w="1296"/>
          </w:tcPr>
          <w:p>
            <w:r/>
            <w:r>
              <w:rPr>
                <w:sz w:val="19"/>
              </w:rPr>
              <w:t>0.98160</w:t>
            </w:r>
          </w:p>
        </w:tc>
      </w:tr>
      <w:tr>
        <w:tc>
          <w:tcPr>
            <w:tcW w:type="dxa" w:w="3168"/>
          </w:tcPr>
          <w:p>
            <w:r/>
            <w:r>
              <w:rPr>
                <w:sz w:val="19"/>
              </w:rPr>
              <w:t>Blend of top three</w:t>
            </w:r>
          </w:p>
        </w:tc>
        <w:tc>
          <w:tcPr>
            <w:tcW w:type="dxa" w:w="1440"/>
          </w:tcPr>
          <w:p>
            <w:r/>
            <w:r>
              <w:rPr>
                <w:b/>
                <w:sz w:val="19"/>
              </w:rPr>
              <w:t>$51.12</w:t>
            </w:r>
          </w:p>
        </w:tc>
        <w:tc>
          <w:tcPr>
            <w:tcW w:type="dxa" w:w="1440"/>
          </w:tcPr>
          <w:p>
            <w:r/>
            <w:r>
              <w:rPr>
                <w:sz w:val="19"/>
              </w:rPr>
              <w:t>$77.07</w:t>
            </w:r>
          </w:p>
        </w:tc>
        <w:tc>
          <w:tcPr>
            <w:tcW w:type="dxa" w:w="1296"/>
          </w:tcPr>
          <w:p>
            <w:r/>
            <w:r>
              <w:rPr>
                <w:sz w:val="19"/>
              </w:rPr>
              <w:t>2.129%</w:t>
            </w:r>
          </w:p>
        </w:tc>
        <w:tc>
          <w:tcPr>
            <w:tcW w:type="dxa" w:w="1296"/>
          </w:tcPr>
          <w:p>
            <w:r/>
            <w:r>
              <w:rPr>
                <w:sz w:val="19"/>
              </w:rPr>
              <w:t>0.98192</w:t>
            </w:r>
          </w:p>
        </w:tc>
      </w:tr>
    </w:tbl>
    <w:p/>
    <w:p>
      <w:r>
        <w:rPr>
          <w:b w:val="0"/>
          <w:i w:val="0"/>
        </w:rPr>
        <w:t>The difference is within noise: MAE improves by 0.5% while MAPE is marginally worse. The blend was shipped not because it measurably improves accuracy but as a hedge — with the submission two months beyond the training period, the ranking of near-tied configurations is not stable enough to justify committing to a single one. All three blended members are hybrids.</w:t>
      </w:r>
    </w:p>
    <w:p>
      <w:r>
        <w:rPr>
          <w:b w:val="0"/>
          <w:i w:val="0"/>
        </w:rPr>
        <w:t>Final reported accuracy on the September–October fold is $51.12 MAE and 2.13% MAPE, against $203.69 and 9.27% for the median baseline — an improvement of 4.4× .</w:t>
      </w:r>
    </w:p>
    <w:p>
      <w:r>
        <w:br w:type="page"/>
      </w:r>
    </w:p>
    <w:p>
      <w:pPr>
        <w:pStyle w:val="Heading1"/>
      </w:pPr>
      <w:r>
        <w:t>8. December scenario</w:t>
      </w:r>
    </w:p>
    <w:p>
      <w:r>
        <w:rPr>
          <w:b w:val="0"/>
          <w:i w:val="0"/>
        </w:rPr>
        <w:t>The scenario holds every input constant — Lexington to Fort Wayne, 360 miles, Dry Van, 32,000 lb — and varies only the date, isolating the model's treatment of time. The input file omits coordinates and market_index, both of which were recovered rather than assumed: coordinates from the city-to-position mapping that is consistent throughout the dataset, and market_index from the mean of the roughly 199 real validation loads on each December date.</w:t>
      </w:r>
    </w:p>
    <w:p>
      <w:pPr>
        <w:jc w:val="center"/>
      </w:pPr>
      <w:r>
        <w:drawing>
          <wp:inline xmlns:a="http://schemas.openxmlformats.org/drawingml/2006/main" xmlns:pic="http://schemas.openxmlformats.org/drawingml/2006/picture">
            <wp:extent cx="6035040" cy="1965627"/>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6035040" cy="1965627"/>
                    </a:xfrm>
                    <a:prstGeom prst="rect"/>
                  </pic:spPr>
                </pic:pic>
              </a:graphicData>
            </a:graphic>
          </wp:inline>
        </w:drawing>
      </w:r>
    </w:p>
    <w:p>
      <w:pPr>
        <w:jc w:val="center"/>
      </w:pPr>
      <w:r>
        <w:rPr>
          <w:i/>
          <w:color w:val="455A60"/>
          <w:sz w:val="18"/>
        </w:rPr>
        <w:t>Figure 1: candidate_december.png, produced by the provided score.py.</w:t>
      </w:r>
    </w:p>
    <w:p>
      <w:r>
        <w:rPr>
          <w:b w:val="0"/>
          <w:i w:val="0"/>
        </w:rPr>
        <w:t>The curve shows a weekly cycle peaking midweek and falling at weekends, superimposed on a gradual rise across the month, with a total spread of approximately 2.6%. Both components are expected: the weekly pattern reflects the day-of-week terms and the daily market index, and the upward drift reflects the trend term extrapolating beyond the training period. The absence of any discontinuity or runaway growth indicates the extrapolation is behaving sensibly at a two-month horizon.</w:t>
      </w:r>
    </w:p>
    <w:p>
      <w:pPr>
        <w:pStyle w:val="Heading1"/>
      </w:pPr>
      <w:r>
        <w:t>9. Limitations</w:t>
      </w:r>
    </w:p>
    <w:p>
      <w:r>
        <w:rPr>
          <w:b w:val="0"/>
          <w:i w:val="0"/>
        </w:rPr>
        <w:t>Three caveats are stated explicitly rather than left to be discovered.</w:t>
      </w:r>
    </w:p>
    <w:p>
      <w:r>
        <w:rPr>
          <w:b/>
          <w:i w:val="0"/>
        </w:rPr>
        <w:t>Bias is not stable across folds.</w:t>
      </w:r>
    </w:p>
    <w:p>
      <w:r>
        <w:rPr>
          <w:b w:val="0"/>
          <w:i w:val="0"/>
        </w:rPr>
        <w:t>Fold-level bias ranges from 0.9819 to 1.0332, changing sign between folds. The cause is identifiable: the trend term fits a straight line to a series that peaks in June, so a model trained through June overshoots July, while one trained through August undershoots September and October. Because the sign is not consistent, a fixed calibration factor cannot correct it — this was tested and degraded results. Realistic expectation for the submission is approximately 2.1% MAPE with a level uncertainty of about ±2%.</w:t>
      </w:r>
    </w:p>
    <w:p>
      <w:r>
        <w:rPr>
          <w:b/>
          <w:i w:val="0"/>
        </w:rPr>
        <w:t>The trend term is both essential and fragile.</w:t>
      </w:r>
    </w:p>
    <w:p>
      <w:r>
        <w:rPr>
          <w:b w:val="0"/>
          <w:i w:val="0"/>
        </w:rPr>
        <w:t>Removing days_since_start doubles the error, yet it is the single term responsible for the bias instability above. No alternative formulation tested — Fourier seasonal terms, or omitting time altogether — performed better on the forward folds.</w:t>
      </w:r>
    </w:p>
    <w:p>
      <w:r>
        <w:rPr>
          <w:b/>
          <w:i w:val="0"/>
        </w:rPr>
        <w:t>No fully untouched holdout remains.</w:t>
      </w:r>
    </w:p>
    <w:p>
      <w:r>
        <w:rPr>
          <w:b w:val="0"/>
          <w:i w:val="0"/>
        </w:rPr>
        <w:t>The September–October window serves both as the most heavily weighted fold in the search objective and as the set used to choose between the blend and the single configuration. Given that those two candidates differ by 0.5%, the practical effect is negligible, but the reported figure should be read as a tuned estimate rather than a clean out-of-sample one.</w:t>
      </w:r>
    </w:p>
    <w:p>
      <w:pPr>
        <w:pStyle w:val="Heading1"/>
      </w:pPr>
      <w:r>
        <w:t>10. Reproducing these results</w:t>
      </w:r>
    </w:p>
    <w:p>
      <w:r>
        <w:rPr>
          <w:b w:val="0"/>
          <w:i/>
        </w:rPr>
        <w:t>python -m pip install -r requirements.txt</w:t>
      </w:r>
    </w:p>
    <w:p>
      <w:r>
        <w:rPr>
          <w:b w:val="0"/>
          <w:i/>
        </w:rPr>
        <w:t>python -m src.train --trials 60 --blend-top 3</w:t>
      </w:r>
    </w:p>
    <w:p>
      <w:r>
        <w:rPr>
          <w:b w:val="0"/>
          <w:i/>
        </w:rPr>
        <w:t>python -m src.predict</w:t>
      </w:r>
    </w:p>
    <w:p>
      <w:r>
        <w:rPr>
          <w:b w:val="0"/>
          <w:i/>
        </w:rPr>
        <w:t>python score.py --predictions validation_predictions.csv --december-predictions data/december_chart_inputs.csv</w:t>
      </w:r>
    </w:p>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19"/>
              </w:rPr>
              <w:t>Module</w:t>
            </w:r>
          </w:p>
        </w:tc>
        <w:tc>
          <w:tcPr>
            <w:tcW w:type="dxa" w:w="7200"/>
          </w:tcPr>
          <w:p>
            <w:r/>
            <w:r>
              <w:rPr>
                <w:b/>
                <w:sz w:val="19"/>
              </w:rPr>
              <w:t>Responsibility</w:t>
            </w:r>
          </w:p>
        </w:tc>
      </w:tr>
      <w:tr>
        <w:tc>
          <w:tcPr>
            <w:tcW w:type="dxa" w:w="2160"/>
          </w:tcPr>
          <w:p>
            <w:r/>
            <w:r>
              <w:rPr>
                <w:sz w:val="19"/>
              </w:rPr>
              <w:t>src/config.py</w:t>
            </w:r>
          </w:p>
        </w:tc>
        <w:tc>
          <w:tcPr>
            <w:tcW w:type="dxa" w:w="7200"/>
          </w:tcPr>
          <w:p>
            <w:r/>
            <w:r>
              <w:rPr>
                <w:sz w:val="19"/>
              </w:rPr>
              <w:t>Paths, seed, fold definitions, and the documented rationale for each constant</w:t>
            </w:r>
          </w:p>
        </w:tc>
      </w:tr>
      <w:tr>
        <w:tc>
          <w:tcPr>
            <w:tcW w:type="dxa" w:w="2160"/>
          </w:tcPr>
          <w:p>
            <w:r/>
            <w:r>
              <w:rPr>
                <w:sz w:val="19"/>
              </w:rPr>
              <w:t>src/data.py</w:t>
            </w:r>
          </w:p>
        </w:tc>
        <w:tc>
          <w:tcPr>
            <w:tcW w:type="dxa" w:w="7200"/>
          </w:tcPr>
          <w:p>
            <w:r/>
            <w:r>
              <w:rPr>
                <w:sz w:val="19"/>
              </w:rPr>
              <w:t>Loading, the four data-quality corrections, corrupted-label detection</w:t>
            </w:r>
          </w:p>
        </w:tc>
      </w:tr>
      <w:tr>
        <w:tc>
          <w:tcPr>
            <w:tcW w:type="dxa" w:w="2160"/>
          </w:tcPr>
          <w:p>
            <w:r/>
            <w:r>
              <w:rPr>
                <w:sz w:val="19"/>
              </w:rPr>
              <w:t>src/features.py</w:t>
            </w:r>
          </w:p>
        </w:tc>
        <w:tc>
          <w:tcPr>
            <w:tcW w:type="dxa" w:w="7200"/>
          </w:tcPr>
          <w:p>
            <w:r/>
            <w:r>
              <w:rPr>
                <w:sz w:val="19"/>
              </w:rPr>
              <w:t>Feature construction; the two separate matrices for the linear and tree components</w:t>
            </w:r>
          </w:p>
        </w:tc>
      </w:tr>
      <w:tr>
        <w:tc>
          <w:tcPr>
            <w:tcW w:type="dxa" w:w="2160"/>
          </w:tcPr>
          <w:p>
            <w:r/>
            <w:r>
              <w:rPr>
                <w:sz w:val="19"/>
              </w:rPr>
              <w:t>src/model.py</w:t>
            </w:r>
          </w:p>
        </w:tc>
        <w:tc>
          <w:tcPr>
            <w:tcW w:type="dxa" w:w="7200"/>
          </w:tcPr>
          <w:p>
            <w:r/>
            <w:r>
              <w:rPr>
                <w:sz w:val="19"/>
              </w:rPr>
              <w:t>Model families behind a common interface</w:t>
            </w:r>
          </w:p>
        </w:tc>
      </w:tr>
      <w:tr>
        <w:tc>
          <w:tcPr>
            <w:tcW w:type="dxa" w:w="2160"/>
          </w:tcPr>
          <w:p>
            <w:r/>
            <w:r>
              <w:rPr>
                <w:sz w:val="19"/>
              </w:rPr>
              <w:t>src/evaluate.py</w:t>
            </w:r>
          </w:p>
        </w:tc>
        <w:tc>
          <w:tcPr>
            <w:tcW w:type="dxa" w:w="7200"/>
          </w:tcPr>
          <w:p>
            <w:r/>
            <w:r>
              <w:rPr>
                <w:sz w:val="19"/>
              </w:rPr>
              <w:t>Metrics, forward folds, and the random-split contrast</w:t>
            </w:r>
          </w:p>
        </w:tc>
      </w:tr>
      <w:tr>
        <w:tc>
          <w:tcPr>
            <w:tcW w:type="dxa" w:w="2160"/>
          </w:tcPr>
          <w:p>
            <w:r/>
            <w:r>
              <w:rPr>
                <w:sz w:val="19"/>
              </w:rPr>
              <w:t>src/train.py</w:t>
            </w:r>
          </w:p>
        </w:tc>
        <w:tc>
          <w:tcPr>
            <w:tcW w:type="dxa" w:w="7200"/>
          </w:tcPr>
          <w:p>
            <w:r/>
            <w:r>
              <w:rPr>
                <w:sz w:val="19"/>
              </w:rPr>
              <w:t>Search, selection, final fit</w:t>
            </w:r>
          </w:p>
        </w:tc>
      </w:tr>
      <w:tr>
        <w:tc>
          <w:tcPr>
            <w:tcW w:type="dxa" w:w="2160"/>
          </w:tcPr>
          <w:p>
            <w:r/>
            <w:r>
              <w:rPr>
                <w:sz w:val="19"/>
              </w:rPr>
              <w:t>src/predict.py</w:t>
            </w:r>
          </w:p>
        </w:tc>
        <w:tc>
          <w:tcPr>
            <w:tcW w:type="dxa" w:w="7200"/>
          </w:tcPr>
          <w:p>
            <w:r/>
            <w:r>
              <w:rPr>
                <w:sz w:val="19"/>
              </w:rPr>
              <w:t>Generation of both submission files</w:t>
            </w:r>
          </w:p>
        </w:tc>
      </w:tr>
    </w:tbl>
    <w:p/>
    <w:p>
      <w:r>
        <w:rPr>
          <w:b w:val="0"/>
          <w:i/>
          <w:sz w:val="18"/>
        </w:rPr>
        <w:t>All randomness is seeded (seed 42). Every figure in this report is read directly from outputs/cv_metrics.json, written by the training run, except those in sections 3.2, 5.1 and 6.2, which come from standalone experiments recorded in report/build_report.py.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64A56"/>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64A5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64A5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