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Foresight Payment Reliability Final Plan</w:t>
      </w:r>
    </w:p>
    <w:p>
      <w:pPr>
        <w:pStyle w:val="Heading1"/>
      </w:pPr>
      <w:r>
        <w:rPr>
          <w:b w:val="0"/>
        </w:rPr>
        <w:t>Executive decision</w:t>
      </w:r>
    </w:p>
    <w:p>
      <w:r>
        <w:rPr>
          <w:b w:val="0"/>
        </w:rPr>
        <w:t xml:space="preserve">Build </w:t>
      </w:r>
      <w:r>
        <w:rPr>
          <w:b/>
        </w:rPr>
        <w:t>Foresight</w:t>
      </w:r>
      <w:r>
        <w:rPr>
          <w:b w:val="0"/>
        </w:rPr>
        <w:t>, an incident prevention assistant for the fictional NovaPay payment platform. Its first use case is a degrading payment provider whose slower responses amplify retries and grow the processing queue. The system gathers evidence, challenges the apparent cause, opens a preventive ticket, executes a bounded action inside a sandbox, and verifies the outcome.</w:t>
      </w:r>
    </w:p>
    <w:p>
      <w:r>
        <w:rPr>
          <w:b w:val="0"/>
        </w:rPr>
        <w:t>The final design combines PayGuard's measured data foundation and durable action workflow, Sentinel's segment awareness and evaluation discipline, and Foresight's goal-driven planning, watch decisions and visible self-correction. The earlier merged branch plan contributes a useful conflict review, but its remaining data, safety and feasibility errors are corrected here. Source identities and the exact branch revision appear in Section 19.</w:t>
      </w:r>
    </w:p>
    <w:p>
      <w:r>
        <w:rPr>
          <w:b w:val="0"/>
        </w:rPr>
      </w:r>
      <w:r>
        <w:rPr>
          <w:b/>
        </w:rPr>
        <w:t>Product promise:</w:t>
      </w:r>
      <w:r>
        <w:rPr>
          <w:b w:val="0"/>
        </w:rPr>
        <w:t xml:space="preserve"> Catch payment degradation, explain what the evidence supports, and verify the response. The primary user is the payment platform's on-call engineer. The buyer hypothesis is the reliability or engineering lead. A general queue-saturation investigator is the fallback if payment-domain work becomes a distraction.</w:t>
      </w:r>
    </w:p>
    <w:p>
      <w:pPr>
        <w:pStyle w:val="Heading2"/>
      </w:pPr>
      <w:r>
        <w:rPr>
          <w:b w:val="0"/>
        </w:rPr>
        <w:t>Final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7"/>
        <w:gridCol w:w="7416"/>
      </w:tblGrid>
      <w:tr>
        <w:trPr>
          <w:cantSplit/>
          <w:tblHeader/>
        </w:trPr>
        <w:tc>
          <w:tcPr>
            <w:tcW w:type="dxa" w:w="2477"/>
            <w:vAlign w:val="center"/>
            <w:tcMar>
              <w:top w:w="80" w:type="dxa"/>
              <w:bottom w:w="80" w:type="dxa"/>
              <w:left w:w="95" w:type="dxa"/>
              <w:right w:w="95" w:type="dxa"/>
            </w:tcMar>
            <w:shd w:fill="243F52"/>
          </w:tcPr>
          <w:p>
            <w:pPr>
              <w:spacing w:after="0" w:line="250" w:lineRule="auto"/>
            </w:pPr>
            <w:r>
              <w:rPr>
                <w:b/>
                <w:color w:val="FFFFFF"/>
                <w:sz w:val="18"/>
              </w:rPr>
              <w:t>Decision</w:t>
            </w:r>
          </w:p>
        </w:tc>
        <w:tc>
          <w:tcPr>
            <w:tcW w:type="dxa" w:w="7416"/>
            <w:vAlign w:val="center"/>
            <w:tcMar>
              <w:top w:w="80" w:type="dxa"/>
              <w:bottom w:w="80" w:type="dxa"/>
              <w:left w:w="95" w:type="dxa"/>
              <w:right w:w="95" w:type="dxa"/>
            </w:tcMar>
            <w:shd w:fill="243F52"/>
          </w:tcPr>
          <w:p>
            <w:pPr>
              <w:spacing w:after="0" w:line="250" w:lineRule="auto"/>
            </w:pPr>
            <w:r>
              <w:rPr>
                <w:b/>
                <w:color w:val="FFFFFF"/>
                <w:sz w:val="18"/>
              </w:rPr>
              <w:t>Final choice</w:t>
            </w:r>
          </w:p>
        </w:tc>
      </w:tr>
      <w:tr>
        <w:trPr>
          <w:cantSplit/>
        </w:trPr>
        <w:tc>
          <w:tcPr>
            <w:tcW w:type="dxa" w:w="2477"/>
            <w:vAlign w:val="center"/>
            <w:tcMar>
              <w:top w:w="80" w:type="dxa"/>
              <w:bottom w:w="80" w:type="dxa"/>
              <w:left w:w="95" w:type="dxa"/>
              <w:right w:w="95" w:type="dxa"/>
            </w:tcMar>
            <w:shd w:fill="FFFFFF"/>
          </w:tcPr>
          <w:p>
            <w:pPr>
              <w:spacing w:after="0" w:line="250" w:lineRule="auto"/>
            </w:pPr>
            <w:r>
              <w:rPr>
                <w:b w:val="0"/>
                <w:color w:val="000000"/>
                <w:sz w:val="18"/>
              </w:rPr>
              <w:t>Product scope</w:t>
            </w:r>
          </w:p>
        </w:tc>
        <w:tc>
          <w:tcPr>
            <w:tcW w:type="dxa" w:w="7416"/>
            <w:vAlign w:val="center"/>
            <w:tcMar>
              <w:top w:w="80" w:type="dxa"/>
              <w:bottom w:w="80" w:type="dxa"/>
              <w:left w:w="95" w:type="dxa"/>
              <w:right w:w="95" w:type="dxa"/>
            </w:tcMar>
            <w:shd w:fill="FFFFFF"/>
          </w:tcPr>
          <w:p>
            <w:pPr>
              <w:spacing w:after="0" w:line="250" w:lineRule="auto"/>
            </w:pPr>
            <w:r>
              <w:rPr>
                <w:b w:val="0"/>
                <w:color w:val="000000"/>
                <w:sz w:val="18"/>
              </w:rPr>
              <w:t>Payment-provider degradation and retry amplification; one primary incident family</w:t>
            </w:r>
          </w:p>
        </w:tc>
      </w:tr>
      <w:tr>
        <w:trPr>
          <w:cantSplit/>
        </w:trPr>
        <w:tc>
          <w:tcPr>
            <w:tcW w:type="dxa" w:w="2477"/>
            <w:vAlign w:val="center"/>
            <w:tcMar>
              <w:top w:w="80" w:type="dxa"/>
              <w:bottom w:w="80" w:type="dxa"/>
              <w:left w:w="95" w:type="dxa"/>
              <w:right w:w="95" w:type="dxa"/>
            </w:tcMar>
            <w:shd w:fill="F2F5F7"/>
          </w:tcPr>
          <w:p>
            <w:pPr>
              <w:spacing w:after="0" w:line="250" w:lineRule="auto"/>
            </w:pPr>
            <w:r>
              <w:rPr>
                <w:b w:val="0"/>
                <w:color w:val="000000"/>
                <w:sz w:val="18"/>
              </w:rPr>
              <w:t>Sample dataset</w:t>
            </w:r>
          </w:p>
        </w:tc>
        <w:tc>
          <w:tcPr>
            <w:tcW w:type="dxa" w:w="7416"/>
            <w:vAlign w:val="center"/>
            <w:tcMar>
              <w:top w:w="80" w:type="dxa"/>
              <w:bottom w:w="80" w:type="dxa"/>
              <w:left w:w="95" w:type="dxa"/>
              <w:right w:w="95" w:type="dxa"/>
            </w:tcMar>
            <w:shd w:fill="F2F5F7"/>
          </w:tcPr>
          <w:p>
            <w:pPr>
              <w:spacing w:after="0" w:line="250" w:lineRule="auto"/>
            </w:pPr>
            <w:r>
              <w:rPr>
                <w:b w:val="0"/>
                <w:color w:val="000000"/>
                <w:sz w:val="18"/>
              </w:rPr>
              <w:t>Original records replayed unchanged in a separate organizer-data lane</w:t>
            </w:r>
          </w:p>
        </w:tc>
      </w:tr>
      <w:tr>
        <w:trPr>
          <w:cantSplit/>
        </w:trPr>
        <w:tc>
          <w:tcPr>
            <w:tcW w:type="dxa" w:w="2477"/>
            <w:vAlign w:val="center"/>
            <w:tcMar>
              <w:top w:w="80" w:type="dxa"/>
              <w:bottom w:w="80" w:type="dxa"/>
              <w:left w:w="95" w:type="dxa"/>
              <w:right w:w="95" w:type="dxa"/>
            </w:tcMar>
            <w:shd w:fill="FFFFFF"/>
          </w:tcPr>
          <w:p>
            <w:pPr>
              <w:spacing w:after="0" w:line="250" w:lineRule="auto"/>
            </w:pPr>
            <w:r>
              <w:rPr>
                <w:b w:val="0"/>
                <w:color w:val="000000"/>
                <w:sz w:val="18"/>
              </w:rPr>
              <w:t>Temporal evidence</w:t>
            </w:r>
          </w:p>
        </w:tc>
        <w:tc>
          <w:tcPr>
            <w:tcW w:type="dxa" w:w="7416"/>
            <w:vAlign w:val="center"/>
            <w:tcMar>
              <w:top w:w="80" w:type="dxa"/>
              <w:bottom w:w="80" w:type="dxa"/>
              <w:left w:w="95" w:type="dxa"/>
              <w:right w:w="95" w:type="dxa"/>
            </w:tcMar>
            <w:shd w:fill="FFFFFF"/>
          </w:tcPr>
          <w:p>
            <w:pPr>
              <w:spacing w:after="0" w:line="250" w:lineRule="auto"/>
            </w:pPr>
            <w:r>
              <w:rPr>
                <w:b w:val="0"/>
                <w:color w:val="000000"/>
                <w:sz w:val="18"/>
              </w:rPr>
              <w:t>Separately generated causal scenarios with independently declared incident onset</w:t>
            </w:r>
          </w:p>
        </w:tc>
      </w:tr>
      <w:tr>
        <w:trPr>
          <w:cantSplit/>
        </w:trPr>
        <w:tc>
          <w:tcPr>
            <w:tcW w:type="dxa" w:w="2477"/>
            <w:vAlign w:val="center"/>
            <w:tcMar>
              <w:top w:w="80" w:type="dxa"/>
              <w:bottom w:w="80" w:type="dxa"/>
              <w:left w:w="95" w:type="dxa"/>
              <w:right w:w="95" w:type="dxa"/>
            </w:tcMar>
            <w:shd w:fill="F2F5F7"/>
          </w:tcPr>
          <w:p>
            <w:pPr>
              <w:spacing w:after="0" w:line="250" w:lineRule="auto"/>
            </w:pPr>
            <w:r>
              <w:rPr>
                <w:b w:val="0"/>
                <w:color w:val="000000"/>
                <w:sz w:val="18"/>
              </w:rPr>
              <w:t>Agent design</w:t>
            </w:r>
          </w:p>
        </w:tc>
        <w:tc>
          <w:tcPr>
            <w:tcW w:type="dxa" w:w="7416"/>
            <w:vAlign w:val="center"/>
            <w:tcMar>
              <w:top w:w="80" w:type="dxa"/>
              <w:bottom w:w="80" w:type="dxa"/>
              <w:left w:w="95" w:type="dxa"/>
              <w:right w:w="95" w:type="dxa"/>
            </w:tcMar>
            <w:shd w:fill="F2F5F7"/>
          </w:tcPr>
          <w:p>
            <w:pPr>
              <w:spacing w:after="0" w:line="250" w:lineRule="auto"/>
            </w:pPr>
            <w:r>
              <w:rPr>
                <w:b w:val="0"/>
                <w:color w:val="000000"/>
                <w:sz w:val="18"/>
              </w:rPr>
              <w:t>One tool-using Commander and one bounded evidence challenger; retrieval is a tool</w:t>
            </w:r>
          </w:p>
        </w:tc>
      </w:tr>
      <w:tr>
        <w:trPr>
          <w:cantSplit/>
        </w:trPr>
        <w:tc>
          <w:tcPr>
            <w:tcW w:type="dxa" w:w="2477"/>
            <w:vAlign w:val="center"/>
            <w:tcMar>
              <w:top w:w="80" w:type="dxa"/>
              <w:bottom w:w="80" w:type="dxa"/>
              <w:left w:w="95" w:type="dxa"/>
              <w:right w:w="95" w:type="dxa"/>
            </w:tcMar>
            <w:shd w:fill="FFFFFF"/>
          </w:tcPr>
          <w:p>
            <w:pPr>
              <w:spacing w:after="0" w:line="250" w:lineRule="auto"/>
            </w:pPr>
            <w:r>
              <w:rPr>
                <w:b w:val="0"/>
                <w:color w:val="000000"/>
                <w:sz w:val="18"/>
              </w:rPr>
              <w:t>Primary action</w:t>
            </w:r>
          </w:p>
        </w:tc>
        <w:tc>
          <w:tcPr>
            <w:tcW w:type="dxa" w:w="7416"/>
            <w:vAlign w:val="center"/>
            <w:tcMar>
              <w:top w:w="80" w:type="dxa"/>
              <w:bottom w:w="80" w:type="dxa"/>
              <w:left w:w="95" w:type="dxa"/>
              <w:right w:w="95" w:type="dxa"/>
            </w:tcMar>
            <w:shd w:fill="FFFFFF"/>
          </w:tcPr>
          <w:p>
            <w:pPr>
              <w:spacing w:after="0" w:line="250" w:lineRule="auto"/>
            </w:pPr>
            <w:r>
              <w:rPr>
                <w:b w:val="0"/>
                <w:color w:val="000000"/>
                <w:sz w:val="18"/>
              </w:rPr>
              <w:t>Retry-budget control in the simulator or sandbox, followed by verification</w:t>
            </w:r>
          </w:p>
        </w:tc>
      </w:tr>
      <w:tr>
        <w:trPr>
          <w:cantSplit/>
        </w:trPr>
        <w:tc>
          <w:tcPr>
            <w:tcW w:type="dxa" w:w="2477"/>
            <w:vAlign w:val="center"/>
            <w:tcMar>
              <w:top w:w="80" w:type="dxa"/>
              <w:bottom w:w="80" w:type="dxa"/>
              <w:left w:w="95" w:type="dxa"/>
              <w:right w:w="95" w:type="dxa"/>
            </w:tcMar>
            <w:shd w:fill="F2F5F7"/>
          </w:tcPr>
          <w:p>
            <w:pPr>
              <w:spacing w:after="0" w:line="250" w:lineRule="auto"/>
            </w:pPr>
            <w:r>
              <w:rPr>
                <w:b w:val="0"/>
                <w:color w:val="000000"/>
                <w:sz w:val="18"/>
              </w:rPr>
              <w:t>Backend</w:t>
            </w:r>
          </w:p>
        </w:tc>
        <w:tc>
          <w:tcPr>
            <w:tcW w:type="dxa" w:w="7416"/>
            <w:vAlign w:val="center"/>
            <w:tcMar>
              <w:top w:w="80" w:type="dxa"/>
              <w:bottom w:w="80" w:type="dxa"/>
              <w:left w:w="95" w:type="dxa"/>
              <w:right w:w="95" w:type="dxa"/>
            </w:tcMar>
            <w:shd w:fill="F2F5F7"/>
          </w:tcPr>
          <w:p>
            <w:pPr>
              <w:spacing w:after="0" w:line="250" w:lineRule="auto"/>
            </w:pPr>
            <w:r>
              <w:rPr>
                <w:b w:val="0"/>
                <w:color w:val="000000"/>
                <w:sz w:val="18"/>
              </w:rPr>
              <w:t>Cloud Run, Pub/Sub, Firestore and Secret Manager; BigQuery follows the core cycle</w:t>
            </w:r>
          </w:p>
        </w:tc>
      </w:tr>
      <w:tr>
        <w:trPr>
          <w:cantSplit/>
        </w:trPr>
        <w:tc>
          <w:tcPr>
            <w:tcW w:type="dxa" w:w="2477"/>
            <w:vAlign w:val="center"/>
            <w:tcMar>
              <w:top w:w="80" w:type="dxa"/>
              <w:bottom w:w="80" w:type="dxa"/>
              <w:left w:w="95" w:type="dxa"/>
              <w:right w:w="95" w:type="dxa"/>
            </w:tcMar>
            <w:shd w:fill="FFFFFF"/>
          </w:tcPr>
          <w:p>
            <w:pPr>
              <w:spacing w:after="0" w:line="250" w:lineRule="auto"/>
            </w:pPr>
            <w:r>
              <w:rPr>
                <w:b w:val="0"/>
                <w:color w:val="000000"/>
                <w:sz w:val="18"/>
              </w:rPr>
              <w:t>Model route</w:t>
            </w:r>
          </w:p>
        </w:tc>
        <w:tc>
          <w:tcPr>
            <w:tcW w:type="dxa" w:w="7416"/>
            <w:vAlign w:val="center"/>
            <w:tcMar>
              <w:top w:w="80" w:type="dxa"/>
              <w:bottom w:w="80" w:type="dxa"/>
              <w:left w:w="95" w:type="dxa"/>
              <w:right w:w="95" w:type="dxa"/>
            </w:tcMar>
            <w:shd w:fill="FFFFFF"/>
          </w:tcPr>
          <w:p>
            <w:pPr>
              <w:spacing w:after="0" w:line="250" w:lineRule="auto"/>
            </w:pPr>
            <w:r>
              <w:rPr>
                <w:b w:val="0"/>
                <w:color w:val="000000"/>
                <w:sz w:val="18"/>
              </w:rPr>
              <w:t>OpenAI first, GCP model fallback after access and contract tests</w:t>
            </w:r>
          </w:p>
        </w:tc>
      </w:tr>
      <w:tr>
        <w:trPr>
          <w:cantSplit/>
        </w:trPr>
        <w:tc>
          <w:tcPr>
            <w:tcW w:type="dxa" w:w="2477"/>
            <w:vAlign w:val="center"/>
            <w:tcMar>
              <w:top w:w="80" w:type="dxa"/>
              <w:bottom w:w="80" w:type="dxa"/>
              <w:left w:w="95" w:type="dxa"/>
              <w:right w:w="95" w:type="dxa"/>
            </w:tcMar>
            <w:shd w:fill="F2F5F7"/>
          </w:tcPr>
          <w:p>
            <w:pPr>
              <w:spacing w:after="0" w:line="250" w:lineRule="auto"/>
            </w:pPr>
            <w:r>
              <w:rPr>
                <w:b w:val="0"/>
                <w:color w:val="000000"/>
                <w:sz w:val="18"/>
              </w:rPr>
              <w:t>Success proof</w:t>
            </w:r>
          </w:p>
        </w:tc>
        <w:tc>
          <w:tcPr>
            <w:tcW w:type="dxa" w:w="7416"/>
            <w:vAlign w:val="center"/>
            <w:tcMar>
              <w:top w:w="80" w:type="dxa"/>
              <w:bottom w:w="80" w:type="dxa"/>
              <w:left w:w="95" w:type="dxa"/>
              <w:right w:w="95" w:type="dxa"/>
            </w:tcMar>
            <w:shd w:fill="F2F5F7"/>
          </w:tcPr>
          <w:p>
            <w:pPr>
              <w:spacing w:after="0" w:line="250" w:lineRule="auto"/>
            </w:pPr>
            <w:r>
              <w:rPr>
                <w:b w:val="0"/>
                <w:color w:val="000000"/>
                <w:sz w:val="18"/>
              </w:rPr>
              <w:t>Warning lead time, false alarms, grounded summary quality and verified action outcome</w:t>
            </w:r>
          </w:p>
        </w:tc>
      </w:tr>
    </w:tbl>
    <w:p>
      <w:pPr>
        <w:spacing w:after="20" w:before="0" w:line="96" w:lineRule="auto"/>
      </w:pPr>
      <w:r>
        <w:rPr>
          <w:sz w:val="4"/>
        </w:rPr>
      </w:r>
    </w:p>
    <w:p>
      <w:r>
        <w:rPr>
          <w:b w:val="0"/>
        </w:rPr>
        <w:t>Completed work consists of EDA, a reproducible notebook, statistical experiments, synthetic data and planning artifacts. A running application, model-based investigation, production remediation and cloud performance have not been demonstrated. Existing experiment numbers are reported as synthetic statistical results, never as results from the proposed full agent system.</w:t>
      </w:r>
    </w:p>
    <w:p>
      <w:r>
        <w:rPr>
          <w:b w:val="0"/>
        </w:rPr>
      </w:r>
      <w:r>
        <w:rPr>
          <w:b/>
        </w:rPr>
        <w:t>Build order:</w:t>
      </w:r>
      <w:r>
        <w:rPr>
          <w:b w:val="0"/>
        </w:rPr>
        <w:t xml:space="preserve"> deploy a small backend early; connect one replay end to end; add evidence tools and challenge; implement the action ledger and verification; finish the incident interface; run the frozen evaluation and rehearse. Scope and schedule are governed by working milestones, not the combined wish lists of the source plans.</w:t>
      </w:r>
    </w:p>
    <w:p>
      <w:r>
        <w:br w:type="page"/>
      </w:r>
    </w:p>
    <w:p>
      <w:pPr>
        <w:pStyle w:val="Heading1"/>
      </w:pPr>
      <w:r>
        <w:rPr>
          <w:b w:val="0"/>
        </w:rPr>
        <w:t>1 Critical synthesis of the source plans</w:t>
      </w:r>
    </w:p>
    <w:p>
      <w:r>
        <w:rPr>
          <w:b w:val="0"/>
        </w:rPr>
        <w:t>The source plans are design inputs. Their proposed code, benchmark numbers, timelines and claims of safety are not evidence that those components exist. This document is the authoritative recommendation for new implementation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773"/>
        <w:gridCol w:w="3816"/>
      </w:tblGrid>
      <w:tr>
        <w:trPr>
          <w:cantSplit/>
          <w:tblHeader/>
        </w:trPr>
        <w:tc>
          <w:tcPr>
            <w:tcW w:type="dxa" w:w="2304"/>
            <w:vAlign w:val="center"/>
            <w:tcMar>
              <w:top w:w="80" w:type="dxa"/>
              <w:bottom w:w="80" w:type="dxa"/>
              <w:left w:w="95" w:type="dxa"/>
              <w:right w:w="95" w:type="dxa"/>
            </w:tcMar>
            <w:shd w:fill="243F52"/>
          </w:tcPr>
          <w:p>
            <w:pPr>
              <w:spacing w:after="0" w:line="250" w:lineRule="auto"/>
            </w:pPr>
            <w:r>
              <w:rPr>
                <w:b/>
                <w:color w:val="FFFFFF"/>
                <w:sz w:val="18"/>
              </w:rPr>
              <w:t>Source family</w:t>
            </w:r>
          </w:p>
        </w:tc>
        <w:tc>
          <w:tcPr>
            <w:tcW w:type="dxa" w:w="3773"/>
            <w:vAlign w:val="center"/>
            <w:tcMar>
              <w:top w:w="80" w:type="dxa"/>
              <w:bottom w:w="80" w:type="dxa"/>
              <w:left w:w="95" w:type="dxa"/>
              <w:right w:w="95" w:type="dxa"/>
            </w:tcMar>
            <w:shd w:fill="243F52"/>
          </w:tcPr>
          <w:p>
            <w:pPr>
              <w:spacing w:after="0" w:line="250" w:lineRule="auto"/>
            </w:pPr>
            <w:r>
              <w:rPr>
                <w:b/>
                <w:color w:val="FFFFFF"/>
                <w:sz w:val="18"/>
              </w:rPr>
              <w:t>Strengths retained</w:t>
            </w:r>
          </w:p>
        </w:tc>
        <w:tc>
          <w:tcPr>
            <w:tcW w:type="dxa" w:w="3816"/>
            <w:vAlign w:val="center"/>
            <w:tcMar>
              <w:top w:w="80" w:type="dxa"/>
              <w:bottom w:w="80" w:type="dxa"/>
              <w:left w:w="95" w:type="dxa"/>
              <w:right w:w="95" w:type="dxa"/>
            </w:tcMar>
            <w:shd w:fill="243F52"/>
          </w:tcPr>
          <w:p>
            <w:pPr>
              <w:spacing w:after="0" w:line="250" w:lineRule="auto"/>
            </w:pPr>
            <w:r>
              <w:rPr>
                <w:b/>
                <w:color w:val="FFFFFF"/>
                <w:sz w:val="18"/>
              </w:rPr>
              <w:t>Corrections and exclusions</w:t>
            </w:r>
          </w:p>
        </w:tc>
      </w:tr>
      <w:tr>
        <w:trPr>
          <w:cantSplit/>
        </w:trPr>
        <w:tc>
          <w:tcPr>
            <w:tcW w:type="dxa" w:w="2304"/>
            <w:vAlign w:val="center"/>
            <w:tcMar>
              <w:top w:w="80" w:type="dxa"/>
              <w:bottom w:w="80" w:type="dxa"/>
              <w:left w:w="95" w:type="dxa"/>
              <w:right w:w="95" w:type="dxa"/>
            </w:tcMar>
            <w:shd w:fill="FFFFFF"/>
          </w:tcPr>
          <w:p>
            <w:pPr>
              <w:spacing w:after="0" w:line="250" w:lineRule="auto"/>
            </w:pPr>
            <w:r>
              <w:rPr>
                <w:b w:val="0"/>
                <w:color w:val="000000"/>
                <w:sz w:val="18"/>
              </w:rPr>
              <w:t>A PayGuard analysis and blueprint</w:t>
            </w:r>
          </w:p>
        </w:tc>
        <w:tc>
          <w:tcPr>
            <w:tcW w:type="dxa" w:w="3773"/>
            <w:vAlign w:val="center"/>
            <w:tcMar>
              <w:top w:w="80" w:type="dxa"/>
              <w:bottom w:w="80" w:type="dxa"/>
              <w:left w:w="95" w:type="dxa"/>
              <w:right w:w="95" w:type="dxa"/>
            </w:tcMar>
            <w:shd w:fill="FFFFFF"/>
          </w:tcPr>
          <w:p>
            <w:pPr>
              <w:spacing w:after="0" w:line="250" w:lineRule="auto"/>
            </w:pPr>
            <w:r>
              <w:rPr>
                <w:b w:val="0"/>
                <w:color w:val="000000"/>
                <w:sz w:val="18"/>
              </w:rPr>
              <w:t>Actual EDA; separate original and synthetic lanes; causal replay; durable state/outbox; measured limitations; explicit action verification</w:t>
            </w:r>
          </w:p>
        </w:tc>
        <w:tc>
          <w:tcPr>
            <w:tcW w:type="dxa" w:w="3816"/>
            <w:vAlign w:val="center"/>
            <w:tcMar>
              <w:top w:w="80" w:type="dxa"/>
              <w:bottom w:w="80" w:type="dxa"/>
              <w:left w:w="95" w:type="dxa"/>
              <w:right w:w="95" w:type="dxa"/>
            </w:tcMar>
            <w:shd w:fill="FFFFFF"/>
          </w:tcPr>
          <w:p>
            <w:pPr>
              <w:spacing w:after="0" w:line="250" w:lineRule="auto"/>
            </w:pPr>
            <w:r>
              <w:rPr>
                <w:b w:val="0"/>
                <w:color w:val="000000"/>
                <w:sz w:val="18"/>
              </w:rPr>
              <w:t>Strengthen agent visibility, challenging evidence, watch decisions, segments and hard negatives. Keep measured statistics distinct from future agent results.</w:t>
            </w:r>
          </w:p>
        </w:tc>
      </w:tr>
      <w:tr>
        <w:trPr>
          <w:cantSplit/>
        </w:trPr>
        <w:tc>
          <w:tcPr>
            <w:tcW w:type="dxa" w:w="2304"/>
            <w:vAlign w:val="center"/>
            <w:tcMar>
              <w:top w:w="80" w:type="dxa"/>
              <w:bottom w:w="80" w:type="dxa"/>
              <w:left w:w="95" w:type="dxa"/>
              <w:right w:w="95" w:type="dxa"/>
            </w:tcMar>
            <w:shd w:fill="F2F5F7"/>
          </w:tcPr>
          <w:p>
            <w:pPr>
              <w:spacing w:after="0" w:line="250" w:lineRule="auto"/>
            </w:pPr>
            <w:r>
              <w:rPr>
                <w:b w:val="0"/>
                <w:color w:val="000000"/>
                <w:sz w:val="18"/>
              </w:rPr>
              <w:t>B Sentinel implementation plan</w:t>
            </w:r>
          </w:p>
        </w:tc>
        <w:tc>
          <w:tcPr>
            <w:tcW w:type="dxa" w:w="3773"/>
            <w:vAlign w:val="center"/>
            <w:tcMar>
              <w:top w:w="80" w:type="dxa"/>
              <w:bottom w:w="80" w:type="dxa"/>
              <w:left w:w="95" w:type="dxa"/>
              <w:right w:w="95" w:type="dxa"/>
            </w:tcMar>
            <w:shd w:fill="F2F5F7"/>
          </w:tcPr>
          <w:p>
            <w:pPr>
              <w:spacing w:after="0" w:line="250" w:lineRule="auto"/>
            </w:pPr>
            <w:r>
              <w:rPr>
                <w:b w:val="0"/>
                <w:color w:val="000000"/>
                <w:sz w:val="18"/>
              </w:rPr>
              <w:t>Segment counts; direction-aware rate metrics; low-volume tests; ablations; guarded sandbox action; operational failure tests</w:t>
            </w:r>
          </w:p>
        </w:tc>
        <w:tc>
          <w:tcPr>
            <w:tcW w:type="dxa" w:w="3816"/>
            <w:vAlign w:val="center"/>
            <w:tcMar>
              <w:top w:w="80" w:type="dxa"/>
              <w:bottom w:w="80" w:type="dxa"/>
              <w:left w:w="95" w:type="dxa"/>
              <w:right w:w="95" w:type="dxa"/>
            </w:tcMar>
            <w:shd w:fill="F2F5F7"/>
          </w:tcPr>
          <w:p>
            <w:pPr>
              <w:spacing w:after="0" w:line="250" w:lineRule="auto"/>
            </w:pPr>
            <w:r>
              <w:rPr>
                <w:b w:val="0"/>
                <w:color w:val="000000"/>
                <w:sz w:val="18"/>
              </w:rPr>
              <w:t>Drop the 12-service platform, overlapping detector stack, automatic monetary benefit claim and assumption that a generated forecast interval is calibrated.</w:t>
            </w:r>
          </w:p>
        </w:tc>
      </w:tr>
      <w:tr>
        <w:trPr>
          <w:cantSplit/>
        </w:trPr>
        <w:tc>
          <w:tcPr>
            <w:tcW w:type="dxa" w:w="2304"/>
            <w:vAlign w:val="center"/>
            <w:tcMar>
              <w:top w:w="80" w:type="dxa"/>
              <w:bottom w:w="80" w:type="dxa"/>
              <w:left w:w="95" w:type="dxa"/>
              <w:right w:w="95" w:type="dxa"/>
            </w:tcMar>
            <w:shd w:fill="FFFFFF"/>
          </w:tcPr>
          <w:p>
            <w:pPr>
              <w:spacing w:after="0" w:line="250" w:lineRule="auto"/>
            </w:pPr>
            <w:r>
              <w:rPr>
                <w:b w:val="0"/>
                <w:color w:val="000000"/>
                <w:sz w:val="18"/>
              </w:rPr>
              <w:t>C Foresight blueprint</w:t>
            </w:r>
          </w:p>
        </w:tc>
        <w:tc>
          <w:tcPr>
            <w:tcW w:type="dxa" w:w="3773"/>
            <w:vAlign w:val="center"/>
            <w:tcMar>
              <w:top w:w="80" w:type="dxa"/>
              <w:bottom w:w="80" w:type="dxa"/>
              <w:left w:w="95" w:type="dxa"/>
              <w:right w:w="95" w:type="dxa"/>
            </w:tcMar>
            <w:shd w:fill="FFFFFF"/>
          </w:tcPr>
          <w:p>
            <w:pPr>
              <w:spacing w:after="0" w:line="250" w:lineRule="auto"/>
            </w:pPr>
            <w:r>
              <w:rPr>
                <w:b w:val="0"/>
                <w:color w:val="000000"/>
                <w:sz w:val="18"/>
              </w:rPr>
              <w:t>Explicit incident goal; tool selection; re-planning; scheduled re-checks; technical/business summaries; expiry, kill switch and bounded verification</w:t>
            </w:r>
          </w:p>
        </w:tc>
        <w:tc>
          <w:tcPr>
            <w:tcW w:type="dxa" w:w="3816"/>
            <w:vAlign w:val="center"/>
            <w:tcMar>
              <w:top w:w="80" w:type="dxa"/>
              <w:bottom w:w="80" w:type="dxa"/>
              <w:left w:w="95" w:type="dxa"/>
              <w:right w:w="95" w:type="dxa"/>
            </w:tcMar>
            <w:shd w:fill="FFFFFF"/>
          </w:tcPr>
          <w:p>
            <w:pPr>
              <w:spacing w:after="0" w:line="250" w:lineRule="auto"/>
            </w:pPr>
            <w:r>
              <w:rPr>
                <w:b w:val="0"/>
                <w:color w:val="000000"/>
                <w:sz w:val="18"/>
              </w:rPr>
              <w:t>Reduce seven agents to two roles. Drop security containment, unvalidated supervised prediction and invented source-data causes. A policy veto cannot guarantee harmless actions.</w:t>
            </w:r>
          </w:p>
        </w:tc>
      </w:tr>
      <w:tr>
        <w:trPr>
          <w:cantSplit/>
        </w:trPr>
        <w:tc>
          <w:tcPr>
            <w:tcW w:type="dxa" w:w="2304"/>
            <w:vAlign w:val="center"/>
            <w:tcMar>
              <w:top w:w="80" w:type="dxa"/>
              <w:bottom w:w="80" w:type="dxa"/>
              <w:left w:w="95" w:type="dxa"/>
              <w:right w:w="95" w:type="dxa"/>
            </w:tcMar>
            <w:shd w:fill="F2F5F7"/>
          </w:tcPr>
          <w:p>
            <w:pPr>
              <w:spacing w:after="0" w:line="250" w:lineRule="auto"/>
            </w:pPr>
            <w:r>
              <w:rPr>
                <w:b w:val="0"/>
                <w:color w:val="000000"/>
                <w:sz w:val="18"/>
              </w:rPr>
              <w:t>D Earlier merged branch plan</w:t>
            </w:r>
          </w:p>
        </w:tc>
        <w:tc>
          <w:tcPr>
            <w:tcW w:type="dxa" w:w="3773"/>
            <w:vAlign w:val="center"/>
            <w:tcMar>
              <w:top w:w="80" w:type="dxa"/>
              <w:bottom w:w="80" w:type="dxa"/>
              <w:left w:w="95" w:type="dxa"/>
              <w:right w:w="95" w:type="dxa"/>
            </w:tcMar>
            <w:shd w:fill="F2F5F7"/>
          </w:tcPr>
          <w:p>
            <w:pPr>
              <w:spacing w:after="0" w:line="250" w:lineRule="auto"/>
            </w:pPr>
            <w:r>
              <w:rPr>
                <w:b w:val="0"/>
                <w:color w:val="000000"/>
                <w:sz w:val="18"/>
              </w:rPr>
              <w:t>Identifies scope inflation and incorrect PS-02 requirements; deterministic retrieval; shared event contract; early deployment; negative-case discipline</w:t>
            </w:r>
          </w:p>
        </w:tc>
        <w:tc>
          <w:tcPr>
            <w:tcW w:type="dxa" w:w="3816"/>
            <w:vAlign w:val="center"/>
            <w:tcMar>
              <w:top w:w="80" w:type="dxa"/>
              <w:bottom w:w="80" w:type="dxa"/>
              <w:left w:w="95" w:type="dxa"/>
              <w:right w:w="95" w:type="dxa"/>
            </w:tcMar>
            <w:shd w:fill="F2F5F7"/>
          </w:tcPr>
          <w:p>
            <w:pPr>
              <w:spacing w:after="0" w:line="250" w:lineRule="auto"/>
            </w:pPr>
            <w:r>
              <w:rPr>
                <w:b w:val="0"/>
                <w:color w:val="000000"/>
                <w:sz w:val="18"/>
              </w:rPr>
              <w:t>Reject in-memory-only incident authority, fabricated onset at CSV anchors, manufactured history, mandatory payment rerouting and claims that four hours cover the full proposed platform.</w:t>
            </w:r>
          </w:p>
        </w:tc>
      </w:tr>
    </w:tbl>
    <w:p>
      <w:pPr>
        <w:spacing w:after="20" w:before="0" w:line="96" w:lineRule="auto"/>
      </w:pPr>
      <w:r>
        <w:rPr>
          <w:sz w:val="4"/>
        </w:rPr>
      </w:r>
    </w:p>
    <w:p>
      <w:pPr>
        <w:pStyle w:val="Heading2"/>
      </w:pPr>
      <w:r>
        <w:rPr>
          <w:b w:val="0"/>
        </w:rPr>
        <w:t>Decisions that resolve the main conflicts</w:t>
      </w:r>
    </w:p>
    <w:p>
      <w:r>
        <w:rPr>
          <w:b w:val="0"/>
        </w:rPr>
      </w:r>
      <w:r>
        <w:rPr>
          <w:b/>
        </w:rPr>
        <w:t>Preserve the useful behavior rather than every component.</w:t>
      </w:r>
      <w:r>
        <w:rPr>
          <w:b w:val="0"/>
        </w:rPr>
        <w:t xml:space="preserve"> A Commander can choose metric, history and context tools directly. A separate challenger adds a distinct objective: test the current explanation. A Historian, Narrator and Responder do not each need an LLM loop.</w:t>
      </w:r>
    </w:p>
    <w:p>
      <w:r>
        <w:rPr>
          <w:b w:val="0"/>
        </w:rPr>
      </w:r>
      <w:r>
        <w:rPr>
          <w:b/>
        </w:rPr>
        <w:t>Keep sample compatibility without fabricating temporal evidence.</w:t>
      </w:r>
      <w:r>
        <w:rPr>
          <w:b w:val="0"/>
        </w:rPr>
        <w:t xml:space="preserve"> The untouched CSV must run through ingestion, incident presentation and point-label evaluation. Dense sequences may be demonstrated separately. Adding a ramp before a labeled row creates a synthetic hypothesis; it does not recover a missing real precursor.</w:t>
      </w:r>
    </w:p>
    <w:p>
      <w:r>
        <w:rPr>
          <w:b w:val="0"/>
        </w:rPr>
      </w:r>
      <w:r>
        <w:rPr>
          <w:b/>
        </w:rPr>
        <w:t>Prefer the existing causal retry experiment as the first action story.</w:t>
      </w:r>
      <w:r>
        <w:rPr>
          <w:b w:val="0"/>
        </w:rPr>
        <w:t xml:space="preserve"> A measured live sandbox is the next fidelity step. Routing between mock providers can be a stretch demonstration, but real rails are outside scope. A healthy alternative endpoint does not establish that a payment can safely move between actual payment rails.</w:t>
      </w:r>
    </w:p>
    <w:p>
      <w:r>
        <w:rPr>
          <w:b w:val="0"/>
        </w:rPr>
      </w:r>
      <w:r>
        <w:rPr>
          <w:b/>
        </w:rPr>
        <w:t>Retain durable state from the beginning.</w:t>
      </w:r>
      <w:r>
        <w:rPr>
          <w:b w:val="0"/>
        </w:rPr>
        <w:t xml:space="preserve"> Single-instance Cloud Run settings do not guarantee process survival or exclusive action execution. Keep Firestore state, action keys and resumable jobs even if this costs some setup time.</w:t>
      </w:r>
    </w:p>
    <w:p>
      <w:r>
        <w:br w:type="page"/>
      </w:r>
    </w:p>
    <w:p>
      <w:pPr>
        <w:pStyle w:val="Heading1"/>
      </w:pPr>
      <w:r>
        <w:rPr>
          <w:b w:val="0"/>
        </w:rPr>
        <w:t>2 Requirements and evidence boundaries</w:t>
      </w:r>
    </w:p>
    <w:p>
      <w:r>
        <w:rPr>
          <w:b w:val="0"/>
        </w:rPr>
        <w:t xml:space="preserve">The organizer specifies PS-02, </w:t>
      </w:r>
      <w:r>
        <w:rPr>
          <w:b/>
        </w:rPr>
        <w:t>Proactive Anomaly Detection &amp; Issue Prevention Agent</w:t>
      </w:r>
      <w:r>
        <w:rPr>
          <w:b w:val="0"/>
        </w:rPr>
        <w:t>, difficulty Hard, category AIOps / Observability. The technical requirements below are mandatory. The challenge also mentions application logs, metrics and traces. The suggested technology list is optional. [S1]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773"/>
        <w:gridCol w:w="3816"/>
      </w:tblGrid>
      <w:tr>
        <w:trPr>
          <w:cantSplit/>
          <w:tblHeader/>
        </w:trPr>
        <w:tc>
          <w:tcPr>
            <w:tcW w:type="dxa" w:w="2304"/>
            <w:vAlign w:val="center"/>
            <w:tcMar>
              <w:top w:w="80" w:type="dxa"/>
              <w:bottom w:w="80" w:type="dxa"/>
              <w:left w:w="95" w:type="dxa"/>
              <w:right w:w="95" w:type="dxa"/>
            </w:tcMar>
            <w:shd w:fill="243F52"/>
          </w:tcPr>
          <w:p>
            <w:pPr>
              <w:spacing w:after="0" w:line="250" w:lineRule="auto"/>
            </w:pPr>
            <w:r>
              <w:rPr>
                <w:b/>
                <w:color w:val="FFFFFF"/>
                <w:sz w:val="18"/>
              </w:rPr>
              <w:t>Official requirement</w:t>
            </w:r>
          </w:p>
        </w:tc>
        <w:tc>
          <w:tcPr>
            <w:tcW w:type="dxa" w:w="3773"/>
            <w:vAlign w:val="center"/>
            <w:tcMar>
              <w:top w:w="80" w:type="dxa"/>
              <w:bottom w:w="80" w:type="dxa"/>
              <w:left w:w="95" w:type="dxa"/>
              <w:right w:w="95" w:type="dxa"/>
            </w:tcMar>
            <w:shd w:fill="243F52"/>
          </w:tcPr>
          <w:p>
            <w:pPr>
              <w:spacing w:after="0" w:line="250" w:lineRule="auto"/>
            </w:pPr>
            <w:r>
              <w:rPr>
                <w:b/>
                <w:color w:val="FFFFFF"/>
                <w:sz w:val="18"/>
              </w:rPr>
              <w:t>Final capability</w:t>
            </w:r>
          </w:p>
        </w:tc>
        <w:tc>
          <w:tcPr>
            <w:tcW w:type="dxa" w:w="3816"/>
            <w:vAlign w:val="center"/>
            <w:tcMar>
              <w:top w:w="80" w:type="dxa"/>
              <w:bottom w:w="80" w:type="dxa"/>
              <w:left w:w="95" w:type="dxa"/>
              <w:right w:w="95" w:type="dxa"/>
            </w:tcMar>
            <w:shd w:fill="243F52"/>
          </w:tcPr>
          <w:p>
            <w:pPr>
              <w:spacing w:after="0" w:line="250" w:lineRule="auto"/>
            </w:pPr>
            <w:r>
              <w:rPr>
                <w:b/>
                <w:color w:val="FFFFFF"/>
                <w:sz w:val="18"/>
              </w:rPr>
              <w:t>Acceptance evidence</w:t>
            </w:r>
          </w:p>
        </w:tc>
      </w:tr>
      <w:tr>
        <w:trPr>
          <w:cantSplit/>
        </w:trPr>
        <w:tc>
          <w:tcPr>
            <w:tcW w:type="dxa" w:w="2304"/>
            <w:vAlign w:val="center"/>
            <w:tcMar>
              <w:top w:w="80" w:type="dxa"/>
              <w:bottom w:w="80" w:type="dxa"/>
              <w:left w:w="95" w:type="dxa"/>
              <w:right w:w="95" w:type="dxa"/>
            </w:tcMar>
            <w:shd w:fill="FFFFFF"/>
          </w:tcPr>
          <w:p>
            <w:pPr>
              <w:spacing w:after="0" w:line="250" w:lineRule="auto"/>
            </w:pPr>
            <w:r>
              <w:rPr>
                <w:b w:val="0"/>
                <w:color w:val="000000"/>
                <w:sz w:val="18"/>
              </w:rPr>
              <w:t>Real-time ingestion of metrics, logs and event streams</w:t>
            </w:r>
          </w:p>
        </w:tc>
        <w:tc>
          <w:tcPr>
            <w:tcW w:type="dxa" w:w="3773"/>
            <w:vAlign w:val="center"/>
            <w:tcMar>
              <w:top w:w="80" w:type="dxa"/>
              <w:bottom w:w="80" w:type="dxa"/>
              <w:left w:w="95" w:type="dxa"/>
              <w:right w:w="95" w:type="dxa"/>
            </w:tcMar>
            <w:shd w:fill="FFFFFF"/>
          </w:tcPr>
          <w:p>
            <w:pPr>
              <w:spacing w:after="0" w:line="250" w:lineRule="auto"/>
            </w:pPr>
            <w:r>
              <w:rPr>
                <w:b w:val="0"/>
                <w:color w:val="000000"/>
                <w:sz w:val="18"/>
              </w:rPr>
              <w:t>Typed ingestion and replay adapters, plus span references</w:t>
            </w:r>
          </w:p>
        </w:tc>
        <w:tc>
          <w:tcPr>
            <w:tcW w:type="dxa" w:w="3816"/>
            <w:vAlign w:val="center"/>
            <w:tcMar>
              <w:top w:w="80" w:type="dxa"/>
              <w:bottom w:w="80" w:type="dxa"/>
              <w:left w:w="95" w:type="dxa"/>
              <w:right w:w="95" w:type="dxa"/>
            </w:tcMar>
            <w:shd w:fill="FFFFFF"/>
          </w:tcPr>
          <w:p>
            <w:pPr>
              <w:spacing w:after="0" w:line="250" w:lineRule="auto"/>
            </w:pPr>
            <w:r>
              <w:rPr>
                <w:b w:val="0"/>
                <w:color w:val="000000"/>
                <w:sz w:val="18"/>
              </w:rPr>
              <w:t>Deployed backend accepts all three kinds, persists provenance and shows event/receive time</w:t>
            </w:r>
          </w:p>
        </w:tc>
      </w:tr>
      <w:tr>
        <w:trPr>
          <w:cantSplit/>
        </w:trPr>
        <w:tc>
          <w:tcPr>
            <w:tcW w:type="dxa" w:w="2304"/>
            <w:vAlign w:val="center"/>
            <w:tcMar>
              <w:top w:w="80" w:type="dxa"/>
              <w:bottom w:w="80" w:type="dxa"/>
              <w:left w:w="95" w:type="dxa"/>
              <w:right w:w="95" w:type="dxa"/>
            </w:tcMar>
            <w:shd w:fill="F2F5F7"/>
          </w:tcPr>
          <w:p>
            <w:pPr>
              <w:spacing w:after="0" w:line="250" w:lineRule="auto"/>
            </w:pPr>
            <w:r>
              <w:rPr>
                <w:b w:val="0"/>
                <w:color w:val="000000"/>
                <w:sz w:val="18"/>
              </w:rPr>
              <w:t>Statistical and LLM-based reasoning</w:t>
            </w:r>
          </w:p>
        </w:tc>
        <w:tc>
          <w:tcPr>
            <w:tcW w:type="dxa" w:w="3773"/>
            <w:vAlign w:val="center"/>
            <w:tcMar>
              <w:top w:w="80" w:type="dxa"/>
              <w:bottom w:w="80" w:type="dxa"/>
              <w:left w:w="95" w:type="dxa"/>
              <w:right w:w="95" w:type="dxa"/>
            </w:tcMar>
            <w:shd w:fill="F2F5F7"/>
          </w:tcPr>
          <w:p>
            <w:pPr>
              <w:spacing w:after="0" w:line="250" w:lineRule="auto"/>
            </w:pPr>
            <w:r>
              <w:rPr>
                <w:b w:val="0"/>
                <w:color w:val="000000"/>
                <w:sz w:val="18"/>
              </w:rPr>
              <w:t>Statistical candidates plus tool-directed interpretation and evidence challenge</w:t>
            </w:r>
          </w:p>
        </w:tc>
        <w:tc>
          <w:tcPr>
            <w:tcW w:type="dxa" w:w="3816"/>
            <w:vAlign w:val="center"/>
            <w:tcMar>
              <w:top w:w="80" w:type="dxa"/>
              <w:bottom w:w="80" w:type="dxa"/>
              <w:left w:w="95" w:type="dxa"/>
              <w:right w:w="95" w:type="dxa"/>
            </w:tcMar>
            <w:shd w:fill="F2F5F7"/>
          </w:tcPr>
          <w:p>
            <w:pPr>
              <w:spacing w:after="0" w:line="250" w:lineRule="auto"/>
            </w:pPr>
            <w:r>
              <w:rPr>
                <w:b w:val="0"/>
                <w:color w:val="000000"/>
                <w:sz w:val="18"/>
              </w:rPr>
              <w:t>Reproduce detector results; actual model trace selects tools and handles contradictory evidence</w:t>
            </w:r>
          </w:p>
        </w:tc>
      </w:tr>
      <w:tr>
        <w:trPr>
          <w:cantSplit/>
        </w:trPr>
        <w:tc>
          <w:tcPr>
            <w:tcW w:type="dxa" w:w="2304"/>
            <w:vAlign w:val="center"/>
            <w:tcMar>
              <w:top w:w="80" w:type="dxa"/>
              <w:bottom w:w="80" w:type="dxa"/>
              <w:left w:w="95" w:type="dxa"/>
              <w:right w:w="95" w:type="dxa"/>
            </w:tcMar>
            <w:shd w:fill="FFFFFF"/>
          </w:tcPr>
          <w:p>
            <w:pPr>
              <w:spacing w:after="0" w:line="250" w:lineRule="auto"/>
            </w:pPr>
            <w:r>
              <w:rPr>
                <w:b w:val="0"/>
                <w:color w:val="000000"/>
                <w:sz w:val="18"/>
              </w:rPr>
              <w:t>Autonomous alerting, ticket creation and suggested runbook steps</w:t>
            </w:r>
          </w:p>
        </w:tc>
        <w:tc>
          <w:tcPr>
            <w:tcW w:type="dxa" w:w="3773"/>
            <w:vAlign w:val="center"/>
            <w:tcMar>
              <w:top w:w="80" w:type="dxa"/>
              <w:bottom w:w="80" w:type="dxa"/>
              <w:left w:w="95" w:type="dxa"/>
              <w:right w:w="95" w:type="dxa"/>
            </w:tcMar>
            <w:shd w:fill="FFFFFF"/>
          </w:tcPr>
          <w:p>
            <w:pPr>
              <w:spacing w:after="0" w:line="250" w:lineRule="auto"/>
            </w:pPr>
            <w:r>
              <w:rPr>
                <w:b w:val="0"/>
                <w:color w:val="000000"/>
                <w:sz w:val="18"/>
              </w:rPr>
              <w:t>Durable internal alert/ticket and versioned runbook recommendation</w:t>
            </w:r>
          </w:p>
        </w:tc>
        <w:tc>
          <w:tcPr>
            <w:tcW w:type="dxa" w:w="3816"/>
            <w:vAlign w:val="center"/>
            <w:tcMar>
              <w:top w:w="80" w:type="dxa"/>
              <w:bottom w:w="80" w:type="dxa"/>
              <w:left w:w="95" w:type="dxa"/>
              <w:right w:w="95" w:type="dxa"/>
            </w:tcMar>
            <w:shd w:fill="FFFFFF"/>
          </w:tcPr>
          <w:p>
            <w:pPr>
              <w:spacing w:after="0" w:line="250" w:lineRule="auto"/>
            </w:pPr>
            <w:r>
              <w:rPr>
                <w:b w:val="0"/>
                <w:color w:val="000000"/>
                <w:sz w:val="18"/>
              </w:rPr>
              <w:t>One logical ticket and alert per episode; receipt read back; duplicates/restart tested</w:t>
            </w:r>
          </w:p>
        </w:tc>
      </w:tr>
      <w:tr>
        <w:trPr>
          <w:cantSplit/>
        </w:trPr>
        <w:tc>
          <w:tcPr>
            <w:tcW w:type="dxa" w:w="2304"/>
            <w:vAlign w:val="center"/>
            <w:tcMar>
              <w:top w:w="80" w:type="dxa"/>
              <w:bottom w:w="80" w:type="dxa"/>
              <w:left w:w="95" w:type="dxa"/>
              <w:right w:w="95" w:type="dxa"/>
            </w:tcMar>
            <w:shd w:fill="F2F5F7"/>
          </w:tcPr>
          <w:p>
            <w:pPr>
              <w:spacing w:after="0" w:line="250" w:lineRule="auto"/>
            </w:pPr>
            <w:r>
              <w:rPr>
                <w:b w:val="0"/>
                <w:color w:val="000000"/>
                <w:sz w:val="18"/>
              </w:rPr>
              <w:t>Natural-language incident summaries</w:t>
            </w:r>
          </w:p>
        </w:tc>
        <w:tc>
          <w:tcPr>
            <w:tcW w:type="dxa" w:w="3773"/>
            <w:vAlign w:val="center"/>
            <w:tcMar>
              <w:top w:w="80" w:type="dxa"/>
              <w:bottom w:w="80" w:type="dxa"/>
              <w:left w:w="95" w:type="dxa"/>
              <w:right w:w="95" w:type="dxa"/>
            </w:tcMar>
            <w:shd w:fill="F2F5F7"/>
          </w:tcPr>
          <w:p>
            <w:pPr>
              <w:spacing w:after="0" w:line="250" w:lineRule="auto"/>
            </w:pPr>
            <w:r>
              <w:rPr>
                <w:b w:val="0"/>
                <w:color w:val="000000"/>
                <w:sz w:val="18"/>
              </w:rPr>
              <w:t>Technical summary with facts, hypotheses, uncertainty and actions</w:t>
            </w:r>
          </w:p>
        </w:tc>
        <w:tc>
          <w:tcPr>
            <w:tcW w:type="dxa" w:w="3816"/>
            <w:vAlign w:val="center"/>
            <w:tcMar>
              <w:top w:w="80" w:type="dxa"/>
              <w:bottom w:w="80" w:type="dxa"/>
              <w:left w:w="95" w:type="dxa"/>
              <w:right w:w="95" w:type="dxa"/>
            </w:tcMar>
            <w:shd w:fill="F2F5F7"/>
          </w:tcPr>
          <w:p>
            <w:pPr>
              <w:spacing w:after="0" w:line="250" w:lineRule="auto"/>
            </w:pPr>
            <w:r>
              <w:rPr>
                <w:b w:val="0"/>
                <w:color w:val="000000"/>
                <w:sz w:val="18"/>
              </w:rPr>
              <w:t>Human-scored grounded summaries, with numerical/evidence validation</w:t>
            </w:r>
          </w:p>
        </w:tc>
      </w:tr>
      <w:tr>
        <w:trPr>
          <w:cantSplit/>
        </w:trPr>
        <w:tc>
          <w:tcPr>
            <w:tcW w:type="dxa" w:w="2304"/>
            <w:vAlign w:val="center"/>
            <w:tcMar>
              <w:top w:w="80" w:type="dxa"/>
              <w:bottom w:w="80" w:type="dxa"/>
              <w:left w:w="95" w:type="dxa"/>
              <w:right w:w="95" w:type="dxa"/>
            </w:tcMar>
            <w:shd w:fill="FFFFFF"/>
          </w:tcPr>
          <w:p>
            <w:pPr>
              <w:spacing w:after="0" w:line="250" w:lineRule="auto"/>
            </w:pPr>
            <w:r>
              <w:rPr>
                <w:b w:val="0"/>
                <w:color w:val="000000"/>
                <w:sz w:val="18"/>
              </w:rPr>
              <w:t>Historical pattern correlation</w:t>
            </w:r>
          </w:p>
        </w:tc>
        <w:tc>
          <w:tcPr>
            <w:tcW w:type="dxa" w:w="3773"/>
            <w:vAlign w:val="center"/>
            <w:tcMar>
              <w:top w:w="80" w:type="dxa"/>
              <w:bottom w:w="80" w:type="dxa"/>
              <w:left w:w="95" w:type="dxa"/>
              <w:right w:w="95" w:type="dxa"/>
            </w:tcMar>
            <w:shd w:fill="FFFFFF"/>
          </w:tcPr>
          <w:p>
            <w:pPr>
              <w:spacing w:after="0" w:line="250" w:lineRule="auto"/>
            </w:pPr>
            <w:r>
              <w:rPr>
                <w:b w:val="0"/>
                <w:color w:val="000000"/>
                <w:sz w:val="18"/>
              </w:rPr>
              <w:t>Search verified prior cases and runbooks, with no-match result</w:t>
            </w:r>
          </w:p>
        </w:tc>
        <w:tc>
          <w:tcPr>
            <w:tcW w:type="dxa" w:w="3816"/>
            <w:vAlign w:val="center"/>
            <w:tcMar>
              <w:top w:w="80" w:type="dxa"/>
              <w:bottom w:w="80" w:type="dxa"/>
              <w:left w:w="95" w:type="dxa"/>
              <w:right w:w="95" w:type="dxa"/>
            </w:tcMar>
            <w:shd w:fill="FFFFFF"/>
          </w:tcPr>
          <w:p>
            <w:pPr>
              <w:spacing w:after="0" w:line="250" w:lineRule="auto"/>
            </w:pPr>
            <w:r>
              <w:rPr>
                <w:b w:val="0"/>
                <w:color w:val="000000"/>
                <w:sz w:val="18"/>
              </w:rPr>
              <w:t>Prior-only retrieval, relevant matches and correct abstention</w:t>
            </w:r>
          </w:p>
        </w:tc>
      </w:tr>
    </w:tbl>
    <w:p>
      <w:pPr>
        <w:spacing w:after="20" w:before="0" w:line="96" w:lineRule="auto"/>
      </w:pPr>
      <w:r>
        <w:rPr>
          <w:sz w:val="4"/>
        </w:rPr>
      </w:r>
    </w:p>
    <w:p>
      <w:r>
        <w:rPr>
          <w:b w:val="0"/>
        </w:rPr>
        <w:t>Official evaluation criteria are detection lead time, false-positive rate and root-cause-summary quality. Broader judging covers agentic behavior, technical depth, completeness with the sample dataset, scalability and innovation.</w:t>
      </w:r>
    </w:p>
    <w:p>
      <w:r>
        <w:rPr>
          <w:b w:val="0"/>
        </w:rPr>
        <w:t xml:space="preserve">Routing accuracy, organization-wide ticket analytics and a dashboard containing throughput and queue depth are useful possible features, but they are </w:t>
      </w:r>
      <w:r>
        <w:rPr>
          <w:b/>
        </w:rPr>
        <w:t>not PS-02 technical requirements</w:t>
      </w:r>
      <w:r>
        <w:rPr>
          <w:b w:val="0"/>
        </w:rPr>
        <w:t>. Scaling is an example preventive action in the challenge, not a mandatory implementation. Vercel is allowed by the user's constraints; choosing GCP for the frontend simplifies this design rather than resolving a supposed Vercel prohibition.</w:t>
      </w:r>
    </w:p>
    <w:p>
      <w:pPr>
        <w:pStyle w:val="Heading2"/>
      </w:pPr>
      <w:r>
        <w:rPr>
          <w:b w:val="0"/>
        </w:rPr>
        <w:t>Implementation status</w:t>
      </w:r>
    </w:p>
    <w:p>
      <w:r>
        <w:rPr>
          <w:b w:val="0"/>
        </w:rPr>
        <w:t>Existing source utilities reproduce the original EDA, synthetic generator and local detector/intervention experiment. The notebook executed, and 223 artifact/simulation checks passed. These checks do not test a deployed agent, a model's reasoning quality, retrieval, cloud throughput or real operational changes. The branch references EDA files and AUC values that are not present in that branch tree; those claims are not adopted without reproducible artifacts.</w:t>
      </w:r>
    </w:p>
    <w:p>
      <w:r>
        <w:rPr>
          <w:b w:val="0"/>
        </w:rPr>
        <w:t>No frontend or backend application directory exists in the inspected working tree. Prior statements that Next.js and FastAPI were already scaffolded are obsolete. The current working tree contains staged analysis additions; this synthesis does not require a branch checkout or a Git merge of those files.</w:t>
      </w:r>
    </w:p>
    <w:p>
      <w:r>
        <w:br w:type="page"/>
      </w:r>
    </w:p>
    <w:p>
      <w:pPr>
        <w:pStyle w:val="Heading1"/>
      </w:pPr>
      <w:r>
        <w:rPr>
          <w:b w:val="0"/>
        </w:rPr>
        <w:t>3 Dataset findings and corrected claims</w:t>
      </w:r>
    </w:p>
    <w:p>
      <w:r>
        <w:rPr>
          <w:b w:val="0"/>
        </w:rPr>
        <w:t xml:space="preserve">The supplied CSV has </w:t>
      </w:r>
      <w:r>
        <w:rPr>
          <w:b/>
        </w:rPr>
        <w:t>500 rows, 10 columns, eight services, seven metric types and 28 incident flags</w:t>
      </w:r>
      <w:r>
        <w:rPr>
          <w:b w:val="0"/>
        </w:rPr>
        <w:t>, a prevalence of 5.6%. There are no missing cells, duplicate rows or timestamp parse failures. Dates cover 1–30 August 2026; the source timezone is unspecified. Each service/metric combination contains only 3–15 observations. The median of their median observation gaps is about 50.7 hours. [S2]</w:t>
      </w:r>
    </w:p>
    <w:p>
      <w:r>
        <w:rPr>
          <w:b w:val="0"/>
        </w:rPr>
        <w:t>Every value is below its supplied threshold. The ratio value/threshold exactly partitions observed alert labels: below 0.75 NORMAL, 0.75 to below 0.95 WARNING, at least 0.95 CRITICAL. All 28 incident flags lie among 50 CRITICAL rows. These bands are observed data properties, not numeric rules mandated by the organizer.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1267"/>
        <w:gridCol w:w="1267"/>
        <w:gridCol w:w="1267"/>
        <w:gridCol w:w="1267"/>
      </w:tblGrid>
      <w:tr>
        <w:trPr>
          <w:cantSplit/>
          <w:tblHeader/>
        </w:trPr>
        <w:tc>
          <w:tcPr>
            <w:tcW w:type="dxa" w:w="4824"/>
            <w:vAlign w:val="center"/>
            <w:tcMar>
              <w:top w:w="80" w:type="dxa"/>
              <w:bottom w:w="80" w:type="dxa"/>
              <w:left w:w="95" w:type="dxa"/>
              <w:right w:w="95" w:type="dxa"/>
            </w:tcMar>
            <w:shd w:fill="243F52"/>
          </w:tcPr>
          <w:p>
            <w:pPr>
              <w:spacing w:after="0" w:line="250" w:lineRule="auto"/>
            </w:pPr>
            <w:r>
              <w:rPr>
                <w:b/>
                <w:color w:val="FFFFFF"/>
                <w:sz w:val="18"/>
              </w:rPr>
              <w:t>Point-label diagnostic</w:t>
            </w:r>
          </w:p>
        </w:tc>
        <w:tc>
          <w:tcPr>
            <w:tcW w:type="dxa" w:w="1267"/>
            <w:vAlign w:val="center"/>
            <w:tcMar>
              <w:top w:w="80" w:type="dxa"/>
              <w:bottom w:w="80" w:type="dxa"/>
              <w:left w:w="95" w:type="dxa"/>
              <w:right w:w="95" w:type="dxa"/>
            </w:tcMar>
            <w:shd w:fill="243F52"/>
          </w:tcPr>
          <w:p>
            <w:pPr>
              <w:spacing w:after="0" w:line="250" w:lineRule="auto"/>
              <w:jc w:val="center"/>
            </w:pPr>
            <w:r>
              <w:rPr>
                <w:b/>
                <w:color w:val="FFFFFF"/>
                <w:sz w:val="18"/>
              </w:rPr>
              <w:t>TP</w:t>
            </w:r>
          </w:p>
        </w:tc>
        <w:tc>
          <w:tcPr>
            <w:tcW w:type="dxa" w:w="1267"/>
            <w:vAlign w:val="center"/>
            <w:tcMar>
              <w:top w:w="80" w:type="dxa"/>
              <w:bottom w:w="80" w:type="dxa"/>
              <w:left w:w="95" w:type="dxa"/>
              <w:right w:w="95" w:type="dxa"/>
            </w:tcMar>
            <w:shd w:fill="243F52"/>
          </w:tcPr>
          <w:p>
            <w:pPr>
              <w:spacing w:after="0" w:line="250" w:lineRule="auto"/>
              <w:jc w:val="center"/>
            </w:pPr>
            <w:r>
              <w:rPr>
                <w:b/>
                <w:color w:val="FFFFFF"/>
                <w:sz w:val="18"/>
              </w:rPr>
              <w:t>FP</w:t>
            </w:r>
          </w:p>
        </w:tc>
        <w:tc>
          <w:tcPr>
            <w:tcW w:type="dxa" w:w="1267"/>
            <w:vAlign w:val="center"/>
            <w:tcMar>
              <w:top w:w="80" w:type="dxa"/>
              <w:bottom w:w="80" w:type="dxa"/>
              <w:left w:w="95" w:type="dxa"/>
              <w:right w:w="95" w:type="dxa"/>
            </w:tcMar>
            <w:shd w:fill="243F52"/>
          </w:tcPr>
          <w:p>
            <w:pPr>
              <w:spacing w:after="0" w:line="250" w:lineRule="auto"/>
              <w:jc w:val="center"/>
            </w:pPr>
            <w:r>
              <w:rPr>
                <w:b/>
                <w:color w:val="FFFFFF"/>
                <w:sz w:val="18"/>
              </w:rPr>
              <w:t>FN</w:t>
            </w:r>
          </w:p>
        </w:tc>
        <w:tc>
          <w:tcPr>
            <w:tcW w:type="dxa" w:w="1267"/>
            <w:vAlign w:val="center"/>
            <w:tcMar>
              <w:top w:w="80" w:type="dxa"/>
              <w:bottom w:w="80" w:type="dxa"/>
              <w:left w:w="95" w:type="dxa"/>
              <w:right w:w="95" w:type="dxa"/>
            </w:tcMar>
            <w:shd w:fill="243F52"/>
          </w:tcPr>
          <w:p>
            <w:pPr>
              <w:spacing w:after="0" w:line="250" w:lineRule="auto"/>
              <w:jc w:val="center"/>
            </w:pPr>
            <w:r>
              <w:rPr>
                <w:b/>
                <w:color w:val="FFFFFF"/>
                <w:sz w:val="18"/>
              </w:rPr>
              <w:t>TN</w:t>
            </w:r>
          </w:p>
        </w:tc>
      </w:tr>
      <w:tr>
        <w:trPr>
          <w:cantSplit/>
        </w:trPr>
        <w:tc>
          <w:tcPr>
            <w:tcW w:type="dxa" w:w="4824"/>
            <w:vAlign w:val="center"/>
            <w:tcMar>
              <w:top w:w="80" w:type="dxa"/>
              <w:bottom w:w="80" w:type="dxa"/>
              <w:left w:w="95" w:type="dxa"/>
              <w:right w:w="95" w:type="dxa"/>
            </w:tcMar>
            <w:shd w:fill="FFFFFF"/>
          </w:tcPr>
          <w:p>
            <w:pPr>
              <w:spacing w:after="0" w:line="250" w:lineRule="auto"/>
            </w:pPr>
            <w:r>
              <w:rPr>
                <w:b w:val="0"/>
                <w:color w:val="000000"/>
                <w:sz w:val="18"/>
              </w:rPr>
              <w:t>Value exceeds supplied threshold</w:t>
            </w:r>
          </w:p>
        </w:tc>
        <w:tc>
          <w:tcPr>
            <w:tcW w:type="dxa" w:w="1267"/>
            <w:vAlign w:val="center"/>
            <w:tcMar>
              <w:top w:w="80" w:type="dxa"/>
              <w:bottom w:w="80" w:type="dxa"/>
              <w:left w:w="95" w:type="dxa"/>
              <w:right w:w="95" w:type="dxa"/>
            </w:tcMar>
            <w:shd w:fill="FFFFFF"/>
          </w:tcPr>
          <w:p>
            <w:pPr>
              <w:spacing w:after="0" w:line="250" w:lineRule="auto"/>
              <w:jc w:val="center"/>
            </w:pPr>
            <w:r>
              <w:rPr>
                <w:b w:val="0"/>
                <w:color w:val="000000"/>
                <w:sz w:val="18"/>
              </w:rPr>
              <w:t>0</w:t>
            </w:r>
          </w:p>
        </w:tc>
        <w:tc>
          <w:tcPr>
            <w:tcW w:type="dxa" w:w="1267"/>
            <w:vAlign w:val="center"/>
            <w:tcMar>
              <w:top w:w="80" w:type="dxa"/>
              <w:bottom w:w="80" w:type="dxa"/>
              <w:left w:w="95" w:type="dxa"/>
              <w:right w:w="95" w:type="dxa"/>
            </w:tcMar>
            <w:shd w:fill="FFFFFF"/>
          </w:tcPr>
          <w:p>
            <w:pPr>
              <w:spacing w:after="0" w:line="250" w:lineRule="auto"/>
              <w:jc w:val="center"/>
            </w:pPr>
            <w:r>
              <w:rPr>
                <w:b w:val="0"/>
                <w:color w:val="000000"/>
                <w:sz w:val="18"/>
              </w:rPr>
              <w:t>0</w:t>
            </w:r>
          </w:p>
        </w:tc>
        <w:tc>
          <w:tcPr>
            <w:tcW w:type="dxa" w:w="1267"/>
            <w:vAlign w:val="center"/>
            <w:tcMar>
              <w:top w:w="80" w:type="dxa"/>
              <w:bottom w:w="80" w:type="dxa"/>
              <w:left w:w="95" w:type="dxa"/>
              <w:right w:w="95" w:type="dxa"/>
            </w:tcMar>
            <w:shd w:fill="FFFFFF"/>
          </w:tcPr>
          <w:p>
            <w:pPr>
              <w:spacing w:after="0" w:line="250" w:lineRule="auto"/>
              <w:jc w:val="center"/>
            </w:pPr>
            <w:r>
              <w:rPr>
                <w:b w:val="0"/>
                <w:color w:val="000000"/>
                <w:sz w:val="18"/>
              </w:rPr>
              <w:t>28</w:t>
            </w:r>
          </w:p>
        </w:tc>
        <w:tc>
          <w:tcPr>
            <w:tcW w:type="dxa" w:w="1267"/>
            <w:vAlign w:val="center"/>
            <w:tcMar>
              <w:top w:w="80" w:type="dxa"/>
              <w:bottom w:w="80" w:type="dxa"/>
              <w:left w:w="95" w:type="dxa"/>
              <w:right w:w="95" w:type="dxa"/>
            </w:tcMar>
            <w:shd w:fill="FFFFFF"/>
          </w:tcPr>
          <w:p>
            <w:pPr>
              <w:spacing w:after="0" w:line="250" w:lineRule="auto"/>
              <w:jc w:val="center"/>
            </w:pPr>
            <w:r>
              <w:rPr>
                <w:b w:val="0"/>
                <w:color w:val="000000"/>
                <w:sz w:val="18"/>
              </w:rPr>
              <w:t>472</w:t>
            </w:r>
          </w:p>
        </w:tc>
      </w:tr>
      <w:tr>
        <w:trPr>
          <w:cantSplit/>
        </w:trPr>
        <w:tc>
          <w:tcPr>
            <w:tcW w:type="dxa" w:w="4824"/>
            <w:vAlign w:val="center"/>
            <w:tcMar>
              <w:top w:w="80" w:type="dxa"/>
              <w:bottom w:w="80" w:type="dxa"/>
              <w:left w:w="95" w:type="dxa"/>
              <w:right w:w="95" w:type="dxa"/>
            </w:tcMar>
            <w:shd w:fill="F2F5F7"/>
          </w:tcPr>
          <w:p>
            <w:pPr>
              <w:spacing w:after="0" w:line="250" w:lineRule="auto"/>
            </w:pPr>
            <w:r>
              <w:rPr>
                <w:b w:val="0"/>
                <w:color w:val="000000"/>
                <w:sz w:val="18"/>
              </w:rPr>
              <w:t>Value/threshold at least 0.95</w:t>
            </w:r>
          </w:p>
        </w:tc>
        <w:tc>
          <w:tcPr>
            <w:tcW w:type="dxa" w:w="1267"/>
            <w:vAlign w:val="center"/>
            <w:tcMar>
              <w:top w:w="80" w:type="dxa"/>
              <w:bottom w:w="80" w:type="dxa"/>
              <w:left w:w="95" w:type="dxa"/>
              <w:right w:w="95" w:type="dxa"/>
            </w:tcMar>
            <w:shd w:fill="F2F5F7"/>
          </w:tcPr>
          <w:p>
            <w:pPr>
              <w:spacing w:after="0" w:line="250" w:lineRule="auto"/>
              <w:jc w:val="center"/>
            </w:pPr>
            <w:r>
              <w:rPr>
                <w:b w:val="0"/>
                <w:color w:val="000000"/>
                <w:sz w:val="18"/>
              </w:rPr>
              <w:t>28</w:t>
            </w:r>
          </w:p>
        </w:tc>
        <w:tc>
          <w:tcPr>
            <w:tcW w:type="dxa" w:w="1267"/>
            <w:vAlign w:val="center"/>
            <w:tcMar>
              <w:top w:w="80" w:type="dxa"/>
              <w:bottom w:w="80" w:type="dxa"/>
              <w:left w:w="95" w:type="dxa"/>
              <w:right w:w="95" w:type="dxa"/>
            </w:tcMar>
            <w:shd w:fill="F2F5F7"/>
          </w:tcPr>
          <w:p>
            <w:pPr>
              <w:spacing w:after="0" w:line="250" w:lineRule="auto"/>
              <w:jc w:val="center"/>
            </w:pPr>
            <w:r>
              <w:rPr>
                <w:b w:val="0"/>
                <w:color w:val="000000"/>
                <w:sz w:val="18"/>
              </w:rPr>
              <w:t>22</w:t>
            </w:r>
          </w:p>
        </w:tc>
        <w:tc>
          <w:tcPr>
            <w:tcW w:type="dxa" w:w="1267"/>
            <w:vAlign w:val="center"/>
            <w:tcMar>
              <w:top w:w="80" w:type="dxa"/>
              <w:bottom w:w="80" w:type="dxa"/>
              <w:left w:w="95" w:type="dxa"/>
              <w:right w:w="95" w:type="dxa"/>
            </w:tcMar>
            <w:shd w:fill="F2F5F7"/>
          </w:tcPr>
          <w:p>
            <w:pPr>
              <w:spacing w:after="0" w:line="250" w:lineRule="auto"/>
              <w:jc w:val="center"/>
            </w:pPr>
            <w:r>
              <w:rPr>
                <w:b w:val="0"/>
                <w:color w:val="000000"/>
                <w:sz w:val="18"/>
              </w:rPr>
              <w:t>0</w:t>
            </w:r>
          </w:p>
        </w:tc>
        <w:tc>
          <w:tcPr>
            <w:tcW w:type="dxa" w:w="1267"/>
            <w:vAlign w:val="center"/>
            <w:tcMar>
              <w:top w:w="80" w:type="dxa"/>
              <w:bottom w:w="80" w:type="dxa"/>
              <w:left w:w="95" w:type="dxa"/>
              <w:right w:w="95" w:type="dxa"/>
            </w:tcMar>
            <w:shd w:fill="F2F5F7"/>
          </w:tcPr>
          <w:p>
            <w:pPr>
              <w:spacing w:after="0" w:line="250" w:lineRule="auto"/>
              <w:jc w:val="center"/>
            </w:pPr>
            <w:r>
              <w:rPr>
                <w:b w:val="0"/>
                <w:color w:val="000000"/>
                <w:sz w:val="18"/>
              </w:rPr>
              <w:t>450</w:t>
            </w:r>
          </w:p>
        </w:tc>
      </w:tr>
    </w:tbl>
    <w:p>
      <w:pPr>
        <w:spacing w:after="20" w:before="0" w:line="96" w:lineRule="auto"/>
      </w:pPr>
      <w:r>
        <w:rPr>
          <w:sz w:val="4"/>
        </w:rPr>
      </w:r>
    </w:p>
    <w:p>
      <w:r>
        <w:rPr>
          <w:b w:val="0"/>
        </w:rPr>
        <w:t xml:space="preserve">For the ratio rule, precision is 28/50 = </w:t>
      </w:r>
      <w:r>
        <w:rPr>
          <w:b/>
        </w:rPr>
        <w:t>56%</w:t>
      </w:r>
      <w:r>
        <w:rPr>
          <w:b w:val="0"/>
        </w:rPr>
        <w:t xml:space="preserve">. Its false-discovery proportion is 22/50 = </w:t>
      </w:r>
      <w:r>
        <w:rPr>
          <w:b/>
        </w:rPr>
        <w:t>44%</w:t>
      </w:r>
      <w:r>
        <w:rPr>
          <w:b w:val="0"/>
        </w:rPr>
        <w:t xml:space="preserve">. Its false-positive rate is 22/472 = </w:t>
      </w:r>
      <w:r>
        <w:rPr>
          <w:b/>
        </w:rPr>
        <w:t>4.66%</w:t>
      </w:r>
      <w:r>
        <w:rPr>
          <w:b w:val="0"/>
        </w:rPr>
        <w:t>. These denominators answer different questions. Neither result proves how ordinary production monitoring performs.</w:t>
      </w:r>
    </w:p>
    <w:p>
      <w:r>
        <w:rPr>
          <w:b w:val="0"/>
        </w:rPr>
      </w:r>
      <w:r>
        <w:rPr>
          <w:b/>
        </w:rPr>
        <w:t>Original-data warning lead time is unknown, not zero.</w:t>
      </w:r>
      <w:r>
        <w:rPr>
          <w:b w:val="0"/>
        </w:rPr>
        <w:t xml:space="preserve"> No episode onset, preceding dense sequence or verified cause is supplied. Nearby timestamps across different services cannot establish a causal cascade. Do not turn the August AuthService/PaymentGateway pair into a verified historical outage.</w:t>
      </w:r>
    </w:p>
    <w:p>
      <w:r>
        <w:rPr>
          <w:b w:val="0"/>
        </w:rPr>
        <w:t>Within CRITICAL, incident versus nonincident median response time is 2079.5 versus 1595.5 ms; the Mann–Whitney p-value is about 0.353. Active users have medians 2401 versus 2942.5, p about 0.130. These small conditional samples do not establish a useful predictive signal. They also do not prove that the variables are independent uniform noise. No supervised model deployment, per-metric incident prior or fraud diagnosis is justified.</w:t>
      </w:r>
    </w:p>
    <w:p>
      <w:r>
        <w:rPr>
          <w:b w:val="0"/>
        </w:rPr>
        <w:t>The value/threshold Pearson correlation is about 0.964. Thresholds and alert labels may share synthetic generation logic. Dropping alert_level does not automatically remove all indirect leakage. Timestamp, hourly error windows and threshold availability relative to an incident remain unverified.</w:t>
      </w:r>
    </w:p>
    <w:p>
      <w:r>
        <w:rPr>
          <w:b w:val="0"/>
        </w:rPr>
        <w:t>Preserve all original columns and values. Do not infer milliseconds for latency_p99, percentages for every error_rate value, bank identities, customer counts, money or fraud from names alone. Original sample point scoring and temporal simulation remain separate evidence tracks.</w:t>
      </w:r>
    </w:p>
    <w:p>
      <w:r>
        <w:br w:type="page"/>
      </w:r>
    </w:p>
    <w:p>
      <w:pPr>
        <w:pStyle w:val="Heading1"/>
      </w:pPr>
      <w:r>
        <w:rPr>
          <w:b w:val="0"/>
        </w:rPr>
        <w:t>4 Product scope and differentiation</w:t>
      </w:r>
    </w:p>
    <w:p>
      <w:r>
        <w:rPr>
          <w:b w:val="0"/>
        </w:rPr>
        <w:t>NovaPay is a fictional payment platform with a small modeled dependency chain: payment gateway → provider adapter → processing queue → checkout result. Provider A and Provider B are mock endpoints. Keep original service names unchanged in the organizer-data view; any domain mapping is configuration explicitly labeled illustrative.</w:t>
      </w:r>
    </w:p>
    <w:p>
      <w:r>
        <w:rPr>
          <w:b w:val="0"/>
        </w:rPr>
        <w:t xml:space="preserve">The primary incident is </w:t>
      </w:r>
      <w:r>
        <w:rPr>
          <w:b/>
        </w:rPr>
        <w:t>provider degradation with retry amplification</w:t>
      </w:r>
      <w:r>
        <w:rPr>
          <w:b w:val="0"/>
        </w:rPr>
        <w:t>. Rising upstream duration makes attempts occupy capacity longer. Retry load increases and the queue approaches a customer-impact boundary. Foresight must distinguish that mechanism from worker capacity loss, benign demand growth and transient latency.</w:t>
      </w:r>
    </w:p>
    <w:p>
      <w:pPr>
        <w:pStyle w:val="Heading2"/>
      </w:pPr>
      <w:r>
        <w:rPr>
          <w:b w:val="0"/>
        </w:rPr>
        <w:t>Essential scope</w:t>
      </w:r>
    </w:p>
    <w:p>
      <w:pPr>
        <w:pStyle w:val="ListNumber"/>
        <w:numPr>
          <w:ilvl w:val="0"/>
          <w:numId w:val="10"/>
        </w:numPr>
      </w:pPr>
      <w:r>
        <w:rPr>
          <w:b w:val="0"/>
        </w:rPr>
        <w:t>Original CSV replay plus one synthetic temporal scenario through typed metric/log/event ingestion.</w:t>
      </w:r>
    </w:p>
    <w:p>
      <w:pPr>
        <w:pStyle w:val="ListNumber"/>
        <w:numPr>
          <w:ilvl w:val="0"/>
          <w:numId w:val="10"/>
        </w:numPr>
      </w:pPr>
      <w:r>
        <w:rPr>
          <w:b w:val="0"/>
        </w:rPr>
        <w:t>Past-only statistical detection with persistence, freshness and backlog evidence.</w:t>
      </w:r>
    </w:p>
    <w:p>
      <w:pPr>
        <w:pStyle w:val="ListNumber"/>
        <w:numPr>
          <w:ilvl w:val="0"/>
          <w:numId w:val="10"/>
        </w:numPr>
      </w:pPr>
      <w:r>
        <w:rPr>
          <w:b w:val="0"/>
        </w:rPr>
        <w:t>A Commander that chooses evidence tools, challenges a hypothesis and can revise its plan.</w:t>
      </w:r>
    </w:p>
    <w:p>
      <w:pPr>
        <w:pStyle w:val="ListNumber"/>
        <w:numPr>
          <w:ilvl w:val="0"/>
          <w:numId w:val="10"/>
        </w:numPr>
      </w:pPr>
      <w:r>
        <w:rPr>
          <w:b w:val="0"/>
        </w:rPr>
        <w:t>Verified historical-case retrieval and a grounded summary with uncertainty.</w:t>
      </w:r>
    </w:p>
    <w:p>
      <w:pPr>
        <w:pStyle w:val="ListNumber"/>
        <w:numPr>
          <w:ilvl w:val="0"/>
          <w:numId w:val="10"/>
        </w:numPr>
      </w:pPr>
      <w:r>
        <w:rPr>
          <w:b w:val="0"/>
        </w:rPr>
        <w:t>A durable automatic internal ticket/alert, suggested runbook, sandbox action and verification trail.</w:t>
      </w:r>
    </w:p>
    <w:p>
      <w:pPr>
        <w:pStyle w:val="ListNumber"/>
        <w:numPr>
          <w:ilvl w:val="0"/>
          <w:numId w:val="10"/>
        </w:numPr>
      </w:pPr>
      <w:r>
        <w:rPr>
          <w:b w:val="0"/>
        </w:rPr>
        <w:t>Incident investigation, replay controls and an evaluation scorecard with negative cases.</w:t>
      </w:r>
    </w:p>
    <w:p>
      <w:pPr>
        <w:pStyle w:val="ListNumber"/>
        <w:numPr>
          <w:ilvl w:val="0"/>
          <w:numId w:val="10"/>
        </w:numPr>
      </w:pPr>
      <w:r>
        <w:rPr>
          <w:b w:val="0"/>
        </w:rPr>
        <w:t>A GCP backend and explicit model/pipeline failure behavior.</w:t>
      </w:r>
    </w:p>
    <w:p>
      <w:r>
        <w:rPr>
          <w:b w:val="0"/>
        </w:rPr>
        <w:t>The first complete cycle may use the existing deterministic simulator. Upgrade to a running, instrumented sandbox only after that cycle works. The sandbox runs synthetic requests and reports measured processing latency, queue state, retry attempts and error counts. Real execution against a sandbox is still a synthetic experiment, not a banking production intervention.</w:t>
      </w:r>
    </w:p>
    <w:p>
      <w:pPr>
        <w:pStyle w:val="Heading2"/>
      </w:pPr>
      <w:r>
        <w:rPr>
          <w:b w:val="0"/>
        </w:rPr>
        <w:t>Useful additions after the core cycle</w:t>
      </w:r>
    </w:p>
    <w:p>
      <w:r>
        <w:rPr>
          <w:b w:val="0"/>
        </w:rPr>
        <w:t>Add provider-segment counts and a heat strip, a low-volume false-alarm test, a recovering-but-abnormal watch case and a deploy that coincides with a real fault. Add an approval-gated switch between mock providers only if it has a distinct verification result and duplicate-request handling. Real Monitoring ingestion, a log-novelty trigger and analytical export follow successful evaluation.</w:t>
      </w:r>
    </w:p>
    <w:p>
      <w:pPr>
        <w:pStyle w:val="Heading2"/>
      </w:pPr>
      <w:r>
        <w:rPr>
          <w:b w:val="0"/>
        </w:rPr>
        <w:t>Exclusions</w:t>
      </w:r>
    </w:p>
    <w:p>
      <w:r>
        <w:rPr>
          <w:b w:val="0"/>
        </w:rPr>
        <w:t>No production money movement, settlement edits, account blocking, step-up MFA, credential-stuffing containment, live rail rerouting or automatic production scaling. No claimed PKR protected, revenue saved or fraud losses avoided. Security anomalies may be triaged read-only in a later extension; their operational risk deserves a separate validation project.</w:t>
      </w:r>
    </w:p>
    <w:p>
      <w:r>
        <w:rPr>
          <w:b w:val="0"/>
        </w:rPr>
        <w:t>The differentiation is an inspectable evidence-to-action cycle: correlated warning, chosen diagnostic, counterevidence, revised hypothesis, policy decision and measured outcome. Conventional observability products already support advanced alerts and automation; the submission should demonstrate this integrated workflow rather than claim those products only have static thresholds.</w:t>
      </w:r>
    </w:p>
    <w:p>
      <w:r>
        <w:br w:type="page"/>
      </w:r>
    </w:p>
    <w:p>
      <w:pPr>
        <w:pStyle w:val="Heading1"/>
      </w:pPr>
      <w:r>
        <w:rPr>
          <w:b w:val="0"/>
        </w:rPr>
        <w:t>5 Data strategy and scenario design</w:t>
      </w:r>
    </w:p>
    <w:p>
      <w:r>
        <w:rPr>
          <w:b w:val="0"/>
        </w:rPr>
        <w:t xml:space="preserve">Use three clearly labeled data modes. </w:t>
      </w:r>
      <w:r>
        <w:rPr>
          <w:b/>
        </w:rPr>
        <w:t>Organizer replay</w:t>
      </w:r>
      <w:r>
        <w:rPr>
          <w:b w:val="0"/>
        </w:rPr>
        <w:t xml:space="preserve"> emits the 500 untouched records for compatibility and point-label scoring. </w:t>
      </w:r>
      <w:r>
        <w:rPr>
          <w:b/>
        </w:rPr>
        <w:t>Synthetic replay</w:t>
      </w:r>
      <w:r>
        <w:rPr>
          <w:b w:val="0"/>
        </w:rPr>
        <w:t xml:space="preserve"> uses fixed-seed, coherent temporal sequences for onset and intervention experiments. </w:t>
      </w:r>
      <w:r>
        <w:rPr>
          <w:b/>
        </w:rPr>
        <w:t>Instrumented sandbox</w:t>
      </w:r>
      <w:r>
        <w:rPr>
          <w:b w:val="0"/>
        </w:rPr>
        <w:t xml:space="preserve"> emits observations from running mock requests after that service is built. None supplies evidence of performance on real banking systems.</w:t>
      </w:r>
    </w:p>
    <w:p>
      <w:r>
        <w:rPr>
          <w:b w:val="0"/>
        </w:rPr>
        <w:t>The existing generator has 96 sequences of 180 one-minute windows: 24 train, 24 validation and 48 final-test runs, totaling 17,280 windows. The detector uses an explicit metric-feature allowlist. Fault configuration, cause, seed, onset and test partition stay in evaluator manifests; they are not model or detector inputs. The revised test uses a held-out ramp shape and seed range, but shares the same simulator family. [S3]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773"/>
        <w:gridCol w:w="3816"/>
      </w:tblGrid>
      <w:tr>
        <w:trPr>
          <w:cantSplit/>
          <w:tblHeader/>
        </w:trPr>
        <w:tc>
          <w:tcPr>
            <w:tcW w:type="dxa" w:w="2304"/>
            <w:vAlign w:val="center"/>
            <w:tcMar>
              <w:top w:w="80" w:type="dxa"/>
              <w:bottom w:w="80" w:type="dxa"/>
              <w:left w:w="95" w:type="dxa"/>
              <w:right w:w="95" w:type="dxa"/>
            </w:tcMar>
            <w:shd w:fill="243F52"/>
          </w:tcPr>
          <w:p>
            <w:pPr>
              <w:spacing w:after="0" w:line="250" w:lineRule="auto"/>
            </w:pPr>
            <w:r>
              <w:rPr>
                <w:b/>
                <w:color w:val="FFFFFF"/>
                <w:sz w:val="18"/>
              </w:rPr>
              <w:t>Scenario</w:t>
            </w:r>
          </w:p>
        </w:tc>
        <w:tc>
          <w:tcPr>
            <w:tcW w:type="dxa" w:w="3773"/>
            <w:vAlign w:val="center"/>
            <w:tcMar>
              <w:top w:w="80" w:type="dxa"/>
              <w:bottom w:w="80" w:type="dxa"/>
              <w:left w:w="95" w:type="dxa"/>
              <w:right w:w="95" w:type="dxa"/>
            </w:tcMar>
            <w:shd w:fill="243F52"/>
          </w:tcPr>
          <w:p>
            <w:pPr>
              <w:spacing w:after="0" w:line="250" w:lineRule="auto"/>
            </w:pPr>
            <w:r>
              <w:rPr>
                <w:b/>
                <w:color w:val="FFFFFF"/>
                <w:sz w:val="18"/>
              </w:rPr>
              <w:t>Expected investigation and action</w:t>
            </w:r>
          </w:p>
        </w:tc>
        <w:tc>
          <w:tcPr>
            <w:tcW w:type="dxa" w:w="3816"/>
            <w:vAlign w:val="center"/>
            <w:tcMar>
              <w:top w:w="80" w:type="dxa"/>
              <w:bottom w:w="80" w:type="dxa"/>
              <w:left w:w="95" w:type="dxa"/>
              <w:right w:w="95" w:type="dxa"/>
            </w:tcMar>
            <w:shd w:fill="243F52"/>
          </w:tcPr>
          <w:p>
            <w:pPr>
              <w:spacing w:after="0" w:line="250" w:lineRule="auto"/>
            </w:pPr>
            <w:r>
              <w:rPr>
                <w:b/>
                <w:color w:val="FFFFFF"/>
                <w:sz w:val="18"/>
              </w:rPr>
              <w:t>Evaluation purpose</w:t>
            </w:r>
          </w:p>
        </w:tc>
      </w:tr>
      <w:tr>
        <w:trPr>
          <w:cantSplit/>
        </w:trPr>
        <w:tc>
          <w:tcPr>
            <w:tcW w:type="dxa" w:w="2304"/>
            <w:vAlign w:val="center"/>
            <w:tcMar>
              <w:top w:w="80" w:type="dxa"/>
              <w:bottom w:w="80" w:type="dxa"/>
              <w:left w:w="95" w:type="dxa"/>
              <w:right w:w="95" w:type="dxa"/>
            </w:tcMar>
            <w:shd w:fill="FFFFFF"/>
          </w:tcPr>
          <w:p>
            <w:pPr>
              <w:spacing w:after="0" w:line="250" w:lineRule="auto"/>
            </w:pPr>
            <w:r>
              <w:rPr>
                <w:b w:val="0"/>
                <w:color w:val="000000"/>
                <w:sz w:val="18"/>
              </w:rPr>
              <w:t>Provider slowdown and retry cascade</w:t>
            </w:r>
          </w:p>
        </w:tc>
        <w:tc>
          <w:tcPr>
            <w:tcW w:type="dxa" w:w="3773"/>
            <w:vAlign w:val="center"/>
            <w:tcMar>
              <w:top w:w="80" w:type="dxa"/>
              <w:bottom w:w="80" w:type="dxa"/>
              <w:left w:w="95" w:type="dxa"/>
              <w:right w:w="95" w:type="dxa"/>
            </w:tcMar>
            <w:shd w:fill="FFFFFF"/>
          </w:tcPr>
          <w:p>
            <w:pPr>
              <w:spacing w:after="0" w:line="250" w:lineRule="auto"/>
            </w:pPr>
            <w:r>
              <w:rPr>
                <w:b w:val="0"/>
                <w:color w:val="000000"/>
                <w:sz w:val="18"/>
              </w:rPr>
              <w:t>Inspect upstream duration, retries and queue; cap simulated retries; verify</w:t>
            </w:r>
          </w:p>
        </w:tc>
        <w:tc>
          <w:tcPr>
            <w:tcW w:type="dxa" w:w="3816"/>
            <w:vAlign w:val="center"/>
            <w:tcMar>
              <w:top w:w="80" w:type="dxa"/>
              <w:bottom w:w="80" w:type="dxa"/>
              <w:left w:w="95" w:type="dxa"/>
              <w:right w:w="95" w:type="dxa"/>
            </w:tcMar>
            <w:shd w:fill="FFFFFF"/>
          </w:tcPr>
          <w:p>
            <w:pPr>
              <w:spacing w:after="0" w:line="250" w:lineRule="auto"/>
            </w:pPr>
            <w:r>
              <w:rPr>
                <w:b w:val="0"/>
                <w:color w:val="000000"/>
                <w:sz w:val="18"/>
              </w:rPr>
              <w:t>Primary preventive workflow</w:t>
            </w:r>
          </w:p>
        </w:tc>
      </w:tr>
      <w:tr>
        <w:trPr>
          <w:cantSplit/>
        </w:trPr>
        <w:tc>
          <w:tcPr>
            <w:tcW w:type="dxa" w:w="2304"/>
            <w:vAlign w:val="center"/>
            <w:tcMar>
              <w:top w:w="80" w:type="dxa"/>
              <w:bottom w:w="80" w:type="dxa"/>
              <w:left w:w="95" w:type="dxa"/>
              <w:right w:w="95" w:type="dxa"/>
            </w:tcMar>
            <w:shd w:fill="F2F5F7"/>
          </w:tcPr>
          <w:p>
            <w:pPr>
              <w:spacing w:after="0" w:line="250" w:lineRule="auto"/>
            </w:pPr>
            <w:r>
              <w:rPr>
                <w:b w:val="0"/>
                <w:color w:val="000000"/>
                <w:sz w:val="18"/>
              </w:rPr>
              <w:t>Worker capacity loss</w:t>
            </w:r>
          </w:p>
        </w:tc>
        <w:tc>
          <w:tcPr>
            <w:tcW w:type="dxa" w:w="3773"/>
            <w:vAlign w:val="center"/>
            <w:tcMar>
              <w:top w:w="80" w:type="dxa"/>
              <w:bottom w:w="80" w:type="dxa"/>
              <w:left w:w="95" w:type="dxa"/>
              <w:right w:w="95" w:type="dxa"/>
            </w:tcMar>
            <w:shd w:fill="F2F5F7"/>
          </w:tcPr>
          <w:p>
            <w:pPr>
              <w:spacing w:after="0" w:line="250" w:lineRule="auto"/>
            </w:pPr>
            <w:r>
              <w:rPr>
                <w:b w:val="0"/>
                <w:color w:val="000000"/>
                <w:sz w:val="18"/>
              </w:rPr>
              <w:t>Normal upstream evidence challenges provider hypothesis; retry cap may only partly help</w:t>
            </w:r>
          </w:p>
        </w:tc>
        <w:tc>
          <w:tcPr>
            <w:tcW w:type="dxa" w:w="3816"/>
            <w:vAlign w:val="center"/>
            <w:tcMar>
              <w:top w:w="80" w:type="dxa"/>
              <w:bottom w:w="80" w:type="dxa"/>
              <w:left w:w="95" w:type="dxa"/>
              <w:right w:w="95" w:type="dxa"/>
            </w:tcMar>
            <w:shd w:fill="F2F5F7"/>
          </w:tcPr>
          <w:p>
            <w:pPr>
              <w:spacing w:after="0" w:line="250" w:lineRule="auto"/>
            </w:pPr>
            <w:r>
              <w:rPr>
                <w:b w:val="0"/>
                <w:color w:val="000000"/>
                <w:sz w:val="18"/>
              </w:rPr>
              <w:t>Re-planning and failed-action escalation</w:t>
            </w:r>
          </w:p>
        </w:tc>
      </w:tr>
      <w:tr>
        <w:trPr>
          <w:cantSplit/>
        </w:trPr>
        <w:tc>
          <w:tcPr>
            <w:tcW w:type="dxa" w:w="2304"/>
            <w:vAlign w:val="center"/>
            <w:tcMar>
              <w:top w:w="80" w:type="dxa"/>
              <w:bottom w:w="80" w:type="dxa"/>
              <w:left w:w="95" w:type="dxa"/>
              <w:right w:w="95" w:type="dxa"/>
            </w:tcMar>
            <w:shd w:fill="FFFFFF"/>
          </w:tcPr>
          <w:p>
            <w:pPr>
              <w:spacing w:after="0" w:line="250" w:lineRule="auto"/>
            </w:pPr>
            <w:r>
              <w:rPr>
                <w:b w:val="0"/>
                <w:color w:val="000000"/>
                <w:sz w:val="18"/>
              </w:rPr>
              <w:t>Capacity-matched demand surge</w:t>
            </w:r>
          </w:p>
        </w:tc>
        <w:tc>
          <w:tcPr>
            <w:tcW w:type="dxa" w:w="3773"/>
            <w:vAlign w:val="center"/>
            <w:tcMar>
              <w:top w:w="80" w:type="dxa"/>
              <w:bottom w:w="80" w:type="dxa"/>
              <w:left w:w="95" w:type="dxa"/>
              <w:right w:w="95" w:type="dxa"/>
            </w:tcMar>
            <w:shd w:fill="FFFFFF"/>
          </w:tcPr>
          <w:p>
            <w:pPr>
              <w:spacing w:after="0" w:line="250" w:lineRule="auto"/>
            </w:pPr>
            <w:r>
              <w:rPr>
                <w:b w:val="0"/>
                <w:color w:val="000000"/>
                <w:sz w:val="18"/>
              </w:rPr>
              <w:t>Traffic rises, backlog remains controlled; observe</w:t>
            </w:r>
          </w:p>
        </w:tc>
        <w:tc>
          <w:tcPr>
            <w:tcW w:type="dxa" w:w="3816"/>
            <w:vAlign w:val="center"/>
            <w:tcMar>
              <w:top w:w="80" w:type="dxa"/>
              <w:bottom w:w="80" w:type="dxa"/>
              <w:left w:w="95" w:type="dxa"/>
              <w:right w:w="95" w:type="dxa"/>
            </w:tcMar>
            <w:shd w:fill="FFFFFF"/>
          </w:tcPr>
          <w:p>
            <w:pPr>
              <w:spacing w:after="0" w:line="250" w:lineRule="auto"/>
            </w:pPr>
            <w:r>
              <w:rPr>
                <w:b w:val="0"/>
                <w:color w:val="000000"/>
                <w:sz w:val="18"/>
              </w:rPr>
              <w:t>Basic negative case</w:t>
            </w:r>
          </w:p>
        </w:tc>
      </w:tr>
      <w:tr>
        <w:trPr>
          <w:cantSplit/>
        </w:trPr>
        <w:tc>
          <w:tcPr>
            <w:tcW w:type="dxa" w:w="2304"/>
            <w:vAlign w:val="center"/>
            <w:tcMar>
              <w:top w:w="80" w:type="dxa"/>
              <w:bottom w:w="80" w:type="dxa"/>
              <w:left w:w="95" w:type="dxa"/>
              <w:right w:w="95" w:type="dxa"/>
            </w:tcMar>
            <w:shd w:fill="F2F5F7"/>
          </w:tcPr>
          <w:p>
            <w:pPr>
              <w:spacing w:after="0" w:line="250" w:lineRule="auto"/>
            </w:pPr>
            <w:r>
              <w:rPr>
                <w:b w:val="0"/>
                <w:color w:val="000000"/>
                <w:sz w:val="18"/>
              </w:rPr>
              <w:t>Correlated surge with temporary queue growth</w:t>
            </w:r>
          </w:p>
        </w:tc>
        <w:tc>
          <w:tcPr>
            <w:tcW w:type="dxa" w:w="3773"/>
            <w:vAlign w:val="center"/>
            <w:tcMar>
              <w:top w:w="80" w:type="dxa"/>
              <w:bottom w:w="80" w:type="dxa"/>
              <w:left w:w="95" w:type="dxa"/>
              <w:right w:w="95" w:type="dxa"/>
            </w:tcMar>
            <w:shd w:fill="F2F5F7"/>
          </w:tcPr>
          <w:p>
            <w:pPr>
              <w:spacing w:after="0" w:line="250" w:lineRule="auto"/>
            </w:pPr>
            <w:r>
              <w:rPr>
                <w:b w:val="0"/>
                <w:color w:val="000000"/>
                <w:sz w:val="18"/>
              </w:rPr>
              <w:t>Several signals rise but later recover; a calendar entry alone cannot dismiss</w:t>
            </w:r>
          </w:p>
        </w:tc>
        <w:tc>
          <w:tcPr>
            <w:tcW w:type="dxa" w:w="3816"/>
            <w:vAlign w:val="center"/>
            <w:tcMar>
              <w:top w:w="80" w:type="dxa"/>
              <w:bottom w:w="80" w:type="dxa"/>
              <w:left w:w="95" w:type="dxa"/>
              <w:right w:w="95" w:type="dxa"/>
            </w:tcMar>
            <w:shd w:fill="F2F5F7"/>
          </w:tcPr>
          <w:p>
            <w:pPr>
              <w:spacing w:after="0" w:line="250" w:lineRule="auto"/>
            </w:pPr>
            <w:r>
              <w:rPr>
                <w:b w:val="0"/>
                <w:color w:val="000000"/>
                <w:sz w:val="18"/>
              </w:rPr>
              <w:t>Hard negative, not yet evaluated</w:t>
            </w:r>
          </w:p>
        </w:tc>
      </w:tr>
      <w:tr>
        <w:trPr>
          <w:cantSplit/>
        </w:trPr>
        <w:tc>
          <w:tcPr>
            <w:tcW w:type="dxa" w:w="2304"/>
            <w:vAlign w:val="center"/>
            <w:tcMar>
              <w:top w:w="80" w:type="dxa"/>
              <w:bottom w:w="80" w:type="dxa"/>
              <w:left w:w="95" w:type="dxa"/>
              <w:right w:w="95" w:type="dxa"/>
            </w:tcMar>
            <w:shd w:fill="FFFFFF"/>
          </w:tcPr>
          <w:p>
            <w:pPr>
              <w:spacing w:after="0" w:line="250" w:lineRule="auto"/>
            </w:pPr>
            <w:r>
              <w:rPr>
                <w:b w:val="0"/>
                <w:color w:val="000000"/>
                <w:sz w:val="18"/>
              </w:rPr>
              <w:t>Fault during a scheduled deploy or campaign</w:t>
            </w:r>
          </w:p>
        </w:tc>
        <w:tc>
          <w:tcPr>
            <w:tcW w:type="dxa" w:w="3773"/>
            <w:vAlign w:val="center"/>
            <w:tcMar>
              <w:top w:w="80" w:type="dxa"/>
              <w:bottom w:w="80" w:type="dxa"/>
              <w:left w:w="95" w:type="dxa"/>
              <w:right w:w="95" w:type="dxa"/>
            </w:tcMar>
            <w:shd w:fill="FFFFFF"/>
          </w:tcPr>
          <w:p>
            <w:pPr>
              <w:spacing w:after="0" w:line="250" w:lineRule="auto"/>
            </w:pPr>
            <w:r>
              <w:rPr>
                <w:b w:val="0"/>
                <w:color w:val="000000"/>
                <w:sz w:val="18"/>
              </w:rPr>
              <w:t>Inspect persistent bad outcomes despite an apparently benign context</w:t>
            </w:r>
          </w:p>
        </w:tc>
        <w:tc>
          <w:tcPr>
            <w:tcW w:type="dxa" w:w="3816"/>
            <w:vAlign w:val="center"/>
            <w:tcMar>
              <w:top w:w="80" w:type="dxa"/>
              <w:bottom w:w="80" w:type="dxa"/>
              <w:left w:w="95" w:type="dxa"/>
              <w:right w:w="95" w:type="dxa"/>
            </w:tcMar>
            <w:shd w:fill="FFFFFF"/>
          </w:tcPr>
          <w:p>
            <w:pPr>
              <w:spacing w:after="0" w:line="250" w:lineRule="auto"/>
            </w:pPr>
            <w:r>
              <w:rPr>
                <w:b w:val="0"/>
                <w:color w:val="000000"/>
                <w:sz w:val="18"/>
              </w:rPr>
              <w:t>Confounded positive, not yet evaluated</w:t>
            </w:r>
          </w:p>
        </w:tc>
      </w:tr>
      <w:tr>
        <w:trPr>
          <w:cantSplit/>
        </w:trPr>
        <w:tc>
          <w:tcPr>
            <w:tcW w:type="dxa" w:w="2304"/>
            <w:vAlign w:val="center"/>
            <w:tcMar>
              <w:top w:w="80" w:type="dxa"/>
              <w:bottom w:w="80" w:type="dxa"/>
              <w:left w:w="95" w:type="dxa"/>
              <w:right w:w="95" w:type="dxa"/>
            </w:tcMar>
            <w:shd w:fill="F2F5F7"/>
          </w:tcPr>
          <w:p>
            <w:pPr>
              <w:spacing w:after="0" w:line="250" w:lineRule="auto"/>
            </w:pPr>
            <w:r>
              <w:rPr>
                <w:b w:val="0"/>
                <w:color w:val="000000"/>
                <w:sz w:val="18"/>
              </w:rPr>
              <w:t>Abrupt failure without precursors</w:t>
            </w:r>
          </w:p>
        </w:tc>
        <w:tc>
          <w:tcPr>
            <w:tcW w:type="dxa" w:w="3773"/>
            <w:vAlign w:val="center"/>
            <w:tcMar>
              <w:top w:w="80" w:type="dxa"/>
              <w:bottom w:w="80" w:type="dxa"/>
              <w:left w:w="95" w:type="dxa"/>
              <w:right w:w="95" w:type="dxa"/>
            </w:tcMar>
            <w:shd w:fill="F2F5F7"/>
          </w:tcPr>
          <w:p>
            <w:pPr>
              <w:spacing w:after="0" w:line="250" w:lineRule="auto"/>
            </w:pPr>
            <w:r>
              <w:rPr>
                <w:b w:val="0"/>
                <w:color w:val="000000"/>
                <w:sz w:val="18"/>
              </w:rPr>
              <w:t>Prompt reactive alert; no claim that every incident has warning opportunity</w:t>
            </w:r>
          </w:p>
        </w:tc>
        <w:tc>
          <w:tcPr>
            <w:tcW w:type="dxa" w:w="3816"/>
            <w:vAlign w:val="center"/>
            <w:tcMar>
              <w:top w:w="80" w:type="dxa"/>
              <w:bottom w:w="80" w:type="dxa"/>
              <w:left w:w="95" w:type="dxa"/>
              <w:right w:w="95" w:type="dxa"/>
            </w:tcMar>
            <w:shd w:fill="F2F5F7"/>
          </w:tcPr>
          <w:p>
            <w:pPr>
              <w:spacing w:after="0" w:line="250" w:lineRule="auto"/>
            </w:pPr>
            <w:r>
              <w:rPr>
                <w:b w:val="0"/>
                <w:color w:val="000000"/>
                <w:sz w:val="18"/>
              </w:rPr>
              <w:t>Stress test, not yet evaluated</w:t>
            </w:r>
          </w:p>
        </w:tc>
      </w:tr>
      <w:tr>
        <w:trPr>
          <w:cantSplit/>
        </w:trPr>
        <w:tc>
          <w:tcPr>
            <w:tcW w:type="dxa" w:w="2304"/>
            <w:vAlign w:val="center"/>
            <w:tcMar>
              <w:top w:w="80" w:type="dxa"/>
              <w:bottom w:w="80" w:type="dxa"/>
              <w:left w:w="95" w:type="dxa"/>
              <w:right w:w="95" w:type="dxa"/>
            </w:tcMar>
            <w:shd w:fill="FFFFFF"/>
          </w:tcPr>
          <w:p>
            <w:pPr>
              <w:spacing w:after="0" w:line="250" w:lineRule="auto"/>
            </w:pPr>
            <w:r>
              <w:rPr>
                <w:b w:val="0"/>
                <w:color w:val="000000"/>
                <w:sz w:val="18"/>
              </w:rPr>
              <w:t>Slowdown that never reaches the incident boundary</w:t>
            </w:r>
          </w:p>
        </w:tc>
        <w:tc>
          <w:tcPr>
            <w:tcW w:type="dxa" w:w="3773"/>
            <w:vAlign w:val="center"/>
            <w:tcMar>
              <w:top w:w="80" w:type="dxa"/>
              <w:bottom w:w="80" w:type="dxa"/>
              <w:left w:w="95" w:type="dxa"/>
              <w:right w:w="95" w:type="dxa"/>
            </w:tcMar>
            <w:shd w:fill="FFFFFF"/>
          </w:tcPr>
          <w:p>
            <w:pPr>
              <w:spacing w:after="0" w:line="250" w:lineRule="auto"/>
            </w:pPr>
            <w:r>
              <w:rPr>
                <w:b w:val="0"/>
                <w:color w:val="000000"/>
                <w:sz w:val="18"/>
              </w:rPr>
              <w:t>Watch or low-priority ticket; score false warnings honestly</w:t>
            </w:r>
          </w:p>
        </w:tc>
        <w:tc>
          <w:tcPr>
            <w:tcW w:type="dxa" w:w="3816"/>
            <w:vAlign w:val="center"/>
            <w:tcMar>
              <w:top w:w="80" w:type="dxa"/>
              <w:bottom w:w="80" w:type="dxa"/>
              <w:left w:w="95" w:type="dxa"/>
              <w:right w:w="95" w:type="dxa"/>
            </w:tcMar>
            <w:shd w:fill="FFFFFF"/>
          </w:tcPr>
          <w:p>
            <w:pPr>
              <w:spacing w:after="0" w:line="250" w:lineRule="auto"/>
            </w:pPr>
            <w:r>
              <w:rPr>
                <w:b w:val="0"/>
                <w:color w:val="000000"/>
                <w:sz w:val="18"/>
              </w:rPr>
              <w:t>Boundary ambiguity</w:t>
            </w:r>
          </w:p>
        </w:tc>
      </w:tr>
      <w:tr>
        <w:trPr>
          <w:cantSplit/>
        </w:trPr>
        <w:tc>
          <w:tcPr>
            <w:tcW w:type="dxa" w:w="2304"/>
            <w:vAlign w:val="center"/>
            <w:tcMar>
              <w:top w:w="80" w:type="dxa"/>
              <w:bottom w:w="80" w:type="dxa"/>
              <w:left w:w="95" w:type="dxa"/>
              <w:right w:w="95" w:type="dxa"/>
            </w:tcMar>
            <w:shd w:fill="F2F5F7"/>
          </w:tcPr>
          <w:p>
            <w:pPr>
              <w:spacing w:after="0" w:line="250" w:lineRule="auto"/>
            </w:pPr>
            <w:r>
              <w:rPr>
                <w:b w:val="0"/>
                <w:color w:val="000000"/>
                <w:sz w:val="18"/>
              </w:rPr>
              <w:t>Sparse segment or missing/stale telemetry</w:t>
            </w:r>
          </w:p>
        </w:tc>
        <w:tc>
          <w:tcPr>
            <w:tcW w:type="dxa" w:w="3773"/>
            <w:vAlign w:val="center"/>
            <w:tcMar>
              <w:top w:w="80" w:type="dxa"/>
              <w:bottom w:w="80" w:type="dxa"/>
              <w:left w:w="95" w:type="dxa"/>
              <w:right w:w="95" w:type="dxa"/>
            </w:tcMar>
            <w:shd w:fill="F2F5F7"/>
          </w:tcPr>
          <w:p>
            <w:pPr>
              <w:spacing w:after="0" w:line="250" w:lineRule="auto"/>
            </w:pPr>
            <w:r>
              <w:rPr>
                <w:b w:val="0"/>
                <w:color w:val="000000"/>
                <w:sz w:val="18"/>
              </w:rPr>
              <w:t>Aggregate carefully or abstain; no fabricated certainty</w:t>
            </w:r>
          </w:p>
        </w:tc>
        <w:tc>
          <w:tcPr>
            <w:tcW w:type="dxa" w:w="3816"/>
            <w:vAlign w:val="center"/>
            <w:tcMar>
              <w:top w:w="80" w:type="dxa"/>
              <w:bottom w:w="80" w:type="dxa"/>
              <w:left w:w="95" w:type="dxa"/>
              <w:right w:w="95" w:type="dxa"/>
            </w:tcMar>
            <w:shd w:fill="F2F5F7"/>
          </w:tcPr>
          <w:p>
            <w:pPr>
              <w:spacing w:after="0" w:line="250" w:lineRule="auto"/>
            </w:pPr>
            <w:r>
              <w:rPr>
                <w:b w:val="0"/>
                <w:color w:val="000000"/>
                <w:sz w:val="18"/>
              </w:rPr>
              <w:t>Reliability and denominator checks</w:t>
            </w:r>
          </w:p>
        </w:tc>
      </w:tr>
    </w:tbl>
    <w:p>
      <w:pPr>
        <w:spacing w:after="20" w:before="0" w:line="96" w:lineRule="auto"/>
      </w:pPr>
      <w:r>
        <w:rPr>
          <w:sz w:val="4"/>
        </w:rPr>
      </w:r>
    </w:p>
    <w:p>
      <w:r>
        <w:rPr>
          <w:b w:val="0"/>
        </w:rPr>
        <w:t>Generate hard negatives using the same demand, capacity and retry mechanisms as positive cases. Do not give every incident an obvious ramp and every negative an isolated spike. Do not tune incident prevalence or onset so that a chosen baseline must reproduce the original 56% precision. Baseline performance on new data is an outcome to measure.</w:t>
      </w:r>
    </w:p>
    <w:p>
      <w:r>
        <w:rPr>
          <w:b w:val="0"/>
        </w:rPr>
        <w:t>Do not invent postmortems for the 28 original flags. Seed 8–12 explicitly synthetic training histories with verified injected cause, action and outcome. Exclude future resolutions and all final-test case text from retrieval. Logs should describe observable symptoms; logs containing the hidden cause word-for-word can make root-cause evaluation trivial.</w:t>
      </w:r>
    </w:p>
    <w:p>
      <w:r>
        <w:rPr>
          <w:b w:val="0"/>
        </w:rPr>
        <w:t>Before freezing an expanded test suite, select thresholds on validation, version the generator and include abrupt, recovering, contradictory and no-history cases. Existing final-test results stay archived. Any changes motivated by their failures require a new held-out suite.</w:t>
      </w:r>
    </w:p>
    <w:p>
      <w:r>
        <w:br w:type="page"/>
      </w:r>
    </w:p>
    <w:p>
      <w:pPr>
        <w:pStyle w:val="Heading1"/>
      </w:pPr>
      <w:r>
        <w:rPr>
          <w:b w:val="0"/>
        </w:rPr>
        <w:t>6 Detection design and segment extension</w:t>
      </w:r>
    </w:p>
    <w:p>
      <w:r>
        <w:rPr>
          <w:b w:val="0"/>
        </w:rPr>
        <w:t>Keep deterministic numerical detection separate from language reasoning. The first application detector should reproduce the existing statistical experiment exactly before adding forecasting, segments or a challenger. Every addition needs a controlled comparison; none automatically replaces the baseline.</w:t>
      </w:r>
    </w:p>
    <w:p>
      <w:r>
        <w:rPr>
          <w:b w:val="0"/>
        </w:rPr>
        <w:t>The current statistical rule uses a 30-window healthy warmup, robust latency deviation based on median/MAD, retry fraction, queue wait and queue growth. Validation selected z = 6. A signal persists for three windows and requires either elevated latency deviation plus retries above 0.08 and queue wait above 20 seconds, or three-minute queue growth above 2 attempts/second with queue wait above 20 seconds. These are simulator-specific settings, not recommended universal payment limits. [S3]</w:t>
      </w:r>
    </w:p>
    <w:p>
      <w:pPr>
        <w:pStyle w:val="Heading2"/>
      </w:pPr>
      <w:r>
        <w:rPr>
          <w:b w:val="0"/>
        </w:rPr>
        <w:t>Direction and count semantics</w:t>
      </w:r>
    </w:p>
    <w:p>
      <w:r>
        <w:rPr>
          <w:b w:val="0"/>
        </w:rPr>
        <w:t>For a documented higher-is-bad metric, value/threshold can express relative load. For a success fraction p with SLO floor f, (1−p)/(1−f) expresses the failure fraction relative to its allowance. It is not a complete time-based error-budget-consumption measure. Undefined units or a zero denominator must produce an invalid/unknown state.</w:t>
      </w:r>
    </w:p>
    <w:p>
      <w:r>
        <w:rPr>
          <w:b w:val="0"/>
        </w:rPr>
        <w:t>Adopt Sentinel's segment insight when counts exist: show provider-level attempts, failures, duration and queue contribution alongside the aggregate. Never invent segment identities for original records. For a binomial metric, retain n_total and n_bad, validate 0 ≤ n_bad ≤ n_total, and compare against a stated reference failure probability.</w:t>
      </w:r>
    </w:p>
    <w:p>
      <w:r>
        <w:rPr>
          <w:b w:val="0"/>
        </w:rPr>
        <w:t>A one-sided binomial test gives p about 0.0776 for one failure in four attempts against a 2% reference, versus about 8.0×10⁻¹¹ for 40 failures in 600. A proposed 0.001 threshold and minimum sample size need validation across repeated overlapping windows and multiple segments. Low volume should trigger longer bounded aggregation or “insufficient evidence,” not permanent silence. Correlated retries violate naive independent-trial assumptions; unique request outcomes or overdispersion-aware methods are preferable.</w:t>
      </w:r>
    </w:p>
    <w:p>
      <w:pPr>
        <w:pStyle w:val="Heading2"/>
      </w:pPr>
      <w:r>
        <w:rPr>
          <w:b w:val="0"/>
        </w:rPr>
        <w:t>Forecasting as a tested extension</w:t>
      </w:r>
    </w:p>
    <w:p>
      <w:r>
        <w:rPr>
          <w:b w:val="0"/>
        </w:rPr>
        <w:t xml:space="preserve">A stable past-only EWMA or Holt trend can estimate time to a </w:t>
      </w:r>
      <w:r>
        <w:rPr>
          <w:b/>
        </w:rPr>
        <w:t>defined service boundary</w:t>
      </w:r>
      <w:r>
        <w:rPr>
          <w:b w:val="0"/>
        </w:rPr>
        <w:t>, with null output during cold start, flat/recovering trend or unstable fit. Do not target the arbitrary original 0.95 label band as a universal incident onset. Validate forecast error and empirical interval coverage; a formula such as sigma×sqrt(h) is not automatically a calibrated prediction interval. No countdown appears when evidence does not support an ETA.</w:t>
      </w:r>
    </w:p>
    <w:p>
      <w:r>
        <w:rPr>
          <w:b w:val="0"/>
        </w:rPr>
        <w:t>Compare against a tuned conventional threshold/SLO rule and, if time permits, EWMA. The agent may enrich, watch or challenge a statistical candidate. It must not suppress a fresh hard service breach simply because a model says “benign.”</w:t>
      </w:r>
    </w:p>
    <w:p>
      <w:r>
        <w:br w:type="page"/>
      </w:r>
    </w:p>
    <w:p>
      <w:pPr>
        <w:pStyle w:val="Heading1"/>
      </w:pPr>
      <w:r>
        <w:rPr>
          <w:b w:val="0"/>
        </w:rPr>
        <w:t>7 Agent control and self correction</w:t>
      </w:r>
    </w:p>
    <w:p>
      <w:r>
        <w:rPr>
          <w:b w:val="0"/>
        </w:rPr>
        <w:t xml:space="preserve">Use one </w:t>
      </w:r>
      <w:r>
        <w:rPr>
          <w:b/>
        </w:rPr>
        <w:t>Commander</w:t>
      </w:r>
      <w:r>
        <w:rPr>
          <w:b w:val="0"/>
        </w:rPr>
        <w:t xml:space="preserve"> with metric, log/context, dependency, history and runbook tools. Its goal is to assess a named incident risk and select the next permitted step. Use one bounded </w:t>
      </w:r>
      <w:r>
        <w:rPr>
          <w:b/>
        </w:rPr>
        <w:t>Challenger</w:t>
      </w:r>
      <w:r>
        <w:rPr>
          <w:b w:val="0"/>
        </w:rPr>
        <w:t xml:space="preserve"> with a separate prompt and structured counterevidence objective. The Commander keeps ownership; the challenger returns evidence and a recommendation, never execution authority.</w:t>
      </w:r>
    </w:p>
    <w:p>
      <w:r>
        <w:rPr>
          <w:b w:val="0"/>
        </w:rPr>
        <w:t>This preserves Foresight's planning and Sentinel's skeptical review without seven autonomous model loops. Retrieval, summary rendering, ticket delivery, policy enforcement and verification are deterministic components. Prefer the OpenAI Agents SDK if the team can smoke-test and pin it quickly; an existing tested Responses-based tool loop is an acceptable fallback. Do not build and debug two runtimes. Storage, approval and authorization still belong to the application. [S4, S5]</w:t>
      </w:r>
    </w:p>
    <w:p>
      <w:pPr>
        <w:pStyle w:val="Heading2"/>
      </w:pPr>
      <w:r>
        <w:rPr>
          <w:b w:val="0"/>
        </w:rPr>
        <w:t>Observable incident cycle</w:t>
      </w:r>
    </w:p>
    <w:p>
      <w:pPr>
        <w:pStyle w:val="ListNumber"/>
        <w:numPr>
          <w:ilvl w:val="0"/>
          <w:numId w:val="11"/>
        </w:numPr>
      </w:pPr>
      <w:r>
        <w:rPr>
          <w:b w:val="0"/>
        </w:rPr>
        <w:t>Open one candidate episode with fresh evidence and an explicit goal.</w:t>
      </w:r>
    </w:p>
    <w:p>
      <w:pPr>
        <w:pStyle w:val="ListNumber"/>
        <w:numPr>
          <w:ilvl w:val="0"/>
          <w:numId w:val="11"/>
        </w:numPr>
      </w:pPr>
      <w:r>
        <w:rPr>
          <w:b w:val="0"/>
        </w:rPr>
        <w:t>Commander records a short plan and chooses the most discriminating tool.</w:t>
      </w:r>
    </w:p>
    <w:p>
      <w:pPr>
        <w:pStyle w:val="ListNumber"/>
        <w:numPr>
          <w:ilvl w:val="0"/>
          <w:numId w:val="11"/>
        </w:numPr>
      </w:pPr>
      <w:r>
        <w:rPr>
          <w:b w:val="0"/>
        </w:rPr>
        <w:t>Tools return scoped evidence IDs, observation windows, units and freshness.</w:t>
      </w:r>
    </w:p>
    <w:p>
      <w:pPr>
        <w:pStyle w:val="ListNumber"/>
        <w:numPr>
          <w:ilvl w:val="0"/>
          <w:numId w:val="11"/>
        </w:numPr>
      </w:pPr>
      <w:r>
        <w:rPr>
          <w:b w:val="0"/>
        </w:rPr>
        <w:t>Commander forms competing hypotheses; challenger checks contradictory telemetry, changes and normal explanations.</w:t>
      </w:r>
    </w:p>
    <w:p>
      <w:pPr>
        <w:pStyle w:val="ListNumber"/>
        <w:numPr>
          <w:ilvl w:val="0"/>
          <w:numId w:val="11"/>
        </w:numPr>
      </w:pPr>
      <w:r>
        <w:rPr>
          <w:b w:val="0"/>
        </w:rPr>
        <w:t>Conflicting evidence prompts a revised plan. Weak evidence becomes a durable watch, not an indefinite model loop.</w:t>
      </w:r>
    </w:p>
    <w:p>
      <w:pPr>
        <w:pStyle w:val="ListNumber"/>
        <w:numPr>
          <w:ilvl w:val="0"/>
          <w:numId w:val="11"/>
        </w:numPr>
      </w:pPr>
      <w:r>
        <w:rPr>
          <w:b w:val="0"/>
        </w:rPr>
        <w:t>Validated assessment reaches policy. Allowed internal actions execute; optional sandbox changes follow the required approval mode.</w:t>
      </w:r>
    </w:p>
    <w:p>
      <w:pPr>
        <w:pStyle w:val="ListNumber"/>
        <w:numPr>
          <w:ilvl w:val="0"/>
          <w:numId w:val="11"/>
        </w:numPr>
      </w:pPr>
      <w:r>
        <w:rPr>
          <w:b w:val="0"/>
        </w:rPr>
        <w:t>Fresh post-action observations determine verified, failed or inconclusive. Failure may trigger one revised diagnostic and escalation.</w:t>
      </w:r>
    </w:p>
    <w:p>
      <w:r>
        <w:rPr>
          <w:b w:val="0"/>
        </w:rPr>
        <w:t>Example: latency and backlog initially suggest the provider. A provider-span tool shows stable upstream duration while workers slowed after a deployment. The Commander revises toward capacity regression rather than repeating the first diagnosis. A deploy event is relevant context, not an automatic benign explanation.</w:t>
      </w:r>
    </w:p>
    <w:p>
      <w:pPr>
        <w:pStyle w:val="Heading2"/>
      </w:pPr>
      <w:r>
        <w:rPr>
          <w:b w:val="0"/>
        </w:rPr>
        <w:t>Code enforced limits</w:t>
      </w:r>
    </w:p>
    <w:p>
      <w:r>
        <w:rPr>
          <w:b w:val="0"/>
        </w:rPr>
        <w:t>One active investigation lease per episode; a global incident-cycle budget of four model requests, eight read-tool calls and 60 seconds, including specialist work, retries and output repair. At most two durable watches per episode; each resumes only when due and fresh data is present. At most one sandbox intervention plus one rollback per episode. Enforce a global concurrency/token ceiling.</w:t>
      </w:r>
    </w:p>
    <w:p>
      <w:r>
        <w:rPr>
          <w:b w:val="0"/>
        </w:rPr>
        <w:t>The challenger runs before a model-enriched discretionary page or remediation recommendation. A hard breach or model failure follows the deterministic alert path immediately; it never waits for an LLM verdict. Suppression needs supported benign evidence and nonworsening outcomes. ETA becoming null alone does not prove recovery: it can also mean missing data or invalid fit.</w:t>
      </w:r>
    </w:p>
    <w:p>
      <w:r>
        <w:rPr>
          <w:b w:val="0"/>
        </w:rPr>
        <w:t>Display goals, plan versions, tool choices, evidence, concise decision reasons and policy outcomes. Do not store or expose hidden chain-of-thought. Model confidence is an uncalibrated judgment unless separately calibrated; use evidence grades and explicit uncertainty in the interface.</w:t>
      </w:r>
    </w:p>
    <w:p>
      <w:r>
        <w:br w:type="page"/>
      </w:r>
    </w:p>
    <w:p>
      <w:pPr>
        <w:pStyle w:val="Heading1"/>
      </w:pPr>
      <w:r>
        <w:rPr>
          <w:b w:val="0"/>
        </w:rPr>
        <w:t>8 Grounding and historical correlation</w:t>
      </w:r>
    </w:p>
    <w:p>
      <w:r>
        <w:rPr>
          <w:b w:val="0"/>
        </w:rPr>
        <w:t>Every tool result carries a stable evidence ID, source and observation time. Numeric evidence also carries metric name, unit, window and completeness. Tools accept a scoped incident service set, bounded lookback and current event-time cutoff. Neither free-text logs nor retrieved documents can override instructions, authorize an action or expand scope.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7"/>
        <w:gridCol w:w="7416"/>
      </w:tblGrid>
      <w:tr>
        <w:trPr>
          <w:cantSplit/>
          <w:tblHeader/>
        </w:trPr>
        <w:tc>
          <w:tcPr>
            <w:tcW w:type="dxa" w:w="2477"/>
            <w:vAlign w:val="center"/>
            <w:tcMar>
              <w:top w:w="80" w:type="dxa"/>
              <w:bottom w:w="80" w:type="dxa"/>
              <w:left w:w="95" w:type="dxa"/>
              <w:right w:w="95" w:type="dxa"/>
            </w:tcMar>
            <w:shd w:fill="243F52"/>
          </w:tcPr>
          <w:p>
            <w:pPr>
              <w:spacing w:after="0" w:line="250" w:lineRule="auto"/>
            </w:pPr>
            <w:r>
              <w:rPr>
                <w:b/>
                <w:color w:val="FFFFFF"/>
                <w:sz w:val="18"/>
              </w:rPr>
              <w:t>Tool</w:t>
            </w:r>
          </w:p>
        </w:tc>
        <w:tc>
          <w:tcPr>
            <w:tcW w:type="dxa" w:w="7416"/>
            <w:vAlign w:val="center"/>
            <w:tcMar>
              <w:top w:w="80" w:type="dxa"/>
              <w:bottom w:w="80" w:type="dxa"/>
              <w:left w:w="95" w:type="dxa"/>
              <w:right w:w="95" w:type="dxa"/>
            </w:tcMar>
            <w:shd w:fill="243F52"/>
          </w:tcPr>
          <w:p>
            <w:pPr>
              <w:spacing w:after="0" w:line="250" w:lineRule="auto"/>
            </w:pPr>
            <w:r>
              <w:rPr>
                <w:b/>
                <w:color w:val="FFFFFF"/>
                <w:sz w:val="18"/>
              </w:rPr>
              <w:t>Purpose and returned evidence</w:t>
            </w:r>
          </w:p>
        </w:tc>
      </w:tr>
      <w:tr>
        <w:trPr>
          <w:cantSplit/>
        </w:trPr>
        <w:tc>
          <w:tcPr>
            <w:tcW w:type="dxa" w:w="2477"/>
            <w:vAlign w:val="center"/>
            <w:tcMar>
              <w:top w:w="80" w:type="dxa"/>
              <w:bottom w:w="80" w:type="dxa"/>
              <w:left w:w="95" w:type="dxa"/>
              <w:right w:w="95" w:type="dxa"/>
            </w:tcMar>
            <w:shd w:fill="FFFFFF"/>
          </w:tcPr>
          <w:p>
            <w:pPr>
              <w:spacing w:after="0" w:line="250" w:lineRule="auto"/>
            </w:pPr>
            <w:r>
              <w:rPr>
                <w:b w:val="0"/>
                <w:color w:val="000000"/>
                <w:sz w:val="18"/>
              </w:rPr>
              <w:t>get_metric_window</w:t>
            </w:r>
          </w:p>
        </w:tc>
        <w:tc>
          <w:tcPr>
            <w:tcW w:type="dxa" w:w="7416"/>
            <w:vAlign w:val="center"/>
            <w:tcMar>
              <w:top w:w="80" w:type="dxa"/>
              <w:bottom w:w="80" w:type="dxa"/>
              <w:left w:w="95" w:type="dxa"/>
              <w:right w:w="95" w:type="dxa"/>
            </w:tcMar>
            <w:shd w:fill="FFFFFF"/>
          </w:tcPr>
          <w:p>
            <w:pPr>
              <w:spacing w:after="0" w:line="250" w:lineRule="auto"/>
            </w:pPr>
            <w:r>
              <w:rPr>
                <w:b w:val="0"/>
                <w:color w:val="000000"/>
                <w:sz w:val="18"/>
              </w:rPr>
              <w:t>Past-only values, baseline and freshness; maximum 60-minute window</w:t>
            </w:r>
          </w:p>
        </w:tc>
      </w:tr>
      <w:tr>
        <w:trPr>
          <w:cantSplit/>
        </w:trPr>
        <w:tc>
          <w:tcPr>
            <w:tcW w:type="dxa" w:w="2477"/>
            <w:vAlign w:val="center"/>
            <w:tcMar>
              <w:top w:w="80" w:type="dxa"/>
              <w:bottom w:w="80" w:type="dxa"/>
              <w:left w:w="95" w:type="dxa"/>
              <w:right w:w="95" w:type="dxa"/>
            </w:tcMar>
            <w:shd w:fill="F2F5F7"/>
          </w:tcPr>
          <w:p>
            <w:pPr>
              <w:spacing w:after="0" w:line="250" w:lineRule="auto"/>
            </w:pPr>
            <w:r>
              <w:rPr>
                <w:b w:val="0"/>
                <w:color w:val="000000"/>
                <w:sz w:val="18"/>
              </w:rPr>
              <w:t>get_segment_breakdown</w:t>
            </w:r>
          </w:p>
        </w:tc>
        <w:tc>
          <w:tcPr>
            <w:tcW w:type="dxa" w:w="7416"/>
            <w:vAlign w:val="center"/>
            <w:tcMar>
              <w:top w:w="80" w:type="dxa"/>
              <w:bottom w:w="80" w:type="dxa"/>
              <w:left w:w="95" w:type="dxa"/>
              <w:right w:w="95" w:type="dxa"/>
            </w:tcMar>
            <w:shd w:fill="F2F5F7"/>
          </w:tcPr>
          <w:p>
            <w:pPr>
              <w:spacing w:after="0" w:line="250" w:lineRule="auto"/>
            </w:pPr>
            <w:r>
              <w:rPr>
                <w:b w:val="0"/>
                <w:color w:val="000000"/>
                <w:sz w:val="18"/>
              </w:rPr>
              <w:t>Valid counts and per-provider contribution, when available</w:t>
            </w:r>
          </w:p>
        </w:tc>
      </w:tr>
      <w:tr>
        <w:trPr>
          <w:cantSplit/>
        </w:trPr>
        <w:tc>
          <w:tcPr>
            <w:tcW w:type="dxa" w:w="2477"/>
            <w:vAlign w:val="center"/>
            <w:tcMar>
              <w:top w:w="80" w:type="dxa"/>
              <w:bottom w:w="80" w:type="dxa"/>
              <w:left w:w="95" w:type="dxa"/>
              <w:right w:w="95" w:type="dxa"/>
            </w:tcMar>
            <w:shd w:fill="FFFFFF"/>
          </w:tcPr>
          <w:p>
            <w:pPr>
              <w:spacing w:after="0" w:line="250" w:lineRule="auto"/>
            </w:pPr>
            <w:r>
              <w:rPr>
                <w:b w:val="0"/>
                <w:color w:val="000000"/>
                <w:sz w:val="18"/>
              </w:rPr>
              <w:t>get_context_events</w:t>
            </w:r>
          </w:p>
        </w:tc>
        <w:tc>
          <w:tcPr>
            <w:tcW w:type="dxa" w:w="7416"/>
            <w:vAlign w:val="center"/>
            <w:tcMar>
              <w:top w:w="80" w:type="dxa"/>
              <w:bottom w:w="80" w:type="dxa"/>
              <w:left w:w="95" w:type="dxa"/>
              <w:right w:w="95" w:type="dxa"/>
            </w:tcMar>
            <w:shd w:fill="FFFFFF"/>
          </w:tcPr>
          <w:p>
            <w:pPr>
              <w:spacing w:after="0" w:line="250" w:lineRule="auto"/>
            </w:pPr>
            <w:r>
              <w:rPr>
                <w:b w:val="0"/>
                <w:color w:val="000000"/>
                <w:sz w:val="18"/>
              </w:rPr>
              <w:t>Redacted logs, spans, deploy/config/calendar entries; bounded item count</w:t>
            </w:r>
          </w:p>
        </w:tc>
      </w:tr>
      <w:tr>
        <w:trPr>
          <w:cantSplit/>
        </w:trPr>
        <w:tc>
          <w:tcPr>
            <w:tcW w:type="dxa" w:w="2477"/>
            <w:vAlign w:val="center"/>
            <w:tcMar>
              <w:top w:w="80" w:type="dxa"/>
              <w:bottom w:w="80" w:type="dxa"/>
              <w:left w:w="95" w:type="dxa"/>
              <w:right w:w="95" w:type="dxa"/>
            </w:tcMar>
            <w:shd w:fill="F2F5F7"/>
          </w:tcPr>
          <w:p>
            <w:pPr>
              <w:spacing w:after="0" w:line="250" w:lineRule="auto"/>
            </w:pPr>
            <w:r>
              <w:rPr>
                <w:b w:val="0"/>
                <w:color w:val="000000"/>
                <w:sz w:val="18"/>
              </w:rPr>
              <w:t>get_dependencies</w:t>
            </w:r>
          </w:p>
        </w:tc>
        <w:tc>
          <w:tcPr>
            <w:tcW w:type="dxa" w:w="7416"/>
            <w:vAlign w:val="center"/>
            <w:tcMar>
              <w:top w:w="80" w:type="dxa"/>
              <w:bottom w:w="80" w:type="dxa"/>
              <w:left w:w="95" w:type="dxa"/>
              <w:right w:w="95" w:type="dxa"/>
            </w:tcMar>
            <w:shd w:fill="F2F5F7"/>
          </w:tcPr>
          <w:p>
            <w:pPr>
              <w:spacing w:after="0" w:line="250" w:lineRule="auto"/>
            </w:pPr>
            <w:r>
              <w:rPr>
                <w:b w:val="0"/>
                <w:color w:val="000000"/>
                <w:sz w:val="18"/>
              </w:rPr>
              <w:t>Versioned directed dependency graph and declared ownership</w:t>
            </w:r>
          </w:p>
        </w:tc>
      </w:tr>
      <w:tr>
        <w:trPr>
          <w:cantSplit/>
        </w:trPr>
        <w:tc>
          <w:tcPr>
            <w:tcW w:type="dxa" w:w="2477"/>
            <w:vAlign w:val="center"/>
            <w:tcMar>
              <w:top w:w="80" w:type="dxa"/>
              <w:bottom w:w="80" w:type="dxa"/>
              <w:left w:w="95" w:type="dxa"/>
              <w:right w:w="95" w:type="dxa"/>
            </w:tcMar>
            <w:shd w:fill="FFFFFF"/>
          </w:tcPr>
          <w:p>
            <w:pPr>
              <w:spacing w:after="0" w:line="250" w:lineRule="auto"/>
            </w:pPr>
            <w:r>
              <w:rPr>
                <w:b w:val="0"/>
                <w:color w:val="000000"/>
                <w:sz w:val="18"/>
              </w:rPr>
              <w:t>search_incidents</w:t>
            </w:r>
          </w:p>
        </w:tc>
        <w:tc>
          <w:tcPr>
            <w:tcW w:type="dxa" w:w="7416"/>
            <w:vAlign w:val="center"/>
            <w:tcMar>
              <w:top w:w="80" w:type="dxa"/>
              <w:bottom w:w="80" w:type="dxa"/>
              <w:left w:w="95" w:type="dxa"/>
              <w:right w:w="95" w:type="dxa"/>
            </w:tcMar>
            <w:shd w:fill="FFFFFF"/>
          </w:tcPr>
          <w:p>
            <w:pPr>
              <w:spacing w:after="0" w:line="250" w:lineRule="auto"/>
            </w:pPr>
            <w:r>
              <w:rPr>
                <w:b w:val="0"/>
                <w:color w:val="000000"/>
                <w:sz w:val="18"/>
              </w:rPr>
              <w:t>Top three relevant prior cases or explicit no-match, with score breakdown</w:t>
            </w:r>
          </w:p>
        </w:tc>
      </w:tr>
      <w:tr>
        <w:trPr>
          <w:cantSplit/>
        </w:trPr>
        <w:tc>
          <w:tcPr>
            <w:tcW w:type="dxa" w:w="2477"/>
            <w:vAlign w:val="center"/>
            <w:tcMar>
              <w:top w:w="80" w:type="dxa"/>
              <w:bottom w:w="80" w:type="dxa"/>
              <w:left w:w="95" w:type="dxa"/>
              <w:right w:w="95" w:type="dxa"/>
            </w:tcMar>
            <w:shd w:fill="F2F5F7"/>
          </w:tcPr>
          <w:p>
            <w:pPr>
              <w:spacing w:after="0" w:line="250" w:lineRule="auto"/>
            </w:pPr>
            <w:r>
              <w:rPr>
                <w:b w:val="0"/>
                <w:color w:val="000000"/>
                <w:sz w:val="18"/>
              </w:rPr>
              <w:t>get_runbook</w:t>
            </w:r>
          </w:p>
        </w:tc>
        <w:tc>
          <w:tcPr>
            <w:tcW w:type="dxa" w:w="7416"/>
            <w:vAlign w:val="center"/>
            <w:tcMar>
              <w:top w:w="80" w:type="dxa"/>
              <w:bottom w:w="80" w:type="dxa"/>
              <w:left w:w="95" w:type="dxa"/>
              <w:right w:w="95" w:type="dxa"/>
            </w:tcMar>
            <w:shd w:fill="F2F5F7"/>
          </w:tcPr>
          <w:p>
            <w:pPr>
              <w:spacing w:after="0" w:line="250" w:lineRule="auto"/>
            </w:pPr>
            <w:r>
              <w:rPr>
                <w:b w:val="0"/>
                <w:color w:val="000000"/>
                <w:sz w:val="18"/>
              </w:rPr>
              <w:t>Versioned prerequisites, allowed action, verification and rollback</w:t>
            </w:r>
          </w:p>
        </w:tc>
      </w:tr>
      <w:tr>
        <w:trPr>
          <w:cantSplit/>
        </w:trPr>
        <w:tc>
          <w:tcPr>
            <w:tcW w:type="dxa" w:w="2477"/>
            <w:vAlign w:val="center"/>
            <w:tcMar>
              <w:top w:w="80" w:type="dxa"/>
              <w:bottom w:w="80" w:type="dxa"/>
              <w:left w:w="95" w:type="dxa"/>
              <w:right w:w="95" w:type="dxa"/>
            </w:tcMar>
            <w:shd w:fill="FFFFFF"/>
          </w:tcPr>
          <w:p>
            <w:pPr>
              <w:spacing w:after="0" w:line="250" w:lineRule="auto"/>
            </w:pPr>
            <w:r>
              <w:rPr>
                <w:b w:val="0"/>
                <w:color w:val="000000"/>
                <w:sz w:val="18"/>
              </w:rPr>
              <w:t>request_watch</w:t>
            </w:r>
          </w:p>
        </w:tc>
        <w:tc>
          <w:tcPr>
            <w:tcW w:type="dxa" w:w="7416"/>
            <w:vAlign w:val="center"/>
            <w:tcMar>
              <w:top w:w="80" w:type="dxa"/>
              <w:bottom w:w="80" w:type="dxa"/>
              <w:left w:w="95" w:type="dxa"/>
              <w:right w:w="95" w:type="dxa"/>
            </w:tcMar>
            <w:shd w:fill="FFFFFF"/>
          </w:tcPr>
          <w:p>
            <w:pPr>
              <w:spacing w:after="0" w:line="250" w:lineRule="auto"/>
            </w:pPr>
            <w:r>
              <w:rPr>
                <w:b w:val="0"/>
                <w:color w:val="000000"/>
                <w:sz w:val="18"/>
              </w:rPr>
              <w:t>Durable due time and reason, within episode watch budget</w:t>
            </w:r>
          </w:p>
        </w:tc>
      </w:tr>
      <w:tr>
        <w:trPr>
          <w:cantSplit/>
        </w:trPr>
        <w:tc>
          <w:tcPr>
            <w:tcW w:type="dxa" w:w="2477"/>
            <w:vAlign w:val="center"/>
            <w:tcMar>
              <w:top w:w="80" w:type="dxa"/>
              <w:bottom w:w="80" w:type="dxa"/>
              <w:left w:w="95" w:type="dxa"/>
              <w:right w:w="95" w:type="dxa"/>
            </w:tcMar>
            <w:shd w:fill="F2F5F7"/>
          </w:tcPr>
          <w:p>
            <w:pPr>
              <w:spacing w:after="0" w:line="250" w:lineRule="auto"/>
            </w:pPr>
            <w:r>
              <w:rPr>
                <w:b w:val="0"/>
                <w:color w:val="000000"/>
                <w:sz w:val="18"/>
              </w:rPr>
              <w:t>propose_action</w:t>
            </w:r>
          </w:p>
        </w:tc>
        <w:tc>
          <w:tcPr>
            <w:tcW w:type="dxa" w:w="7416"/>
            <w:vAlign w:val="center"/>
            <w:tcMar>
              <w:top w:w="80" w:type="dxa"/>
              <w:bottom w:w="80" w:type="dxa"/>
              <w:left w:w="95" w:type="dxa"/>
              <w:right w:w="95" w:type="dxa"/>
            </w:tcMar>
            <w:shd w:fill="F2F5F7"/>
          </w:tcPr>
          <w:p>
            <w:pPr>
              <w:spacing w:after="0" w:line="250" w:lineRule="auto"/>
            </w:pPr>
            <w:r>
              <w:rPr>
                <w:b w:val="0"/>
                <w:color w:val="000000"/>
                <w:sz w:val="18"/>
              </w:rPr>
              <w:t>Typed catalog proposal; policy evaluates independently</w:t>
            </w:r>
          </w:p>
        </w:tc>
      </w:tr>
    </w:tbl>
    <w:p>
      <w:pPr>
        <w:spacing w:after="20" w:before="0" w:line="96" w:lineRule="auto"/>
      </w:pPr>
      <w:r>
        <w:rPr>
          <w:sz w:val="4"/>
        </w:rPr>
      </w:r>
    </w:p>
    <w:p>
      <w:r>
        <w:rPr>
          <w:b w:val="0"/>
        </w:rPr>
        <w:t>Start history retrieval with tenant/time/service/dependency filtering and structured symptom matching. The existing proposed ranking weights symptom direction, dependency overlap, error codes and normalized shape; tune the no-match threshold on labeled validation queries. A small casebook does not need a vector database. Add embeddings only if measured retrieval errors justify them. Similarity is not a probability that the current incident has the same cause.</w:t>
      </w:r>
    </w:p>
    <w:p>
      <w:r>
        <w:rPr>
          <w:b w:val="0"/>
        </w:rPr>
        <w:t>Historical records need incident ID, occurred/resolved times, affected services, symptoms, cause status, verified cause, action receipt, measured outcome, provenance and runbook version. A current hypothesis must never become a verified historical cause merely because a summary was written or a ticket closed.</w:t>
      </w:r>
    </w:p>
    <w:p>
      <w:pPr>
        <w:pStyle w:val="Heading2"/>
      </w:pPr>
      <w:r>
        <w:rPr>
          <w:b w:val="0"/>
        </w:rPr>
        <w:t>Assessment contract</w:t>
      </w:r>
    </w:p>
    <w:p>
      <w:r>
        <w:rPr>
          <w:b w:val="0"/>
        </w:rPr>
        <w:t>Return goal, short technical summary, optional plain-language operations summary, affected services/segments, facts with evidence IDs, ranked hypotheses with supporting and contradicting IDs, uncertainty, prior-case references, proposed action, runbook and expected verification signal. ETA and business projection are nullable and copied from validated numerical tools, never invented by the model.</w:t>
      </w:r>
    </w:p>
    <w:p>
      <w:r>
        <w:rPr>
          <w:b w:val="0"/>
        </w:rPr>
        <w:t xml:space="preserve">Application code owns severity rules, evidence freshness, calibrated confidence, policy decision, approval state, execution receipt and lifecycle. Validate citation existence </w:t>
      </w:r>
      <w:r>
        <w:rPr>
          <w:b/>
        </w:rPr>
        <w:t>and semantic support</w:t>
      </w:r>
      <w:r>
        <w:rPr>
          <w:b w:val="0"/>
        </w:rPr>
        <w:t>. An existing but irrelevant evidence ID does not ground a claim. Exact counts must agree; rounded measurements use declared tolerances. A blanket 20% tolerance for financial figures is unacceptable.</w:t>
      </w:r>
    </w:p>
    <w:p>
      <w:r>
        <w:rPr>
          <w:b w:val="0"/>
        </w:rPr>
        <w:t>One repair attempt may run inside the shared model budget. If grounding still fails, discard unsupported statements and issue a deterministic factual summary marked model-unavailable or incomplete. Merely attaching a low-confidence badge to fabricated content is not a fallback. Missing history remains “no sufficiently similar verified incident found.”</w:t>
      </w:r>
    </w:p>
    <w:p>
      <w:r>
        <w:br w:type="page"/>
      </w:r>
    </w:p>
    <w:p>
      <w:pPr>
        <w:pStyle w:val="Heading1"/>
      </w:pPr>
      <w:r>
        <w:rPr>
          <w:b w:val="0"/>
        </w:rPr>
        <w:t>9 Action policy and verification</w:t>
      </w:r>
    </w:p>
    <w:p>
      <w:r>
        <w:rPr>
          <w:b w:val="0"/>
        </w:rPr>
        <w:t>The Commander proposes actions from a typed catalog. A separate deterministic policy checks evidence, target namespace, role, action version, risk, approval, rate limits and verification availability. A policy guard reduces risk; it cannot guarantee that a reversible-looking action will never harm legitimate users.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773"/>
        <w:gridCol w:w="3816"/>
      </w:tblGrid>
      <w:tr>
        <w:trPr>
          <w:cantSplit/>
          <w:tblHeader/>
        </w:trPr>
        <w:tc>
          <w:tcPr>
            <w:tcW w:type="dxa" w:w="2304"/>
            <w:vAlign w:val="center"/>
            <w:tcMar>
              <w:top w:w="80" w:type="dxa"/>
              <w:bottom w:w="80" w:type="dxa"/>
              <w:left w:w="95" w:type="dxa"/>
              <w:right w:w="95" w:type="dxa"/>
            </w:tcMar>
            <w:shd w:fill="243F52"/>
          </w:tcPr>
          <w:p>
            <w:pPr>
              <w:spacing w:after="0" w:line="250" w:lineRule="auto"/>
            </w:pPr>
            <w:r>
              <w:rPr>
                <w:b/>
                <w:color w:val="FFFFFF"/>
                <w:sz w:val="18"/>
              </w:rPr>
              <w:t>Action</w:t>
            </w:r>
          </w:p>
        </w:tc>
        <w:tc>
          <w:tcPr>
            <w:tcW w:type="dxa" w:w="3773"/>
            <w:vAlign w:val="center"/>
            <w:tcMar>
              <w:top w:w="80" w:type="dxa"/>
              <w:bottom w:w="80" w:type="dxa"/>
              <w:left w:w="95" w:type="dxa"/>
              <w:right w:w="95" w:type="dxa"/>
            </w:tcMar>
            <w:shd w:fill="243F52"/>
          </w:tcPr>
          <w:p>
            <w:pPr>
              <w:spacing w:after="0" w:line="250" w:lineRule="auto"/>
            </w:pPr>
            <w:r>
              <w:rPr>
                <w:b/>
                <w:color w:val="FFFFFF"/>
                <w:sz w:val="18"/>
              </w:rPr>
              <w:t>Default mode</w:t>
            </w:r>
          </w:p>
        </w:tc>
        <w:tc>
          <w:tcPr>
            <w:tcW w:type="dxa" w:w="3816"/>
            <w:vAlign w:val="center"/>
            <w:tcMar>
              <w:top w:w="80" w:type="dxa"/>
              <w:bottom w:w="80" w:type="dxa"/>
              <w:left w:w="95" w:type="dxa"/>
              <w:right w:w="95" w:type="dxa"/>
            </w:tcMar>
            <w:shd w:fill="243F52"/>
          </w:tcPr>
          <w:p>
            <w:pPr>
              <w:spacing w:after="0" w:line="250" w:lineRule="auto"/>
            </w:pPr>
            <w:r>
              <w:rPr>
                <w:b/>
                <w:color w:val="FFFFFF"/>
                <w:sz w:val="18"/>
              </w:rPr>
              <w:t>Required outcome evidence</w:t>
            </w:r>
          </w:p>
        </w:tc>
      </w:tr>
      <w:tr>
        <w:trPr>
          <w:cantSplit/>
        </w:trPr>
        <w:tc>
          <w:tcPr>
            <w:tcW w:type="dxa" w:w="2304"/>
            <w:vAlign w:val="center"/>
            <w:tcMar>
              <w:top w:w="80" w:type="dxa"/>
              <w:bottom w:w="80" w:type="dxa"/>
              <w:left w:w="95" w:type="dxa"/>
              <w:right w:w="95" w:type="dxa"/>
            </w:tcMar>
            <w:shd w:fill="FFFFFF"/>
          </w:tcPr>
          <w:p>
            <w:pPr>
              <w:spacing w:after="0" w:line="250" w:lineRule="auto"/>
            </w:pPr>
            <w:r>
              <w:rPr>
                <w:b w:val="0"/>
                <w:color w:val="000000"/>
                <w:sz w:val="18"/>
              </w:rPr>
              <w:t>Internal ticket, alert record and suggested runbook</w:t>
            </w:r>
          </w:p>
        </w:tc>
        <w:tc>
          <w:tcPr>
            <w:tcW w:type="dxa" w:w="3773"/>
            <w:vAlign w:val="center"/>
            <w:tcMar>
              <w:top w:w="80" w:type="dxa"/>
              <w:bottom w:w="80" w:type="dxa"/>
              <w:left w:w="95" w:type="dxa"/>
              <w:right w:w="95" w:type="dxa"/>
            </w:tcMar>
            <w:shd w:fill="FFFFFF"/>
          </w:tcPr>
          <w:p>
            <w:pPr>
              <w:spacing w:after="0" w:line="250" w:lineRule="auto"/>
            </w:pPr>
            <w:r>
              <w:rPr>
                <w:b w:val="0"/>
                <w:color w:val="000000"/>
                <w:sz w:val="18"/>
              </w:rPr>
              <w:t>Automatic after persistent warning or hard-breach fallback</w:t>
            </w:r>
          </w:p>
        </w:tc>
        <w:tc>
          <w:tcPr>
            <w:tcW w:type="dxa" w:w="3816"/>
            <w:vAlign w:val="center"/>
            <w:tcMar>
              <w:top w:w="80" w:type="dxa"/>
              <w:bottom w:w="80" w:type="dxa"/>
              <w:left w:w="95" w:type="dxa"/>
              <w:right w:w="95" w:type="dxa"/>
            </w:tcMar>
            <w:shd w:fill="FFFFFF"/>
          </w:tcPr>
          <w:p>
            <w:pPr>
              <w:spacing w:after="0" w:line="250" w:lineRule="auto"/>
            </w:pPr>
            <w:r>
              <w:rPr>
                <w:b w:val="0"/>
                <w:color w:val="000000"/>
                <w:sz w:val="18"/>
              </w:rPr>
              <w:t>Durable IDs and read-back receipt</w:t>
            </w:r>
          </w:p>
        </w:tc>
      </w:tr>
      <w:tr>
        <w:trPr>
          <w:cantSplit/>
        </w:trPr>
        <w:tc>
          <w:tcPr>
            <w:tcW w:type="dxa" w:w="2304"/>
            <w:vAlign w:val="center"/>
            <w:tcMar>
              <w:top w:w="80" w:type="dxa"/>
              <w:bottom w:w="80" w:type="dxa"/>
              <w:left w:w="95" w:type="dxa"/>
              <w:right w:w="95" w:type="dxa"/>
            </w:tcMar>
            <w:shd w:fill="F2F5F7"/>
          </w:tcPr>
          <w:p>
            <w:pPr>
              <w:spacing w:after="0" w:line="250" w:lineRule="auto"/>
            </w:pPr>
            <w:r>
              <w:rPr>
                <w:b w:val="0"/>
                <w:color w:val="000000"/>
                <w:sz w:val="18"/>
              </w:rPr>
              <w:t>Read-only diagnostic or scheduled watch</w:t>
            </w:r>
          </w:p>
        </w:tc>
        <w:tc>
          <w:tcPr>
            <w:tcW w:type="dxa" w:w="3773"/>
            <w:vAlign w:val="center"/>
            <w:tcMar>
              <w:top w:w="80" w:type="dxa"/>
              <w:bottom w:w="80" w:type="dxa"/>
              <w:left w:w="95" w:type="dxa"/>
              <w:right w:w="95" w:type="dxa"/>
            </w:tcMar>
            <w:shd w:fill="F2F5F7"/>
          </w:tcPr>
          <w:p>
            <w:pPr>
              <w:spacing w:after="0" w:line="250" w:lineRule="auto"/>
            </w:pPr>
            <w:r>
              <w:rPr>
                <w:b w:val="0"/>
                <w:color w:val="000000"/>
                <w:sz w:val="18"/>
              </w:rPr>
              <w:t>Automatic within tool/time budget</w:t>
            </w:r>
          </w:p>
        </w:tc>
        <w:tc>
          <w:tcPr>
            <w:tcW w:type="dxa" w:w="3816"/>
            <w:vAlign w:val="center"/>
            <w:tcMar>
              <w:top w:w="80" w:type="dxa"/>
              <w:bottom w:w="80" w:type="dxa"/>
              <w:left w:w="95" w:type="dxa"/>
              <w:right w:w="95" w:type="dxa"/>
            </w:tcMar>
            <w:shd w:fill="F2F5F7"/>
          </w:tcPr>
          <w:p>
            <w:pPr>
              <w:spacing w:after="0" w:line="250" w:lineRule="auto"/>
            </w:pPr>
            <w:r>
              <w:rPr>
                <w:b w:val="0"/>
                <w:color w:val="000000"/>
                <w:sz w:val="18"/>
              </w:rPr>
              <w:t>Tool result or durable job receipt</w:t>
            </w:r>
          </w:p>
        </w:tc>
      </w:tr>
      <w:tr>
        <w:trPr>
          <w:cantSplit/>
        </w:trPr>
        <w:tc>
          <w:tcPr>
            <w:tcW w:type="dxa" w:w="2304"/>
            <w:vAlign w:val="center"/>
            <w:tcMar>
              <w:top w:w="80" w:type="dxa"/>
              <w:bottom w:w="80" w:type="dxa"/>
              <w:left w:w="95" w:type="dxa"/>
              <w:right w:w="95" w:type="dxa"/>
            </w:tcMar>
            <w:shd w:fill="FFFFFF"/>
          </w:tcPr>
          <w:p>
            <w:pPr>
              <w:spacing w:after="0" w:line="250" w:lineRule="auto"/>
            </w:pPr>
            <w:r>
              <w:rPr>
                <w:b w:val="0"/>
                <w:color w:val="000000"/>
                <w:sz w:val="18"/>
              </w:rPr>
              <w:t>Retry cap in offline simulator</w:t>
            </w:r>
          </w:p>
        </w:tc>
        <w:tc>
          <w:tcPr>
            <w:tcW w:type="dxa" w:w="3773"/>
            <w:vAlign w:val="center"/>
            <w:tcMar>
              <w:top w:w="80" w:type="dxa"/>
              <w:bottom w:w="80" w:type="dxa"/>
              <w:left w:w="95" w:type="dxa"/>
              <w:right w:w="95" w:type="dxa"/>
            </w:tcMar>
            <w:shd w:fill="FFFFFF"/>
          </w:tcPr>
          <w:p>
            <w:pPr>
              <w:spacing w:after="0" w:line="250" w:lineRule="auto"/>
            </w:pPr>
            <w:r>
              <w:rPr>
                <w:b w:val="0"/>
                <w:color w:val="000000"/>
                <w:sz w:val="18"/>
              </w:rPr>
              <w:t>Automatic, explicitly simulated</w:t>
            </w:r>
          </w:p>
        </w:tc>
        <w:tc>
          <w:tcPr>
            <w:tcW w:type="dxa" w:w="3816"/>
            <w:vAlign w:val="center"/>
            <w:tcMar>
              <w:top w:w="80" w:type="dxa"/>
              <w:bottom w:w="80" w:type="dxa"/>
              <w:left w:w="95" w:type="dxa"/>
              <w:right w:w="95" w:type="dxa"/>
            </w:tcMar>
            <w:shd w:fill="FFFFFF"/>
          </w:tcPr>
          <w:p>
            <w:pPr>
              <w:spacing w:after="0" w:line="250" w:lineRule="auto"/>
            </w:pPr>
            <w:r>
              <w:rPr>
                <w:b w:val="0"/>
                <w:color w:val="000000"/>
                <w:sz w:val="18"/>
              </w:rPr>
              <w:t>Common-noise baseline/action comparison</w:t>
            </w:r>
          </w:p>
        </w:tc>
      </w:tr>
      <w:tr>
        <w:trPr>
          <w:cantSplit/>
        </w:trPr>
        <w:tc>
          <w:tcPr>
            <w:tcW w:type="dxa" w:w="2304"/>
            <w:vAlign w:val="center"/>
            <w:tcMar>
              <w:top w:w="80" w:type="dxa"/>
              <w:bottom w:w="80" w:type="dxa"/>
              <w:left w:w="95" w:type="dxa"/>
              <w:right w:w="95" w:type="dxa"/>
            </w:tcMar>
            <w:shd w:fill="F2F5F7"/>
          </w:tcPr>
          <w:p>
            <w:pPr>
              <w:spacing w:after="0" w:line="250" w:lineRule="auto"/>
            </w:pPr>
            <w:r>
              <w:rPr>
                <w:b w:val="0"/>
                <w:color w:val="000000"/>
                <w:sz w:val="18"/>
              </w:rPr>
              <w:t>Retry cap in instrumented sandbox</w:t>
            </w:r>
          </w:p>
        </w:tc>
        <w:tc>
          <w:tcPr>
            <w:tcW w:type="dxa" w:w="3773"/>
            <w:vAlign w:val="center"/>
            <w:tcMar>
              <w:top w:w="80" w:type="dxa"/>
              <w:bottom w:w="80" w:type="dxa"/>
              <w:left w:w="95" w:type="dxa"/>
              <w:right w:w="95" w:type="dxa"/>
            </w:tcMar>
            <w:shd w:fill="F2F5F7"/>
          </w:tcPr>
          <w:p>
            <w:pPr>
              <w:spacing w:after="0" w:line="250" w:lineRule="auto"/>
            </w:pPr>
            <w:r>
              <w:rPr>
                <w:b w:val="0"/>
                <w:color w:val="000000"/>
                <w:sz w:val="18"/>
              </w:rPr>
              <w:t>Operator-approved first; optional preauthorized demo runbook</w:t>
            </w:r>
          </w:p>
        </w:tc>
        <w:tc>
          <w:tcPr>
            <w:tcW w:type="dxa" w:w="3816"/>
            <w:vAlign w:val="center"/>
            <w:tcMar>
              <w:top w:w="80" w:type="dxa"/>
              <w:bottom w:w="80" w:type="dxa"/>
              <w:left w:w="95" w:type="dxa"/>
              <w:right w:w="95" w:type="dxa"/>
            </w:tcMar>
            <w:shd w:fill="F2F5F7"/>
          </w:tcPr>
          <w:p>
            <w:pPr>
              <w:spacing w:after="0" w:line="250" w:lineRule="auto"/>
            </w:pPr>
            <w:r>
              <w:rPr>
                <w:b w:val="0"/>
                <w:color w:val="000000"/>
                <w:sz w:val="18"/>
              </w:rPr>
              <w:t>Versioned change receipt plus fresh request/queue/error observations</w:t>
            </w:r>
          </w:p>
        </w:tc>
      </w:tr>
      <w:tr>
        <w:trPr>
          <w:cantSplit/>
        </w:trPr>
        <w:tc>
          <w:tcPr>
            <w:tcW w:type="dxa" w:w="2304"/>
            <w:vAlign w:val="center"/>
            <w:tcMar>
              <w:top w:w="80" w:type="dxa"/>
              <w:bottom w:w="80" w:type="dxa"/>
              <w:left w:w="95" w:type="dxa"/>
              <w:right w:w="95" w:type="dxa"/>
            </w:tcMar>
            <w:shd w:fill="FFFFFF"/>
          </w:tcPr>
          <w:p>
            <w:pPr>
              <w:spacing w:after="0" w:line="250" w:lineRule="auto"/>
            </w:pPr>
            <w:r>
              <w:rPr>
                <w:b w:val="0"/>
                <w:color w:val="000000"/>
                <w:sz w:val="18"/>
              </w:rPr>
              <w:t>Mock-provider switch</w:t>
            </w:r>
          </w:p>
        </w:tc>
        <w:tc>
          <w:tcPr>
            <w:tcW w:type="dxa" w:w="3773"/>
            <w:vAlign w:val="center"/>
            <w:tcMar>
              <w:top w:w="80" w:type="dxa"/>
              <w:bottom w:w="80" w:type="dxa"/>
              <w:left w:w="95" w:type="dxa"/>
              <w:right w:w="95" w:type="dxa"/>
            </w:tcMar>
            <w:shd w:fill="FFFFFF"/>
          </w:tcPr>
          <w:p>
            <w:pPr>
              <w:spacing w:after="0" w:line="250" w:lineRule="auto"/>
            </w:pPr>
            <w:r>
              <w:rPr>
                <w:b w:val="0"/>
                <w:color w:val="000000"/>
                <w:sz w:val="18"/>
              </w:rPr>
              <w:t>P1, approval required; sandbox only</w:t>
            </w:r>
          </w:p>
        </w:tc>
        <w:tc>
          <w:tcPr>
            <w:tcW w:type="dxa" w:w="3816"/>
            <w:vAlign w:val="center"/>
            <w:tcMar>
              <w:top w:w="80" w:type="dxa"/>
              <w:bottom w:w="80" w:type="dxa"/>
              <w:left w:w="95" w:type="dxa"/>
              <w:right w:w="95" w:type="dxa"/>
            </w:tcMar>
            <w:shd w:fill="FFFFFF"/>
          </w:tcPr>
          <w:p>
            <w:pPr>
              <w:spacing w:after="0" w:line="250" w:lineRule="auto"/>
            </w:pPr>
            <w:r>
              <w:rPr>
                <w:b w:val="0"/>
                <w:color w:val="000000"/>
                <w:sz w:val="18"/>
              </w:rPr>
              <w:t>Healthy target, no unresolved request outcome, idempotent request handling and measured recovery</w:t>
            </w:r>
          </w:p>
        </w:tc>
      </w:tr>
      <w:tr>
        <w:trPr>
          <w:cantSplit/>
        </w:trPr>
        <w:tc>
          <w:tcPr>
            <w:tcW w:type="dxa" w:w="2304"/>
            <w:vAlign w:val="center"/>
            <w:tcMar>
              <w:top w:w="80" w:type="dxa"/>
              <w:bottom w:w="80" w:type="dxa"/>
              <w:left w:w="95" w:type="dxa"/>
              <w:right w:w="95" w:type="dxa"/>
            </w:tcMar>
            <w:shd w:fill="F2F5F7"/>
          </w:tcPr>
          <w:p>
            <w:pPr>
              <w:spacing w:after="0" w:line="250" w:lineRule="auto"/>
            </w:pPr>
            <w:r>
              <w:rPr>
                <w:b w:val="0"/>
                <w:color w:val="000000"/>
                <w:sz w:val="18"/>
              </w:rPr>
              <w:t>Production routing, financial records, account access or security containment</w:t>
            </w:r>
          </w:p>
        </w:tc>
        <w:tc>
          <w:tcPr>
            <w:tcW w:type="dxa" w:w="3773"/>
            <w:vAlign w:val="center"/>
            <w:tcMar>
              <w:top w:w="80" w:type="dxa"/>
              <w:bottom w:w="80" w:type="dxa"/>
              <w:left w:w="95" w:type="dxa"/>
              <w:right w:w="95" w:type="dxa"/>
            </w:tcMar>
            <w:shd w:fill="F2F5F7"/>
          </w:tcPr>
          <w:p>
            <w:pPr>
              <w:spacing w:after="0" w:line="250" w:lineRule="auto"/>
            </w:pPr>
            <w:r>
              <w:rPr>
                <w:b w:val="0"/>
                <w:color w:val="000000"/>
                <w:sz w:val="18"/>
              </w:rPr>
              <w:t>Excluded</w:t>
            </w:r>
          </w:p>
        </w:tc>
        <w:tc>
          <w:tcPr>
            <w:tcW w:type="dxa" w:w="3816"/>
            <w:vAlign w:val="center"/>
            <w:tcMar>
              <w:top w:w="80" w:type="dxa"/>
              <w:bottom w:w="80" w:type="dxa"/>
              <w:left w:w="95" w:type="dxa"/>
              <w:right w:w="95" w:type="dxa"/>
            </w:tcMar>
            <w:shd w:fill="F2F5F7"/>
          </w:tcPr>
          <w:p>
            <w:pPr>
              <w:spacing w:after="0" w:line="250" w:lineRule="auto"/>
            </w:pPr>
            <w:r>
              <w:rPr>
                <w:b w:val="0"/>
                <w:color w:val="000000"/>
                <w:sz w:val="18"/>
              </w:rPr>
              <w:t>No executor or permission in MVP</w:t>
            </w:r>
          </w:p>
        </w:tc>
      </w:tr>
    </w:tbl>
    <w:p>
      <w:pPr>
        <w:spacing w:after="20" w:before="0" w:line="96" w:lineRule="auto"/>
      </w:pPr>
      <w:r>
        <w:rPr>
          <w:sz w:val="4"/>
        </w:rPr>
      </w:r>
    </w:p>
    <w:p>
      <w:r>
        <w:rPr>
          <w:b w:val="0"/>
        </w:rPr>
        <w:t>Approval binds actor, target, parameter hash, incident version and expiry. A repeated request with the same idempotency key returns the existing action/result; the same key with different parameters is rejected. Do not issue a second effect after an uncertain timeout. Reconcile action state first. User-supplied logs cannot create an approval.</w:t>
      </w:r>
    </w:p>
    <w:p>
      <w:r>
        <w:rPr>
          <w:b w:val="0"/>
        </w:rPr>
        <w:t>Each mutation uses a Firestore transaction to claim the transition and write an outbox job. The external effect runs outside the transaction; retried transaction callbacks must not repeat it. Stable action keys include incident episode, action kind, parameter hash and policy version. Recovery resumes from durable state, not a process-local timer.</w:t>
      </w:r>
    </w:p>
    <w:p>
      <w:r>
        <w:rPr>
          <w:b w:val="0"/>
        </w:rPr>
        <w:t>Add a kill switch for new mutations, a bounded TTL for sandbox changes, a sweeper that survives model/process failure, and one rollback limit. A rollback is itself a change with a receipt and health check; do not loop repeatedly between configurations. Disabling autonomy leaves read-only monitoring and hard-breach alerts operating.</w:t>
      </w:r>
    </w:p>
    <w:p>
      <w:r>
        <w:rPr>
          <w:b w:val="0"/>
        </w:rPr>
        <w:t>Verification compares the targeted signal and guardrails across five fresh windows, with the observation interval recorded. Queue reduction alone is insufficient if failed unique requests increase. Missing data yields inconclusive, not success. Separate an action's execution receipt from its effectiveness. For paired simulation, reuse identical exogenous demand/provider/capacity noise. For a running sandbox, run repeated matched no-action/control trials; a single recovery chart cannot establish causality.</w:t>
      </w:r>
    </w:p>
    <w:p>
      <w:r>
        <w:rPr>
          <w:b w:val="0"/>
        </w:rPr>
        <w:t>Real payment-rail changes would additionally require endpoint reachability, payment eligibility, authorization/reconciliation semantics and certainty about prior attempts. They cannot be justified by endpoint health or “one-click rollback,” and remain outside this final plan.</w:t>
      </w:r>
    </w:p>
    <w:p>
      <w:r>
        <w:br w:type="page"/>
      </w:r>
    </w:p>
    <w:p>
      <w:pPr>
        <w:pStyle w:val="Heading1"/>
      </w:pPr>
      <w:r>
        <w:rPr>
          <w:b w:val="0"/>
        </w:rPr>
        <w:t>10 GCP architecture and operational state</w:t>
      </w:r>
    </w:p>
    <w:p>
      <w:r>
        <w:rPr>
          <w:b w:val="0"/>
        </w:rPr>
        <w:t>Use two Cloud Run roles from one backend codebase: API/UI integration and a private worker. Pub/Sub buffers telemetry/jobs. Firestore owns operational incident, action and outbox state. Secret Manager holds server-side credentials. Cloud Storage holds versioned data and evidence artifacts. Logging/Monitoring measures the application. Add BigQuery as an analytical sink after the full cycle is reliable.</w:t>
      </w:r>
    </w:p>
    <w:p>
      <w:pPr>
        <w:spacing w:after="80"/>
      </w:pPr>
      <w:r>
        <w:drawing>
          <wp:inline xmlns:a="http://schemas.openxmlformats.org/drawingml/2006/main" xmlns:pic="http://schemas.openxmlformats.org/drawingml/2006/picture">
            <wp:extent cx="6254496" cy="1667866"/>
            <wp:docPr id="1" name="Picture 1"/>
            <wp:cNvGraphicFramePr>
              <a:graphicFrameLocks noChangeAspect="1"/>
            </wp:cNvGraphicFramePr>
            <a:graphic>
              <a:graphicData uri="http://schemas.openxmlformats.org/drawingml/2006/picture">
                <pic:pic>
                  <pic:nvPicPr>
                    <pic:cNvPr id="0" name="final_plan_architecture.png"/>
                    <pic:cNvPicPr/>
                  </pic:nvPicPr>
                  <pic:blipFill>
                    <a:blip r:embed="rId10"/>
                    <a:stretch>
                      <a:fillRect/>
                    </a:stretch>
                  </pic:blipFill>
                  <pic:spPr>
                    <a:xfrm>
                      <a:off x="0" y="0"/>
                      <a:ext cx="6254496" cy="1667866"/>
                    </a:xfrm>
                    <a:prstGeom prst="rect"/>
                  </pic:spPr>
                </pic:pic>
              </a:graphicData>
            </a:graphic>
          </wp:inline>
        </w:drawing>
      </w:r>
    </w:p>
    <w:p>
      <w:pPr>
        <w:pStyle w:val="Caption"/>
      </w:pPr>
      <w:r>
        <w:t>Core data and control flow  Model calls run inside the bounded worker workflow</w:t>
      </w:r>
    </w:p>
    <w:p>
      <w:r>
        <w:rPr>
          <w:b w:val="0"/>
        </w:rPr>
        <w:t>The frontend may be a small React interface or a Next.js application if already familiar to the team. Hosting on GCP keeps one platform story; same-origin proxying avoids unnecessary CORS/session complexity. Do not make a framework major-version choice a requirement of PS-02. There is no existing application scaffold to preserve.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7"/>
        <w:gridCol w:w="7416"/>
      </w:tblGrid>
      <w:tr>
        <w:trPr>
          <w:cantSplit/>
          <w:tblHeader/>
        </w:trPr>
        <w:tc>
          <w:tcPr>
            <w:tcW w:type="dxa" w:w="2477"/>
            <w:vAlign w:val="center"/>
            <w:tcMar>
              <w:top w:w="80" w:type="dxa"/>
              <w:bottom w:w="80" w:type="dxa"/>
              <w:left w:w="95" w:type="dxa"/>
              <w:right w:w="95" w:type="dxa"/>
            </w:tcMar>
            <w:shd w:fill="243F52"/>
          </w:tcPr>
          <w:p>
            <w:pPr>
              <w:spacing w:after="0" w:line="250" w:lineRule="auto"/>
            </w:pPr>
            <w:r>
              <w:rPr>
                <w:b/>
                <w:color w:val="FFFFFF"/>
                <w:sz w:val="18"/>
              </w:rPr>
              <w:t>Component</w:t>
            </w:r>
          </w:p>
        </w:tc>
        <w:tc>
          <w:tcPr>
            <w:tcW w:type="dxa" w:w="7416"/>
            <w:vAlign w:val="center"/>
            <w:tcMar>
              <w:top w:w="80" w:type="dxa"/>
              <w:bottom w:w="80" w:type="dxa"/>
              <w:left w:w="95" w:type="dxa"/>
              <w:right w:w="95" w:type="dxa"/>
            </w:tcMar>
            <w:shd w:fill="243F52"/>
          </w:tcPr>
          <w:p>
            <w:pPr>
              <w:spacing w:after="0" w:line="250" w:lineRule="auto"/>
            </w:pPr>
            <w:r>
              <w:rPr>
                <w:b/>
                <w:color w:val="FFFFFF"/>
                <w:sz w:val="18"/>
              </w:rPr>
              <w:t>Responsibility and failure behavior</w:t>
            </w:r>
          </w:p>
        </w:tc>
      </w:tr>
      <w:tr>
        <w:trPr>
          <w:cantSplit/>
        </w:trPr>
        <w:tc>
          <w:tcPr>
            <w:tcW w:type="dxa" w:w="2477"/>
            <w:vAlign w:val="center"/>
            <w:tcMar>
              <w:top w:w="80" w:type="dxa"/>
              <w:bottom w:w="80" w:type="dxa"/>
              <w:left w:w="95" w:type="dxa"/>
              <w:right w:w="95" w:type="dxa"/>
            </w:tcMar>
            <w:shd w:fill="FFFFFF"/>
          </w:tcPr>
          <w:p>
            <w:pPr>
              <w:spacing w:after="0" w:line="250" w:lineRule="auto"/>
            </w:pPr>
            <w:r>
              <w:rPr>
                <w:b w:val="0"/>
                <w:color w:val="000000"/>
                <w:sz w:val="18"/>
              </w:rPr>
              <w:t>API</w:t>
            </w:r>
          </w:p>
        </w:tc>
        <w:tc>
          <w:tcPr>
            <w:tcW w:type="dxa" w:w="7416"/>
            <w:vAlign w:val="center"/>
            <w:tcMar>
              <w:top w:w="80" w:type="dxa"/>
              <w:bottom w:w="80" w:type="dxa"/>
              <w:left w:w="95" w:type="dxa"/>
              <w:right w:w="95" w:type="dxa"/>
            </w:tcMar>
            <w:shd w:fill="FFFFFF"/>
          </w:tcPr>
          <w:p>
            <w:pPr>
              <w:spacing w:after="0" w:line="250" w:lineRule="auto"/>
            </w:pPr>
            <w:r>
              <w:rPr>
                <w:b w:val="0"/>
                <w:color w:val="000000"/>
                <w:sz w:val="18"/>
              </w:rPr>
              <w:t>Authenticated ingestion, incident/actions/replay routes; validate and publish, never expose model keys</w:t>
            </w:r>
          </w:p>
        </w:tc>
      </w:tr>
      <w:tr>
        <w:trPr>
          <w:cantSplit/>
        </w:trPr>
        <w:tc>
          <w:tcPr>
            <w:tcW w:type="dxa" w:w="2477"/>
            <w:vAlign w:val="center"/>
            <w:tcMar>
              <w:top w:w="80" w:type="dxa"/>
              <w:bottom w:w="80" w:type="dxa"/>
              <w:left w:w="95" w:type="dxa"/>
              <w:right w:w="95" w:type="dxa"/>
            </w:tcMar>
            <w:shd w:fill="F2F5F7"/>
          </w:tcPr>
          <w:p>
            <w:pPr>
              <w:spacing w:after="0" w:line="250" w:lineRule="auto"/>
            </w:pPr>
            <w:r>
              <w:rPr>
                <w:b w:val="0"/>
                <w:color w:val="000000"/>
                <w:sz w:val="18"/>
              </w:rPr>
              <w:t>Private worker</w:t>
            </w:r>
          </w:p>
        </w:tc>
        <w:tc>
          <w:tcPr>
            <w:tcW w:type="dxa" w:w="7416"/>
            <w:vAlign w:val="center"/>
            <w:tcMar>
              <w:top w:w="80" w:type="dxa"/>
              <w:bottom w:w="80" w:type="dxa"/>
              <w:left w:w="95" w:type="dxa"/>
              <w:right w:w="95" w:type="dxa"/>
            </w:tcMar>
            <w:shd w:fill="F2F5F7"/>
          </w:tcPr>
          <w:p>
            <w:pPr>
              <w:spacing w:after="0" w:line="250" w:lineRule="auto"/>
            </w:pPr>
            <w:r>
              <w:rPr>
                <w:b w:val="0"/>
                <w:color w:val="000000"/>
                <w:sz w:val="18"/>
              </w:rPr>
              <w:t>Windows, detector, bounded investigation, policy jobs and verification; commit before acknowledging delivery</w:t>
            </w:r>
          </w:p>
        </w:tc>
      </w:tr>
      <w:tr>
        <w:trPr>
          <w:cantSplit/>
        </w:trPr>
        <w:tc>
          <w:tcPr>
            <w:tcW w:type="dxa" w:w="2477"/>
            <w:vAlign w:val="center"/>
            <w:tcMar>
              <w:top w:w="80" w:type="dxa"/>
              <w:bottom w:w="80" w:type="dxa"/>
              <w:left w:w="95" w:type="dxa"/>
              <w:right w:w="95" w:type="dxa"/>
            </w:tcMar>
            <w:shd w:fill="FFFFFF"/>
          </w:tcPr>
          <w:p>
            <w:pPr>
              <w:spacing w:after="0" w:line="250" w:lineRule="auto"/>
            </w:pPr>
            <w:r>
              <w:rPr>
                <w:b w:val="0"/>
                <w:color w:val="000000"/>
                <w:sz w:val="18"/>
              </w:rPr>
              <w:t>Firestore</w:t>
            </w:r>
          </w:p>
        </w:tc>
        <w:tc>
          <w:tcPr>
            <w:tcW w:type="dxa" w:w="7416"/>
            <w:vAlign w:val="center"/>
            <w:tcMar>
              <w:top w:w="80" w:type="dxa"/>
              <w:bottom w:w="80" w:type="dxa"/>
              <w:left w:w="95" w:type="dxa"/>
              <w:right w:w="95" w:type="dxa"/>
            </w:tcMar>
            <w:shd w:fill="FFFFFF"/>
          </w:tcPr>
          <w:p>
            <w:pPr>
              <w:spacing w:after="0" w:line="250" w:lineRule="auto"/>
            </w:pPr>
            <w:r>
              <w:rPr>
                <w:b w:val="0"/>
                <w:color w:val="000000"/>
                <w:sz w:val="18"/>
              </w:rPr>
              <w:t>Dedup keys, versioned windows, incident lease, watches, outbox, tickets, approvals, receipts and audit</w:t>
            </w:r>
          </w:p>
        </w:tc>
      </w:tr>
      <w:tr>
        <w:trPr>
          <w:cantSplit/>
        </w:trPr>
        <w:tc>
          <w:tcPr>
            <w:tcW w:type="dxa" w:w="2477"/>
            <w:vAlign w:val="center"/>
            <w:tcMar>
              <w:top w:w="80" w:type="dxa"/>
              <w:bottom w:w="80" w:type="dxa"/>
              <w:left w:w="95" w:type="dxa"/>
              <w:right w:w="95" w:type="dxa"/>
            </w:tcMar>
            <w:shd w:fill="F2F5F7"/>
          </w:tcPr>
          <w:p>
            <w:pPr>
              <w:spacing w:after="0" w:line="250" w:lineRule="auto"/>
            </w:pPr>
            <w:r>
              <w:rPr>
                <w:b w:val="0"/>
                <w:color w:val="000000"/>
                <w:sz w:val="18"/>
              </w:rPr>
              <w:t>Pub/Sub</w:t>
            </w:r>
          </w:p>
        </w:tc>
        <w:tc>
          <w:tcPr>
            <w:tcW w:type="dxa" w:w="7416"/>
            <w:vAlign w:val="center"/>
            <w:tcMar>
              <w:top w:w="80" w:type="dxa"/>
              <w:bottom w:w="80" w:type="dxa"/>
              <w:left w:w="95" w:type="dxa"/>
              <w:right w:w="95" w:type="dxa"/>
            </w:tcMar>
            <w:shd w:fill="F2F5F7"/>
          </w:tcPr>
          <w:p>
            <w:pPr>
              <w:spacing w:after="0" w:line="250" w:lineRule="auto"/>
            </w:pPr>
            <w:r>
              <w:rPr>
                <w:b w:val="0"/>
                <w:color w:val="000000"/>
                <w:sz w:val="18"/>
              </w:rPr>
              <w:t>At-least-once delivery, retry and DLQ; stable producer/job IDs make duplicates harmless</w:t>
            </w:r>
          </w:p>
        </w:tc>
      </w:tr>
      <w:tr>
        <w:trPr>
          <w:cantSplit/>
        </w:trPr>
        <w:tc>
          <w:tcPr>
            <w:tcW w:type="dxa" w:w="2477"/>
            <w:vAlign w:val="center"/>
            <w:tcMar>
              <w:top w:w="80" w:type="dxa"/>
              <w:bottom w:w="80" w:type="dxa"/>
              <w:left w:w="95" w:type="dxa"/>
              <w:right w:w="95" w:type="dxa"/>
            </w:tcMar>
            <w:shd w:fill="FFFFFF"/>
          </w:tcPr>
          <w:p>
            <w:pPr>
              <w:spacing w:after="0" w:line="250" w:lineRule="auto"/>
            </w:pPr>
            <w:r>
              <w:rPr>
                <w:b w:val="0"/>
                <w:color w:val="000000"/>
                <w:sz w:val="18"/>
              </w:rPr>
              <w:t>Scheduled sweep</w:t>
            </w:r>
          </w:p>
        </w:tc>
        <w:tc>
          <w:tcPr>
            <w:tcW w:type="dxa" w:w="7416"/>
            <w:vAlign w:val="center"/>
            <w:tcMar>
              <w:top w:w="80" w:type="dxa"/>
              <w:bottom w:w="80" w:type="dxa"/>
              <w:left w:w="95" w:type="dxa"/>
              <w:right w:w="95" w:type="dxa"/>
            </w:tcMar>
            <w:shd w:fill="FFFFFF"/>
          </w:tcPr>
          <w:p>
            <w:pPr>
              <w:spacing w:after="0" w:line="250" w:lineRule="auto"/>
            </w:pPr>
            <w:r>
              <w:rPr>
                <w:b w:val="0"/>
                <w:color w:val="000000"/>
                <w:sz w:val="18"/>
              </w:rPr>
              <w:t>Authenticated wakeup for due watches, expired leases, outbox retries and sandbox TTL recovery</w:t>
            </w:r>
          </w:p>
        </w:tc>
      </w:tr>
      <w:tr>
        <w:trPr>
          <w:cantSplit/>
        </w:trPr>
        <w:tc>
          <w:tcPr>
            <w:tcW w:type="dxa" w:w="2477"/>
            <w:vAlign w:val="center"/>
            <w:tcMar>
              <w:top w:w="80" w:type="dxa"/>
              <w:bottom w:w="80" w:type="dxa"/>
              <w:left w:w="95" w:type="dxa"/>
              <w:right w:w="95" w:type="dxa"/>
            </w:tcMar>
            <w:shd w:fill="F2F5F7"/>
          </w:tcPr>
          <w:p>
            <w:pPr>
              <w:spacing w:after="0" w:line="250" w:lineRule="auto"/>
            </w:pPr>
            <w:r>
              <w:rPr>
                <w:b w:val="0"/>
                <w:color w:val="000000"/>
                <w:sz w:val="18"/>
              </w:rPr>
              <w:t>Optional sandbox</w:t>
            </w:r>
          </w:p>
        </w:tc>
        <w:tc>
          <w:tcPr>
            <w:tcW w:type="dxa" w:w="7416"/>
            <w:vAlign w:val="center"/>
            <w:tcMar>
              <w:top w:w="80" w:type="dxa"/>
              <w:bottom w:w="80" w:type="dxa"/>
              <w:left w:w="95" w:type="dxa"/>
              <w:right w:w="95" w:type="dxa"/>
            </w:tcMar>
            <w:shd w:fill="F2F5F7"/>
          </w:tcPr>
          <w:p>
            <w:pPr>
              <w:spacing w:after="0" w:line="250" w:lineRule="auto"/>
            </w:pPr>
            <w:r>
              <w:rPr>
                <w:b w:val="0"/>
                <w:color w:val="000000"/>
                <w:sz w:val="18"/>
              </w:rPr>
              <w:t>One instrumented mock payment/provider/queue service; no financial authority</w:t>
            </w:r>
          </w:p>
        </w:tc>
      </w:tr>
    </w:tbl>
    <w:p>
      <w:pPr>
        <w:spacing w:after="20" w:before="0" w:line="96" w:lineRule="auto"/>
      </w:pPr>
      <w:r>
        <w:rPr>
          <w:sz w:val="4"/>
        </w:rPr>
      </w:r>
    </w:p>
    <w:p>
      <w:r>
        <w:rPr>
          <w:b w:val="0"/>
        </w:rPr>
        <w:t>Pub/Sub push does not provide exactly-once delivery. A local lock, one maximum instance or one minimum instance does not establish exactly-once effects. Use transactional claims and idempotent executors. [S6] Request-billed Cloud Run should not depend on a background loop continuing after the response; use awaited bounded jobs and durable scheduled wakeups. [S7]</w:t>
      </w:r>
    </w:p>
    <w:p>
      <w:r>
        <w:rPr>
          <w:b w:val="0"/>
        </w:rPr>
        <w:t>Separate the quick telemetry acknowledgement from a long model investigation. Atomically persist event processing/outbox state, acknowledge, then dispatch resumable investigation work. An outbox sweeper retries unsent jobs with the same job ID. Store/publish failure causes retry; invalid input is durably quarantined. Repeated poison events go to a monitored DLQ.</w:t>
      </w:r>
    </w:p>
    <w:p>
      <w:r>
        <w:rPr>
          <w:b w:val="0"/>
        </w:rPr>
        <w:t>No Dataflow, GKE, vector database or Cloud SQL is justified for the initial workload. Add components only after observed throughput, query or state limitations require them. Cost and latency scaling claims must be tied to a measured workload, not a diagram or a faster data generator.</w:t>
      </w:r>
    </w:p>
    <w:p>
      <w:r>
        <w:br w:type="page"/>
      </w:r>
    </w:p>
    <w:p>
      <w:pPr>
        <w:pStyle w:val="Heading1"/>
      </w:pPr>
      <w:r>
        <w:rPr>
          <w:b w:val="0"/>
        </w:rPr>
        <w:t>11 Contracts and proposed repository structure</w:t>
      </w:r>
    </w:p>
    <w:p>
      <w:r>
        <w:rPr>
          <w:b w:val="0"/>
        </w:rPr>
        <w:t>The existing contracts directory provides a starting point. Extend the telemetry schema for optional direction, segment, numerator/denominator and observation interval. Make a versioned migration rather than creating a second incompatible event format. A batch contains individually identified events; batching never discards per-event identity.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7"/>
        <w:gridCol w:w="7416"/>
      </w:tblGrid>
      <w:tr>
        <w:trPr>
          <w:cantSplit/>
          <w:tblHeader/>
        </w:trPr>
        <w:tc>
          <w:tcPr>
            <w:tcW w:type="dxa" w:w="2477"/>
            <w:vAlign w:val="center"/>
            <w:tcMar>
              <w:top w:w="80" w:type="dxa"/>
              <w:bottom w:w="80" w:type="dxa"/>
              <w:left w:w="95" w:type="dxa"/>
              <w:right w:w="95" w:type="dxa"/>
            </w:tcMar>
            <w:shd w:fill="243F52"/>
          </w:tcPr>
          <w:p>
            <w:pPr>
              <w:spacing w:after="0" w:line="250" w:lineRule="auto"/>
            </w:pPr>
            <w:r>
              <w:rPr>
                <w:b/>
                <w:color w:val="FFFFFF"/>
                <w:sz w:val="18"/>
              </w:rPr>
              <w:t>Contract</w:t>
            </w:r>
          </w:p>
        </w:tc>
        <w:tc>
          <w:tcPr>
            <w:tcW w:type="dxa" w:w="7416"/>
            <w:vAlign w:val="center"/>
            <w:tcMar>
              <w:top w:w="80" w:type="dxa"/>
              <w:bottom w:w="80" w:type="dxa"/>
              <w:left w:w="95" w:type="dxa"/>
              <w:right w:w="95" w:type="dxa"/>
            </w:tcMar>
            <w:shd w:fill="243F52"/>
          </w:tcPr>
          <w:p>
            <w:pPr>
              <w:spacing w:after="0" w:line="250" w:lineRule="auto"/>
            </w:pPr>
            <w:r>
              <w:rPr>
                <w:b/>
                <w:color w:val="FFFFFF"/>
                <w:sz w:val="18"/>
              </w:rPr>
              <w:t>Required fields and invariants</w:t>
            </w:r>
          </w:p>
        </w:tc>
      </w:tr>
      <w:tr>
        <w:trPr>
          <w:cantSplit/>
        </w:trPr>
        <w:tc>
          <w:tcPr>
            <w:tcW w:type="dxa" w:w="2477"/>
            <w:vAlign w:val="center"/>
            <w:tcMar>
              <w:top w:w="80" w:type="dxa"/>
              <w:bottom w:w="80" w:type="dxa"/>
              <w:left w:w="95" w:type="dxa"/>
              <w:right w:w="95" w:type="dxa"/>
            </w:tcMar>
            <w:shd w:fill="FFFFFF"/>
          </w:tcPr>
          <w:p>
            <w:pPr>
              <w:spacing w:after="0" w:line="250" w:lineRule="auto"/>
            </w:pPr>
            <w:r>
              <w:rPr>
                <w:b w:val="0"/>
                <w:color w:val="000000"/>
                <w:sz w:val="18"/>
              </w:rPr>
              <w:t>Event</w:t>
            </w:r>
          </w:p>
        </w:tc>
        <w:tc>
          <w:tcPr>
            <w:tcW w:type="dxa" w:w="7416"/>
            <w:vAlign w:val="center"/>
            <w:tcMar>
              <w:top w:w="80" w:type="dxa"/>
              <w:bottom w:w="80" w:type="dxa"/>
              <w:left w:w="95" w:type="dxa"/>
              <w:right w:w="95" w:type="dxa"/>
            </w:tcMar>
            <w:shd w:fill="FFFFFF"/>
          </w:tcPr>
          <w:p>
            <w:pPr>
              <w:spacing w:after="0" w:line="250" w:lineRule="auto"/>
            </w:pPr>
            <w:r>
              <w:rPr>
                <w:b w:val="0"/>
                <w:color w:val="000000"/>
                <w:sz w:val="18"/>
              </w:rPr>
              <w:t>schema_version, event_id, namespace, source_mode, event_time, server received_at, service, kind, typed payload; preserve unzoned original timestamp as source text</w:t>
            </w:r>
          </w:p>
        </w:tc>
      </w:tr>
      <w:tr>
        <w:trPr>
          <w:cantSplit/>
        </w:trPr>
        <w:tc>
          <w:tcPr>
            <w:tcW w:type="dxa" w:w="2477"/>
            <w:vAlign w:val="center"/>
            <w:tcMar>
              <w:top w:w="80" w:type="dxa"/>
              <w:bottom w:w="80" w:type="dxa"/>
              <w:left w:w="95" w:type="dxa"/>
              <w:right w:w="95" w:type="dxa"/>
            </w:tcMar>
            <w:shd w:fill="F2F5F7"/>
          </w:tcPr>
          <w:p>
            <w:pPr>
              <w:spacing w:after="0" w:line="250" w:lineRule="auto"/>
            </w:pPr>
            <w:r>
              <w:rPr>
                <w:b w:val="0"/>
                <w:color w:val="000000"/>
                <w:sz w:val="18"/>
              </w:rPr>
              <w:t>Metric payload</w:t>
            </w:r>
          </w:p>
        </w:tc>
        <w:tc>
          <w:tcPr>
            <w:tcW w:type="dxa" w:w="7416"/>
            <w:vAlign w:val="center"/>
            <w:tcMar>
              <w:top w:w="80" w:type="dxa"/>
              <w:bottom w:w="80" w:type="dxa"/>
              <w:left w:w="95" w:type="dxa"/>
              <w:right w:w="95" w:type="dxa"/>
            </w:tcMar>
            <w:shd w:fill="F2F5F7"/>
          </w:tcPr>
          <w:p>
            <w:pPr>
              <w:spacing w:after="0" w:line="250" w:lineRule="auto"/>
            </w:pPr>
            <w:r>
              <w:rPr>
                <w:b w:val="0"/>
                <w:color w:val="000000"/>
                <w:sz w:val="18"/>
              </w:rPr>
              <w:t>name, value, known unit or null, window; optional segment/direction/n_total/n_bad; finite numbers and valid count relationships</w:t>
            </w:r>
          </w:p>
        </w:tc>
      </w:tr>
      <w:tr>
        <w:trPr>
          <w:cantSplit/>
        </w:trPr>
        <w:tc>
          <w:tcPr>
            <w:tcW w:type="dxa" w:w="2477"/>
            <w:vAlign w:val="center"/>
            <w:tcMar>
              <w:top w:w="80" w:type="dxa"/>
              <w:bottom w:w="80" w:type="dxa"/>
              <w:left w:w="95" w:type="dxa"/>
              <w:right w:w="95" w:type="dxa"/>
            </w:tcMar>
            <w:shd w:fill="FFFFFF"/>
          </w:tcPr>
          <w:p>
            <w:pPr>
              <w:spacing w:after="0" w:line="250" w:lineRule="auto"/>
            </w:pPr>
            <w:r>
              <w:rPr>
                <w:b w:val="0"/>
                <w:color w:val="000000"/>
                <w:sz w:val="18"/>
              </w:rPr>
              <w:t>Candidate</w:t>
            </w:r>
          </w:p>
        </w:tc>
        <w:tc>
          <w:tcPr>
            <w:tcW w:type="dxa" w:w="7416"/>
            <w:vAlign w:val="center"/>
            <w:tcMar>
              <w:top w:w="80" w:type="dxa"/>
              <w:bottom w:w="80" w:type="dxa"/>
              <w:left w:w="95" w:type="dxa"/>
              <w:right w:w="95" w:type="dxa"/>
            </w:tcMar>
            <w:shd w:fill="FFFFFF"/>
          </w:tcPr>
          <w:p>
            <w:pPr>
              <w:spacing w:after="0" w:line="250" w:lineRule="auto"/>
            </w:pPr>
            <w:r>
              <w:rPr>
                <w:b w:val="0"/>
                <w:color w:val="000000"/>
                <w:sz w:val="18"/>
              </w:rPr>
              <w:t>episode ID, service/segment, event-time window, triggers, baseline references, freshness and detector version; no hidden cause/label</w:t>
            </w:r>
          </w:p>
        </w:tc>
      </w:tr>
      <w:tr>
        <w:trPr>
          <w:cantSplit/>
        </w:trPr>
        <w:tc>
          <w:tcPr>
            <w:tcW w:type="dxa" w:w="2477"/>
            <w:vAlign w:val="center"/>
            <w:tcMar>
              <w:top w:w="80" w:type="dxa"/>
              <w:bottom w:w="80" w:type="dxa"/>
              <w:left w:w="95" w:type="dxa"/>
              <w:right w:w="95" w:type="dxa"/>
            </w:tcMar>
            <w:shd w:fill="F2F5F7"/>
          </w:tcPr>
          <w:p>
            <w:pPr>
              <w:spacing w:after="0" w:line="250" w:lineRule="auto"/>
            </w:pPr>
            <w:r>
              <w:rPr>
                <w:b w:val="0"/>
                <w:color w:val="000000"/>
                <w:sz w:val="18"/>
              </w:rPr>
              <w:t>Evidence</w:t>
            </w:r>
          </w:p>
        </w:tc>
        <w:tc>
          <w:tcPr>
            <w:tcW w:type="dxa" w:w="7416"/>
            <w:vAlign w:val="center"/>
            <w:tcMar>
              <w:top w:w="80" w:type="dxa"/>
              <w:bottom w:w="80" w:type="dxa"/>
              <w:left w:w="95" w:type="dxa"/>
              <w:right w:w="95" w:type="dxa"/>
            </w:tcMar>
            <w:shd w:fill="F2F5F7"/>
          </w:tcPr>
          <w:p>
            <w:pPr>
              <w:spacing w:after="0" w:line="250" w:lineRule="auto"/>
            </w:pPr>
            <w:r>
              <w:rPr>
                <w:b w:val="0"/>
                <w:color w:val="000000"/>
                <w:sz w:val="18"/>
              </w:rPr>
              <w:t>ID, source IDs, window, units, observed/baseline values or redacted context, completeness and retrieval time</w:t>
            </w:r>
          </w:p>
        </w:tc>
      </w:tr>
      <w:tr>
        <w:trPr>
          <w:cantSplit/>
        </w:trPr>
        <w:tc>
          <w:tcPr>
            <w:tcW w:type="dxa" w:w="2477"/>
            <w:vAlign w:val="center"/>
            <w:tcMar>
              <w:top w:w="80" w:type="dxa"/>
              <w:bottom w:w="80" w:type="dxa"/>
              <w:left w:w="95" w:type="dxa"/>
              <w:right w:w="95" w:type="dxa"/>
            </w:tcMar>
            <w:shd w:fill="FFFFFF"/>
          </w:tcPr>
          <w:p>
            <w:pPr>
              <w:spacing w:after="0" w:line="250" w:lineRule="auto"/>
            </w:pPr>
            <w:r>
              <w:rPr>
                <w:b w:val="0"/>
                <w:color w:val="000000"/>
                <w:sz w:val="18"/>
              </w:rPr>
              <w:t>Action</w:t>
            </w:r>
          </w:p>
        </w:tc>
        <w:tc>
          <w:tcPr>
            <w:tcW w:type="dxa" w:w="7416"/>
            <w:vAlign w:val="center"/>
            <w:tcMar>
              <w:top w:w="80" w:type="dxa"/>
              <w:bottom w:w="80" w:type="dxa"/>
              <w:left w:w="95" w:type="dxa"/>
              <w:right w:w="95" w:type="dxa"/>
            </w:tcMar>
            <w:shd w:fill="FFFFFF"/>
          </w:tcPr>
          <w:p>
            <w:pPr>
              <w:spacing w:after="0" w:line="250" w:lineRule="auto"/>
            </w:pPr>
            <w:r>
              <w:rPr>
                <w:b w:val="0"/>
                <w:color w:val="000000"/>
                <w:sz w:val="18"/>
              </w:rPr>
              <w:t>ID/key, incident version, catalog kind, typed parameters, policy version, approval/expiry, execution receipt and verification</w:t>
            </w:r>
          </w:p>
        </w:tc>
      </w:tr>
      <w:tr>
        <w:trPr>
          <w:cantSplit/>
        </w:trPr>
        <w:tc>
          <w:tcPr>
            <w:tcW w:type="dxa" w:w="2477"/>
            <w:vAlign w:val="center"/>
            <w:tcMar>
              <w:top w:w="80" w:type="dxa"/>
              <w:bottom w:w="80" w:type="dxa"/>
              <w:left w:w="95" w:type="dxa"/>
              <w:right w:w="95" w:type="dxa"/>
            </w:tcMar>
            <w:shd w:fill="F2F5F7"/>
          </w:tcPr>
          <w:p>
            <w:pPr>
              <w:spacing w:after="0" w:line="250" w:lineRule="auto"/>
            </w:pPr>
            <w:r>
              <w:rPr>
                <w:b w:val="0"/>
                <w:color w:val="000000"/>
                <w:sz w:val="18"/>
              </w:rPr>
              <w:t>Replay/evaluation</w:t>
            </w:r>
          </w:p>
        </w:tc>
        <w:tc>
          <w:tcPr>
            <w:tcW w:type="dxa" w:w="7416"/>
            <w:vAlign w:val="center"/>
            <w:tcMar>
              <w:top w:w="80" w:type="dxa"/>
              <w:bottom w:w="80" w:type="dxa"/>
              <w:left w:w="95" w:type="dxa"/>
              <w:right w:w="95" w:type="dxa"/>
            </w:tcMar>
            <w:shd w:fill="F2F5F7"/>
          </w:tcPr>
          <w:p>
            <w:pPr>
              <w:spacing w:after="0" w:line="250" w:lineRule="auto"/>
            </w:pPr>
            <w:r>
              <w:rPr>
                <w:b w:val="0"/>
                <w:color w:val="000000"/>
                <w:sz w:val="18"/>
              </w:rPr>
              <w:t>source hashes, generator/detector/prompt/history/model/policy versions, seed partition and measurement status</w:t>
            </w:r>
          </w:p>
        </w:tc>
      </w:tr>
    </w:tbl>
    <w:p>
      <w:pPr>
        <w:spacing w:after="20" w:before="0" w:line="96" w:lineRule="auto"/>
      </w:pPr>
      <w:r>
        <w:rPr>
          <w:sz w:val="4"/>
        </w:rPr>
      </w:r>
    </w:p>
    <w:p>
      <w:r>
        <w:rPr>
          <w:b w:val="0"/>
        </w:rPr>
        <w:t>Proposed implementation folders: backend/app/api, ingest, detection, agent, tools, policy, storage and evaluation; frontend; optional sim; infra; tests. Retain existing src analysis utilities, notebooks, reports, original data and contracts. Application code should consume those artifacts rather than silently replacing their meanings.</w:t>
      </w:r>
    </w:p>
    <w:p>
      <w:pPr>
        <w:pStyle w:val="Heading2"/>
      </w:pPr>
      <w:r>
        <w:rPr>
          <w:b w:val="0"/>
        </w:rPr>
        <w:t>API boundary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7"/>
        <w:gridCol w:w="7416"/>
      </w:tblGrid>
      <w:tr>
        <w:trPr>
          <w:cantSplit/>
          <w:tblHeader/>
        </w:trPr>
        <w:tc>
          <w:tcPr>
            <w:tcW w:type="dxa" w:w="2477"/>
            <w:vAlign w:val="center"/>
            <w:tcMar>
              <w:top w:w="80" w:type="dxa"/>
              <w:bottom w:w="80" w:type="dxa"/>
              <w:left w:w="95" w:type="dxa"/>
              <w:right w:w="95" w:type="dxa"/>
            </w:tcMar>
            <w:shd w:fill="243F52"/>
          </w:tcPr>
          <w:p>
            <w:pPr>
              <w:spacing w:after="0" w:line="250" w:lineRule="auto"/>
            </w:pPr>
            <w:r>
              <w:rPr>
                <w:b/>
                <w:color w:val="FFFFFF"/>
                <w:sz w:val="18"/>
              </w:rPr>
              <w:t>Endpoint group</w:t>
            </w:r>
          </w:p>
        </w:tc>
        <w:tc>
          <w:tcPr>
            <w:tcW w:type="dxa" w:w="7416"/>
            <w:vAlign w:val="center"/>
            <w:tcMar>
              <w:top w:w="80" w:type="dxa"/>
              <w:bottom w:w="80" w:type="dxa"/>
              <w:left w:w="95" w:type="dxa"/>
              <w:right w:w="95" w:type="dxa"/>
            </w:tcMar>
            <w:shd w:fill="243F52"/>
          </w:tcPr>
          <w:p>
            <w:pPr>
              <w:spacing w:after="0" w:line="250" w:lineRule="auto"/>
            </w:pPr>
            <w:r>
              <w:rPr>
                <w:b/>
                <w:color w:val="FFFFFF"/>
                <w:sz w:val="18"/>
              </w:rPr>
              <w:t>Purpose</w:t>
            </w:r>
          </w:p>
        </w:tc>
      </w:tr>
      <w:tr>
        <w:trPr>
          <w:cantSplit/>
        </w:trPr>
        <w:tc>
          <w:tcPr>
            <w:tcW w:type="dxa" w:w="2477"/>
            <w:vAlign w:val="center"/>
            <w:tcMar>
              <w:top w:w="80" w:type="dxa"/>
              <w:bottom w:w="80" w:type="dxa"/>
              <w:left w:w="95" w:type="dxa"/>
              <w:right w:w="95" w:type="dxa"/>
            </w:tcMar>
            <w:shd w:fill="FFFFFF"/>
          </w:tcPr>
          <w:p>
            <w:pPr>
              <w:spacing w:after="0" w:line="250" w:lineRule="auto"/>
            </w:pPr>
            <w:r>
              <w:rPr>
                <w:b w:val="0"/>
                <w:color w:val="000000"/>
                <w:sz w:val="18"/>
              </w:rPr>
              <w:t>POST /v1/events:batch and private Pub/Sub handlers</w:t>
            </w:r>
          </w:p>
        </w:tc>
        <w:tc>
          <w:tcPr>
            <w:tcW w:type="dxa" w:w="7416"/>
            <w:vAlign w:val="center"/>
            <w:tcMar>
              <w:top w:w="80" w:type="dxa"/>
              <w:bottom w:w="80" w:type="dxa"/>
              <w:left w:w="95" w:type="dxa"/>
              <w:right w:w="95" w:type="dxa"/>
            </w:tcMar>
            <w:shd w:fill="FFFFFF"/>
          </w:tcPr>
          <w:p>
            <w:pPr>
              <w:spacing w:after="0" w:line="250" w:lineRule="auto"/>
            </w:pPr>
            <w:r>
              <w:rPr>
                <w:b w:val="0"/>
                <w:color w:val="000000"/>
                <w:sz w:val="18"/>
              </w:rPr>
              <w:t>Typed ingestion; per-event acceptance/rejection; authenticated producer identities</w:t>
            </w:r>
          </w:p>
        </w:tc>
      </w:tr>
      <w:tr>
        <w:trPr>
          <w:cantSplit/>
        </w:trPr>
        <w:tc>
          <w:tcPr>
            <w:tcW w:type="dxa" w:w="2477"/>
            <w:vAlign w:val="center"/>
            <w:tcMar>
              <w:top w:w="80" w:type="dxa"/>
              <w:bottom w:w="80" w:type="dxa"/>
              <w:left w:w="95" w:type="dxa"/>
              <w:right w:w="95" w:type="dxa"/>
            </w:tcMar>
            <w:shd w:fill="F2F5F7"/>
          </w:tcPr>
          <w:p>
            <w:pPr>
              <w:spacing w:after="0" w:line="250" w:lineRule="auto"/>
            </w:pPr>
            <w:r>
              <w:rPr>
                <w:b w:val="0"/>
                <w:color w:val="000000"/>
                <w:sz w:val="18"/>
              </w:rPr>
              <w:t>GET /v1/overview, /incidents, /incidents/{id}/evidence and /timeline</w:t>
            </w:r>
          </w:p>
        </w:tc>
        <w:tc>
          <w:tcPr>
            <w:tcW w:type="dxa" w:w="7416"/>
            <w:vAlign w:val="center"/>
            <w:tcMar>
              <w:top w:w="80" w:type="dxa"/>
              <w:bottom w:w="80" w:type="dxa"/>
              <w:left w:w="95" w:type="dxa"/>
              <w:right w:w="95" w:type="dxa"/>
            </w:tcMar>
            <w:shd w:fill="F2F5F7"/>
          </w:tcPr>
          <w:p>
            <w:pPr>
              <w:spacing w:after="0" w:line="250" w:lineRule="auto"/>
            </w:pPr>
            <w:r>
              <w:rPr>
                <w:b w:val="0"/>
                <w:color w:val="000000"/>
                <w:sz w:val="18"/>
              </w:rPr>
              <w:t>Freshness, facts, hypotheses, evidence and audit</w:t>
            </w:r>
          </w:p>
        </w:tc>
      </w:tr>
      <w:tr>
        <w:trPr>
          <w:cantSplit/>
        </w:trPr>
        <w:tc>
          <w:tcPr>
            <w:tcW w:type="dxa" w:w="2477"/>
            <w:vAlign w:val="center"/>
            <w:tcMar>
              <w:top w:w="80" w:type="dxa"/>
              <w:bottom w:w="80" w:type="dxa"/>
              <w:left w:w="95" w:type="dxa"/>
              <w:right w:w="95" w:type="dxa"/>
            </w:tcMar>
            <w:shd w:fill="FFFFFF"/>
          </w:tcPr>
          <w:p>
            <w:pPr>
              <w:spacing w:after="0" w:line="250" w:lineRule="auto"/>
            </w:pPr>
            <w:r>
              <w:rPr>
                <w:b w:val="0"/>
                <w:color w:val="000000"/>
                <w:sz w:val="18"/>
              </w:rPr>
              <w:t>POST /v1/actions/{id}:approve or :reject; GET /v1/actions</w:t>
            </w:r>
          </w:p>
        </w:tc>
        <w:tc>
          <w:tcPr>
            <w:tcW w:type="dxa" w:w="7416"/>
            <w:vAlign w:val="center"/>
            <w:tcMar>
              <w:top w:w="80" w:type="dxa"/>
              <w:bottom w:w="80" w:type="dxa"/>
              <w:left w:w="95" w:type="dxa"/>
              <w:right w:w="95" w:type="dxa"/>
            </w:tcMar>
            <w:shd w:fill="FFFFFF"/>
          </w:tcPr>
          <w:p>
            <w:pPr>
              <w:spacing w:after="0" w:line="250" w:lineRule="auto"/>
            </w:pPr>
            <w:r>
              <w:rPr>
                <w:b w:val="0"/>
                <w:color w:val="000000"/>
                <w:sz w:val="18"/>
              </w:rPr>
              <w:t>Versioned, role-checked approval and action results</w:t>
            </w:r>
          </w:p>
        </w:tc>
      </w:tr>
      <w:tr>
        <w:trPr>
          <w:cantSplit/>
        </w:trPr>
        <w:tc>
          <w:tcPr>
            <w:tcW w:type="dxa" w:w="2477"/>
            <w:vAlign w:val="center"/>
            <w:tcMar>
              <w:top w:w="80" w:type="dxa"/>
              <w:bottom w:w="80" w:type="dxa"/>
              <w:left w:w="95" w:type="dxa"/>
              <w:right w:w="95" w:type="dxa"/>
            </w:tcMar>
            <w:shd w:fill="F2F5F7"/>
          </w:tcPr>
          <w:p>
            <w:pPr>
              <w:spacing w:after="0" w:line="250" w:lineRule="auto"/>
            </w:pPr>
            <w:r>
              <w:rPr>
                <w:b w:val="0"/>
                <w:color w:val="000000"/>
                <w:sz w:val="18"/>
              </w:rPr>
              <w:t>POST /v1/replays; pause/status/scenario routes</w:t>
            </w:r>
          </w:p>
        </w:tc>
        <w:tc>
          <w:tcPr>
            <w:tcW w:type="dxa" w:w="7416"/>
            <w:vAlign w:val="center"/>
            <w:tcMar>
              <w:top w:w="80" w:type="dxa"/>
              <w:bottom w:w="80" w:type="dxa"/>
              <w:left w:w="95" w:type="dxa"/>
              <w:right w:w="95" w:type="dxa"/>
            </w:tcMar>
            <w:shd w:fill="F2F5F7"/>
          </w:tcPr>
          <w:p>
            <w:pPr>
              <w:spacing w:after="0" w:line="250" w:lineRule="auto"/>
            </w:pPr>
            <w:r>
              <w:rPr>
                <w:b w:val="0"/>
                <w:color w:val="000000"/>
                <w:sz w:val="18"/>
              </w:rPr>
              <w:t>Namespaced fixtures, clock, source mode and safe intervention mode</w:t>
            </w:r>
          </w:p>
        </w:tc>
      </w:tr>
      <w:tr>
        <w:trPr>
          <w:cantSplit/>
        </w:trPr>
        <w:tc>
          <w:tcPr>
            <w:tcW w:type="dxa" w:w="2477"/>
            <w:vAlign w:val="center"/>
            <w:tcMar>
              <w:top w:w="80" w:type="dxa"/>
              <w:bottom w:w="80" w:type="dxa"/>
              <w:left w:w="95" w:type="dxa"/>
              <w:right w:w="95" w:type="dxa"/>
            </w:tcMar>
            <w:shd w:fill="FFFFFF"/>
          </w:tcPr>
          <w:p>
            <w:pPr>
              <w:spacing w:after="0" w:line="250" w:lineRule="auto"/>
            </w:pPr>
            <w:r>
              <w:rPr>
                <w:b w:val="0"/>
                <w:color w:val="000000"/>
                <w:sz w:val="18"/>
              </w:rPr>
              <w:t>GET /v1/evaluation; POST incident feedback</w:t>
            </w:r>
          </w:p>
        </w:tc>
        <w:tc>
          <w:tcPr>
            <w:tcW w:type="dxa" w:w="7416"/>
            <w:vAlign w:val="center"/>
            <w:tcMar>
              <w:top w:w="80" w:type="dxa"/>
              <w:bottom w:w="80" w:type="dxa"/>
              <w:left w:w="95" w:type="dxa"/>
              <w:right w:w="95" w:type="dxa"/>
            </w:tcMar>
            <w:shd w:fill="FFFFFF"/>
          </w:tcPr>
          <w:p>
            <w:pPr>
              <w:spacing w:after="0" w:line="250" w:lineRule="auto"/>
            </w:pPr>
            <w:r>
              <w:rPr>
                <w:b w:val="0"/>
                <w:color w:val="000000"/>
                <w:sz w:val="18"/>
              </w:rPr>
              <w:t>Frozen scorecard and reviewed corrections</w:t>
            </w:r>
          </w:p>
        </w:tc>
      </w:tr>
      <w:tr>
        <w:trPr>
          <w:cantSplit/>
        </w:trPr>
        <w:tc>
          <w:tcPr>
            <w:tcW w:type="dxa" w:w="2477"/>
            <w:vAlign w:val="center"/>
            <w:tcMar>
              <w:top w:w="80" w:type="dxa"/>
              <w:bottom w:w="80" w:type="dxa"/>
              <w:left w:w="95" w:type="dxa"/>
              <w:right w:w="95" w:type="dxa"/>
            </w:tcMar>
            <w:shd w:fill="F2F5F7"/>
          </w:tcPr>
          <w:p>
            <w:pPr>
              <w:spacing w:after="0" w:line="250" w:lineRule="auto"/>
            </w:pPr>
            <w:r>
              <w:rPr>
                <w:b w:val="0"/>
                <w:color w:val="000000"/>
                <w:sz w:val="18"/>
              </w:rPr>
              <w:t>Private /internal/sweep; /healthz and /readyz</w:t>
            </w:r>
          </w:p>
        </w:tc>
        <w:tc>
          <w:tcPr>
            <w:tcW w:type="dxa" w:w="7416"/>
            <w:vAlign w:val="center"/>
            <w:tcMar>
              <w:top w:w="80" w:type="dxa"/>
              <w:bottom w:w="80" w:type="dxa"/>
              <w:left w:w="95" w:type="dxa"/>
              <w:right w:w="95" w:type="dxa"/>
            </w:tcMar>
            <w:shd w:fill="F2F5F7"/>
          </w:tcPr>
          <w:p>
            <w:pPr>
              <w:spacing w:after="0" w:line="250" w:lineRule="auto"/>
            </w:pPr>
            <w:r>
              <w:rPr>
                <w:b w:val="0"/>
                <w:color w:val="000000"/>
                <w:sz w:val="18"/>
              </w:rPr>
              <w:t>Durable scheduling and explicit dependency health</w:t>
            </w:r>
          </w:p>
        </w:tc>
      </w:tr>
    </w:tbl>
    <w:p>
      <w:pPr>
        <w:spacing w:after="20" w:before="0" w:line="96" w:lineRule="auto"/>
      </w:pPr>
      <w:r>
        <w:rPr>
          <w:sz w:val="4"/>
        </w:rPr>
      </w:r>
    </w:p>
    <w:p>
      <w:r>
        <w:rPr>
          <w:b w:val="0"/>
        </w:rPr>
        <w:t>Return stable IDs for identical idempotent retries; reject mismatched key/payload or stale state versions. Bound lookbacks, batch size, payload bytes and pagination. Short polling with cursors is sufficient P0. Add SSE only if it measurably improves the trace experience and reconnect, heartbeat and missed-event behavior are tested. Never let a disconnected UI lose an approval or verification result.</w:t>
      </w:r>
    </w:p>
    <w:p>
      <w:r>
        <w:rPr>
          <w:b w:val="0"/>
        </w:rPr>
        <w:t>Firestore records are namespaced by demo tenant and replay. Audit includes actor, request ID, evidence, state version, tool/model/policy versions and receipts. Application audit is traceable operational history, not a certified immutable compliance archive.</w:t>
      </w:r>
    </w:p>
    <w:p>
      <w:r>
        <w:br w:type="page"/>
      </w:r>
    </w:p>
    <w:p>
      <w:pPr>
        <w:pStyle w:val="Heading1"/>
      </w:pPr>
      <w:r>
        <w:rPr>
          <w:b w:val="0"/>
        </w:rPr>
        <w:t>12 Evaluation and existing results</w:t>
      </w:r>
    </w:p>
    <w:p>
      <w:r>
        <w:rPr>
          <w:b w:val="0"/>
        </w:rPr>
        <w:t>The baseline comparison must use identical no-action input streams and incident definitions. Evaluate point labels on the original data separately from temporal episodes. The current statistical experiment is a foundation; the proposed Commander, challenger, segment extension and sandbox have not been scored.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773"/>
        <w:gridCol w:w="3816"/>
      </w:tblGrid>
      <w:tr>
        <w:trPr>
          <w:cantSplit/>
          <w:tblHeader/>
        </w:trPr>
        <w:tc>
          <w:tcPr>
            <w:tcW w:type="dxa" w:w="2304"/>
            <w:vAlign w:val="center"/>
            <w:tcMar>
              <w:top w:w="80" w:type="dxa"/>
              <w:bottom w:w="80" w:type="dxa"/>
              <w:left w:w="95" w:type="dxa"/>
              <w:right w:w="95" w:type="dxa"/>
            </w:tcMar>
            <w:shd w:fill="243F52"/>
          </w:tcPr>
          <w:p>
            <w:pPr>
              <w:spacing w:after="0" w:line="250" w:lineRule="auto"/>
            </w:pPr>
            <w:r>
              <w:rPr>
                <w:b/>
                <w:color w:val="FFFFFF"/>
                <w:sz w:val="18"/>
              </w:rPr>
              <w:t>Final synthetic test metric</w:t>
            </w:r>
          </w:p>
        </w:tc>
        <w:tc>
          <w:tcPr>
            <w:tcW w:type="dxa" w:w="3773"/>
            <w:vAlign w:val="center"/>
            <w:tcMar>
              <w:top w:w="80" w:type="dxa"/>
              <w:bottom w:w="80" w:type="dxa"/>
              <w:left w:w="95" w:type="dxa"/>
              <w:right w:w="95" w:type="dxa"/>
            </w:tcMar>
            <w:shd w:fill="243F52"/>
          </w:tcPr>
          <w:p>
            <w:pPr>
              <w:spacing w:after="0" w:line="250" w:lineRule="auto"/>
            </w:pPr>
            <w:r>
              <w:rPr>
                <w:b/>
                <w:color w:val="FFFFFF"/>
                <w:sz w:val="18"/>
              </w:rPr>
              <w:t>Static rule</w:t>
            </w:r>
          </w:p>
        </w:tc>
        <w:tc>
          <w:tcPr>
            <w:tcW w:type="dxa" w:w="3816"/>
            <w:vAlign w:val="center"/>
            <w:tcMar>
              <w:top w:w="80" w:type="dxa"/>
              <w:bottom w:w="80" w:type="dxa"/>
              <w:left w:w="95" w:type="dxa"/>
              <w:right w:w="95" w:type="dxa"/>
            </w:tcMar>
            <w:shd w:fill="243F52"/>
          </w:tcPr>
          <w:p>
            <w:pPr>
              <w:spacing w:after="0" w:line="250" w:lineRule="auto"/>
            </w:pPr>
            <w:r>
              <w:rPr>
                <w:b/>
                <w:color w:val="FFFFFF"/>
                <w:sz w:val="18"/>
              </w:rPr>
              <w:t>Existing statistical hybrid</w:t>
            </w:r>
          </w:p>
        </w:tc>
      </w:tr>
      <w:tr>
        <w:trPr>
          <w:cantSplit/>
        </w:trPr>
        <w:tc>
          <w:tcPr>
            <w:tcW w:type="dxa" w:w="2304"/>
            <w:vAlign w:val="center"/>
            <w:tcMar>
              <w:top w:w="80" w:type="dxa"/>
              <w:bottom w:w="80" w:type="dxa"/>
              <w:left w:w="95" w:type="dxa"/>
              <w:right w:w="95" w:type="dxa"/>
            </w:tcMar>
            <w:shd w:fill="FFFFFF"/>
          </w:tcPr>
          <w:p>
            <w:pPr>
              <w:spacing w:after="0" w:line="250" w:lineRule="auto"/>
            </w:pPr>
            <w:r>
              <w:rPr>
                <w:b w:val="0"/>
                <w:color w:val="000000"/>
                <w:sz w:val="18"/>
              </w:rPr>
              <w:t>Incident-bearing runs</w:t>
            </w:r>
          </w:p>
        </w:tc>
        <w:tc>
          <w:tcPr>
            <w:tcW w:type="dxa" w:w="3773"/>
            <w:vAlign w:val="center"/>
            <w:tcMar>
              <w:top w:w="80" w:type="dxa"/>
              <w:bottom w:w="80" w:type="dxa"/>
              <w:left w:w="95" w:type="dxa"/>
              <w:right w:w="95" w:type="dxa"/>
            </w:tcMar>
            <w:shd w:fill="FFFFFF"/>
          </w:tcPr>
          <w:p>
            <w:pPr>
              <w:spacing w:after="0" w:line="250" w:lineRule="auto"/>
            </w:pPr>
            <w:r>
              <w:rPr>
                <w:b w:val="0"/>
                <w:color w:val="000000"/>
                <w:sz w:val="18"/>
              </w:rPr>
              <w:t>18</w:t>
            </w:r>
          </w:p>
        </w:tc>
        <w:tc>
          <w:tcPr>
            <w:tcW w:type="dxa" w:w="3816"/>
            <w:vAlign w:val="center"/>
            <w:tcMar>
              <w:top w:w="80" w:type="dxa"/>
              <w:bottom w:w="80" w:type="dxa"/>
              <w:left w:w="95" w:type="dxa"/>
              <w:right w:w="95" w:type="dxa"/>
            </w:tcMar>
            <w:shd w:fill="FFFFFF"/>
          </w:tcPr>
          <w:p>
            <w:pPr>
              <w:spacing w:after="0" w:line="250" w:lineRule="auto"/>
            </w:pPr>
            <w:r>
              <w:rPr>
                <w:b w:val="0"/>
                <w:color w:val="000000"/>
                <w:sz w:val="18"/>
              </w:rPr>
              <w:t>18</w:t>
            </w:r>
          </w:p>
        </w:tc>
      </w:tr>
      <w:tr>
        <w:trPr>
          <w:cantSplit/>
        </w:trPr>
        <w:tc>
          <w:tcPr>
            <w:tcW w:type="dxa" w:w="2304"/>
            <w:vAlign w:val="center"/>
            <w:tcMar>
              <w:top w:w="80" w:type="dxa"/>
              <w:bottom w:w="80" w:type="dxa"/>
              <w:left w:w="95" w:type="dxa"/>
              <w:right w:w="95" w:type="dxa"/>
            </w:tcMar>
            <w:shd w:fill="F2F5F7"/>
          </w:tcPr>
          <w:p>
            <w:pPr>
              <w:spacing w:after="0" w:line="250" w:lineRule="auto"/>
            </w:pPr>
            <w:r>
              <w:rPr>
                <w:b w:val="0"/>
                <w:color w:val="000000"/>
                <w:sz w:val="18"/>
              </w:rPr>
              <w:t>Early matched incidents</w:t>
            </w:r>
          </w:p>
        </w:tc>
        <w:tc>
          <w:tcPr>
            <w:tcW w:type="dxa" w:w="3773"/>
            <w:vAlign w:val="center"/>
            <w:tcMar>
              <w:top w:w="80" w:type="dxa"/>
              <w:bottom w:w="80" w:type="dxa"/>
              <w:left w:w="95" w:type="dxa"/>
              <w:right w:w="95" w:type="dxa"/>
            </w:tcMar>
            <w:shd w:fill="F2F5F7"/>
          </w:tcPr>
          <w:p>
            <w:pPr>
              <w:spacing w:after="0" w:line="250" w:lineRule="auto"/>
            </w:pPr>
            <w:r>
              <w:rPr>
                <w:b w:val="0"/>
                <w:color w:val="000000"/>
                <w:sz w:val="18"/>
              </w:rPr>
              <w:t>1/18</w:t>
            </w:r>
          </w:p>
        </w:tc>
        <w:tc>
          <w:tcPr>
            <w:tcW w:type="dxa" w:w="3816"/>
            <w:vAlign w:val="center"/>
            <w:tcMar>
              <w:top w:w="80" w:type="dxa"/>
              <w:bottom w:w="80" w:type="dxa"/>
              <w:left w:w="95" w:type="dxa"/>
              <w:right w:w="95" w:type="dxa"/>
            </w:tcMar>
            <w:shd w:fill="F2F5F7"/>
          </w:tcPr>
          <w:p>
            <w:pPr>
              <w:spacing w:after="0" w:line="250" w:lineRule="auto"/>
            </w:pPr>
            <w:r>
              <w:rPr>
                <w:b w:val="0"/>
                <w:color w:val="000000"/>
                <w:sz w:val="18"/>
              </w:rPr>
              <w:t>18/18</w:t>
            </w:r>
          </w:p>
        </w:tc>
      </w:tr>
      <w:tr>
        <w:trPr>
          <w:cantSplit/>
        </w:trPr>
        <w:tc>
          <w:tcPr>
            <w:tcW w:type="dxa" w:w="2304"/>
            <w:vAlign w:val="center"/>
            <w:tcMar>
              <w:top w:w="80" w:type="dxa"/>
              <w:bottom w:w="80" w:type="dxa"/>
              <w:left w:w="95" w:type="dxa"/>
              <w:right w:w="95" w:type="dxa"/>
            </w:tcMar>
            <w:shd w:fill="FFFFFF"/>
          </w:tcPr>
          <w:p>
            <w:pPr>
              <w:spacing w:after="0" w:line="250" w:lineRule="auto"/>
            </w:pPr>
            <w:r>
              <w:rPr>
                <w:b w:val="0"/>
                <w:color w:val="000000"/>
                <w:sz w:val="18"/>
              </w:rPr>
              <w:t>Late-only incidents</w:t>
            </w:r>
          </w:p>
        </w:tc>
        <w:tc>
          <w:tcPr>
            <w:tcW w:type="dxa" w:w="3773"/>
            <w:vAlign w:val="center"/>
            <w:tcMar>
              <w:top w:w="80" w:type="dxa"/>
              <w:bottom w:w="80" w:type="dxa"/>
              <w:left w:w="95" w:type="dxa"/>
              <w:right w:w="95" w:type="dxa"/>
            </w:tcMar>
            <w:shd w:fill="FFFFFF"/>
          </w:tcPr>
          <w:p>
            <w:pPr>
              <w:spacing w:after="0" w:line="250" w:lineRule="auto"/>
            </w:pPr>
            <w:r>
              <w:rPr>
                <w:b w:val="0"/>
                <w:color w:val="000000"/>
                <w:sz w:val="18"/>
              </w:rPr>
              <w:t>17</w:t>
            </w:r>
          </w:p>
        </w:tc>
        <w:tc>
          <w:tcPr>
            <w:tcW w:type="dxa" w:w="3816"/>
            <w:vAlign w:val="center"/>
            <w:tcMar>
              <w:top w:w="80" w:type="dxa"/>
              <w:bottom w:w="80" w:type="dxa"/>
              <w:left w:w="95" w:type="dxa"/>
              <w:right w:w="95" w:type="dxa"/>
            </w:tcMar>
            <w:shd w:fill="FFFFFF"/>
          </w:tcPr>
          <w:p>
            <w:pPr>
              <w:spacing w:after="0" w:line="250" w:lineRule="auto"/>
            </w:pPr>
            <w:r>
              <w:rPr>
                <w:b w:val="0"/>
                <w:color w:val="000000"/>
                <w:sz w:val="18"/>
              </w:rPr>
              <w:t>0</w:t>
            </w:r>
          </w:p>
        </w:tc>
      </w:tr>
      <w:tr>
        <w:trPr>
          <w:cantSplit/>
        </w:trPr>
        <w:tc>
          <w:tcPr>
            <w:tcW w:type="dxa" w:w="2304"/>
            <w:vAlign w:val="center"/>
            <w:tcMar>
              <w:top w:w="80" w:type="dxa"/>
              <w:bottom w:w="80" w:type="dxa"/>
              <w:left w:w="95" w:type="dxa"/>
              <w:right w:w="95" w:type="dxa"/>
            </w:tcMar>
            <w:shd w:fill="F2F5F7"/>
          </w:tcPr>
          <w:p>
            <w:pPr>
              <w:spacing w:after="0" w:line="250" w:lineRule="auto"/>
            </w:pPr>
            <w:r>
              <w:rPr>
                <w:b w:val="0"/>
                <w:color w:val="000000"/>
                <w:sz w:val="18"/>
              </w:rPr>
              <w:t>Missed incidents</w:t>
            </w:r>
          </w:p>
        </w:tc>
        <w:tc>
          <w:tcPr>
            <w:tcW w:type="dxa" w:w="3773"/>
            <w:vAlign w:val="center"/>
            <w:tcMar>
              <w:top w:w="80" w:type="dxa"/>
              <w:bottom w:w="80" w:type="dxa"/>
              <w:left w:w="95" w:type="dxa"/>
              <w:right w:w="95" w:type="dxa"/>
            </w:tcMar>
            <w:shd w:fill="F2F5F7"/>
          </w:tcPr>
          <w:p>
            <w:pPr>
              <w:spacing w:after="0" w:line="250" w:lineRule="auto"/>
            </w:pPr>
            <w:r>
              <w:rPr>
                <w:b w:val="0"/>
                <w:color w:val="000000"/>
                <w:sz w:val="18"/>
              </w:rPr>
              <w:t>0</w:t>
            </w:r>
          </w:p>
        </w:tc>
        <w:tc>
          <w:tcPr>
            <w:tcW w:type="dxa" w:w="3816"/>
            <w:vAlign w:val="center"/>
            <w:tcMar>
              <w:top w:w="80" w:type="dxa"/>
              <w:bottom w:w="80" w:type="dxa"/>
              <w:left w:w="95" w:type="dxa"/>
              <w:right w:w="95" w:type="dxa"/>
            </w:tcMar>
            <w:shd w:fill="F2F5F7"/>
          </w:tcPr>
          <w:p>
            <w:pPr>
              <w:spacing w:after="0" w:line="250" w:lineRule="auto"/>
            </w:pPr>
            <w:r>
              <w:rPr>
                <w:b w:val="0"/>
                <w:color w:val="000000"/>
                <w:sz w:val="18"/>
              </w:rPr>
              <w:t>0</w:t>
            </w:r>
          </w:p>
        </w:tc>
      </w:tr>
      <w:tr>
        <w:trPr>
          <w:cantSplit/>
        </w:trPr>
        <w:tc>
          <w:tcPr>
            <w:tcW w:type="dxa" w:w="2304"/>
            <w:vAlign w:val="center"/>
            <w:tcMar>
              <w:top w:w="80" w:type="dxa"/>
              <w:bottom w:w="80" w:type="dxa"/>
              <w:left w:w="95" w:type="dxa"/>
              <w:right w:w="95" w:type="dxa"/>
            </w:tcMar>
            <w:shd w:fill="FFFFFF"/>
          </w:tcPr>
          <w:p>
            <w:pPr>
              <w:spacing w:after="0" w:line="250" w:lineRule="auto"/>
            </w:pPr>
            <w:r>
              <w:rPr>
                <w:b w:val="0"/>
                <w:color w:val="000000"/>
                <w:sz w:val="18"/>
              </w:rPr>
              <w:t>Median early-warning lead</w:t>
            </w:r>
          </w:p>
        </w:tc>
        <w:tc>
          <w:tcPr>
            <w:tcW w:type="dxa" w:w="3773"/>
            <w:vAlign w:val="center"/>
            <w:tcMar>
              <w:top w:w="80" w:type="dxa"/>
              <w:bottom w:w="80" w:type="dxa"/>
              <w:left w:w="95" w:type="dxa"/>
              <w:right w:w="95" w:type="dxa"/>
            </w:tcMar>
            <w:shd w:fill="FFFFFF"/>
          </w:tcPr>
          <w:p>
            <w:pPr>
              <w:spacing w:after="0" w:line="250" w:lineRule="auto"/>
            </w:pPr>
            <w:r>
              <w:rPr>
                <w:b w:val="0"/>
                <w:color w:val="000000"/>
                <w:sz w:val="18"/>
              </w:rPr>
              <w:t>7 min on one match</w:t>
            </w:r>
          </w:p>
        </w:tc>
        <w:tc>
          <w:tcPr>
            <w:tcW w:type="dxa" w:w="3816"/>
            <w:vAlign w:val="center"/>
            <w:tcMar>
              <w:top w:w="80" w:type="dxa"/>
              <w:bottom w:w="80" w:type="dxa"/>
              <w:left w:w="95" w:type="dxa"/>
              <w:right w:w="95" w:type="dxa"/>
            </w:tcMar>
            <w:shd w:fill="FFFFFF"/>
          </w:tcPr>
          <w:p>
            <w:pPr>
              <w:spacing w:after="0" w:line="250" w:lineRule="auto"/>
            </w:pPr>
            <w:r>
              <w:rPr>
                <w:b w:val="0"/>
                <w:color w:val="000000"/>
                <w:sz w:val="18"/>
              </w:rPr>
              <w:t>9 min on 18 matches</w:t>
            </w:r>
          </w:p>
        </w:tc>
      </w:tr>
      <w:tr>
        <w:trPr>
          <w:cantSplit/>
        </w:trPr>
        <w:tc>
          <w:tcPr>
            <w:tcW w:type="dxa" w:w="2304"/>
            <w:vAlign w:val="center"/>
            <w:tcMar>
              <w:top w:w="80" w:type="dxa"/>
              <w:bottom w:w="80" w:type="dxa"/>
              <w:left w:w="95" w:type="dxa"/>
              <w:right w:w="95" w:type="dxa"/>
            </w:tcMar>
            <w:shd w:fill="F2F5F7"/>
          </w:tcPr>
          <w:p>
            <w:pPr>
              <w:spacing w:after="0" w:line="250" w:lineRule="auto"/>
            </w:pPr>
            <w:r>
              <w:rPr>
                <w:b w:val="0"/>
                <w:color w:val="000000"/>
                <w:sz w:val="18"/>
              </w:rPr>
              <w:t>Negative runs with alarm</w:t>
            </w:r>
          </w:p>
        </w:tc>
        <w:tc>
          <w:tcPr>
            <w:tcW w:type="dxa" w:w="3773"/>
            <w:vAlign w:val="center"/>
            <w:tcMar>
              <w:top w:w="80" w:type="dxa"/>
              <w:bottom w:w="80" w:type="dxa"/>
              <w:left w:w="95" w:type="dxa"/>
              <w:right w:w="95" w:type="dxa"/>
            </w:tcMar>
            <w:shd w:fill="F2F5F7"/>
          </w:tcPr>
          <w:p>
            <w:pPr>
              <w:spacing w:after="0" w:line="250" w:lineRule="auto"/>
            </w:pPr>
            <w:r>
              <w:rPr>
                <w:b w:val="0"/>
                <w:color w:val="000000"/>
                <w:sz w:val="18"/>
              </w:rPr>
              <w:t>1/30</w:t>
            </w:r>
          </w:p>
        </w:tc>
        <w:tc>
          <w:tcPr>
            <w:tcW w:type="dxa" w:w="3816"/>
            <w:vAlign w:val="center"/>
            <w:tcMar>
              <w:top w:w="80" w:type="dxa"/>
              <w:bottom w:w="80" w:type="dxa"/>
              <w:left w:w="95" w:type="dxa"/>
              <w:right w:w="95" w:type="dxa"/>
            </w:tcMar>
            <w:shd w:fill="F2F5F7"/>
          </w:tcPr>
          <w:p>
            <w:pPr>
              <w:spacing w:after="0" w:line="250" w:lineRule="auto"/>
            </w:pPr>
            <w:r>
              <w:rPr>
                <w:b w:val="0"/>
                <w:color w:val="000000"/>
                <w:sz w:val="18"/>
              </w:rPr>
              <w:t>2/30</w:t>
            </w:r>
          </w:p>
        </w:tc>
      </w:tr>
      <w:tr>
        <w:trPr>
          <w:cantSplit/>
        </w:trPr>
        <w:tc>
          <w:tcPr>
            <w:tcW w:type="dxa" w:w="2304"/>
            <w:vAlign w:val="center"/>
            <w:tcMar>
              <w:top w:w="80" w:type="dxa"/>
              <w:bottom w:w="80" w:type="dxa"/>
              <w:left w:w="95" w:type="dxa"/>
              <w:right w:w="95" w:type="dxa"/>
            </w:tcMar>
            <w:shd w:fill="FFFFFF"/>
          </w:tcPr>
          <w:p>
            <w:pPr>
              <w:spacing w:after="0" w:line="250" w:lineRule="auto"/>
            </w:pPr>
            <w:r>
              <w:rPr>
                <w:b w:val="0"/>
                <w:color w:val="000000"/>
                <w:sz w:val="18"/>
              </w:rPr>
              <w:t>Window FPR</w:t>
            </w:r>
          </w:p>
        </w:tc>
        <w:tc>
          <w:tcPr>
            <w:tcW w:type="dxa" w:w="3773"/>
            <w:vAlign w:val="center"/>
            <w:tcMar>
              <w:top w:w="80" w:type="dxa"/>
              <w:bottom w:w="80" w:type="dxa"/>
              <w:left w:w="95" w:type="dxa"/>
              <w:right w:w="95" w:type="dxa"/>
            </w:tcMar>
            <w:shd w:fill="FFFFFF"/>
          </w:tcPr>
          <w:p>
            <w:pPr>
              <w:spacing w:after="0" w:line="250" w:lineRule="auto"/>
            </w:pPr>
            <w:r>
              <w:rPr>
                <w:b w:val="0"/>
                <w:color w:val="000000"/>
                <w:sz w:val="18"/>
              </w:rPr>
              <w:t>1/6819 = 0.0147%</w:t>
            </w:r>
          </w:p>
        </w:tc>
        <w:tc>
          <w:tcPr>
            <w:tcW w:type="dxa" w:w="3816"/>
            <w:vAlign w:val="center"/>
            <w:tcMar>
              <w:top w:w="80" w:type="dxa"/>
              <w:bottom w:w="80" w:type="dxa"/>
              <w:left w:w="95" w:type="dxa"/>
              <w:right w:w="95" w:type="dxa"/>
            </w:tcMar>
            <w:shd w:fill="FFFFFF"/>
          </w:tcPr>
          <w:p>
            <w:pPr>
              <w:spacing w:after="0" w:line="250" w:lineRule="auto"/>
            </w:pPr>
            <w:r>
              <w:rPr>
                <w:b w:val="0"/>
                <w:color w:val="000000"/>
                <w:sz w:val="18"/>
              </w:rPr>
              <w:t>17/6819 = 0.2493%</w:t>
            </w:r>
          </w:p>
        </w:tc>
      </w:tr>
    </w:tbl>
    <w:p>
      <w:pPr>
        <w:spacing w:after="20" w:before="0" w:line="96" w:lineRule="auto"/>
      </w:pPr>
      <w:r>
        <w:rPr>
          <w:sz w:val="4"/>
        </w:rPr>
      </w:r>
    </w:p>
    <w:p>
      <w:r>
        <w:rPr>
          <w:b w:val="0"/>
        </w:rPr>
        <w:t>Hybrid early-lead min/Q1/median/Q3/max is 5/7/9/10.75/16 simulated minutes. The 95% Wilson interval for 18/18 early recall is about 82.4–100%; for 2/30 negative-run alarms it is about 1.85–21.3%. These intervals describe finite runs under one designed simulator, not production confidence. The earlier detector has more false alarms; it does not dominate the baseline. [S3]</w:t>
      </w:r>
    </w:p>
    <w:p>
      <w:r>
        <w:rPr>
          <w:b w:val="0"/>
        </w:rPr>
        <w:t>The paired retry-cap branch reduces aggregate modeled breach minutes from 1461 to 89 across the final 48 runs. Eighteen incident-bearing runs become four under the same breach criterion. The action was applied automatically on statistical alarms, not selected by an evaluated agent. Some capacity-loss cases still fail. These outcomes validate a modeled mechanism, not real transaction or monetary benefit.</w:t>
      </w:r>
    </w:p>
    <w:p>
      <w:pPr>
        <w:pStyle w:val="Heading2"/>
      </w:pPr>
      <w:r>
        <w:rPr>
          <w:b w:val="0"/>
        </w:rPr>
        <w:t>Scoring rules for further experiments</w:t>
      </w:r>
    </w:p>
    <w:p>
      <w:r>
        <w:rPr>
          <w:b w:val="0"/>
        </w:rPr>
        <w:t>Current onset is the first window of a sustained three-window queue-wait &gt;120 seconds or modeled error fraction &gt;5% breach. Match the first compatible warning in the preceding 20-minute horizon. Report detections at/after onset as late, with signed delay or a separate late flag. A missed incident has null lead. Do not clip late detections to zero and then imply they were preventive.</w:t>
      </w:r>
    </w:p>
    <w:p>
      <w:r>
        <w:rPr>
          <w:b w:val="0"/>
        </w:rPr>
        <w:t>Use one-to-one service/segment-compatible matching; a dependency match needs a defined allowed relation. Continuous/repeated alarms are deduplicated as episodes. Extra matched alarms are duplicates; unmatched episodes are false alarms. FPR = FP/(FP+TN) on predefined negative windows. Also report alert precision, false-discovery proportion, negative-run alarm rate and false alerts per service-hour. Include all denominators.</w:t>
      </w:r>
    </w:p>
    <w:p>
      <w:r>
        <w:rPr>
          <w:b w:val="0"/>
        </w:rPr>
        <w:t>Do not require a new generator's baseline precision to equal 56% or lead to equal zero. The raw-data confusion matrix is a reproducibility check; forcing it onto dense synthetic episodes would bias the experiment.</w:t>
      </w:r>
    </w:p>
    <w:p>
      <w:r>
        <w:br w:type="page"/>
      </w:r>
    </w:p>
    <w:p>
      <w:pPr>
        <w:pStyle w:val="Heading1"/>
      </w:pPr>
      <w:r>
        <w:rPr>
          <w:b w:val="0"/>
        </w:rPr>
        <w:t>13 Evaluation extensions and acceptance tests</w:t>
      </w:r>
    </w:p>
    <w:p>
      <w:r>
        <w:rPr>
          <w:b w:val="0"/>
        </w:rPr>
        <w:t>Freeze data, detector, tool limits, history, prompt, model and policy versions before final evaluation. The earlier exploratory pilot remains development evidence; its poor false-alarm result motivated changes to both detector and simulator. Do not combine its metrics with the final test or claim the revision changed only the algorithm.</w:t>
      </w:r>
    </w:p>
    <w:p>
      <w:pPr>
        <w:pStyle w:val="Heading2"/>
      </w:pPr>
      <w:r>
        <w:rPr>
          <w:b w:val="0"/>
        </w:rPr>
        <w:t>Ablation ladder</w:t>
      </w:r>
    </w:p>
    <w:p>
      <w:r>
        <w:rPr>
          <w:b w:val="0"/>
        </w:rPr>
        <w:t>Compare a conventional threshold/SLO baseline; the existing multivariate detector; detector plus segment/count logic; detector plus Commander investigation; and Commander with versus without the challenger. Use the same evidence/time budgets where possible. Report challenger-induced misses and alert delay as well as false alarms removed. A dismissed candidate is not automatically a “false positive avoided”; that label needs known truth or later review.</w:t>
      </w:r>
    </w:p>
    <w:p>
      <w:r>
        <w:rPr>
          <w:b w:val="0"/>
        </w:rPr>
        <w:t>Expanded holdout must include unseen fault shapes, abrupt failures, correlated negatives, faults during benign calendar events, missing telemetry and unsupported causes. Keep related sequences, templates and histories within one partition. Bootstrap by incident/run rather than independent correlated rows. Report lead distributions alongside early recall, late and missed counts. Do not use retrospective point adjustment.</w:t>
      </w:r>
    </w:p>
    <w:p>
      <w:pPr>
        <w:pStyle w:val="Heading2"/>
      </w:pPr>
      <w:r>
        <w:rPr>
          <w:b w:val="0"/>
        </w:rPr>
        <w:t>Summary and retrieval evaluation</w:t>
      </w:r>
    </w:p>
    <w:p>
      <w:r>
        <w:rPr>
          <w:b w:val="0"/>
        </w:rPr>
        <w:t>Use at least 12 fixed evidence packs spanning primary faults, contradictory evidence, normal traffic, no history, stale data, injection text, malformed tool output and model failure. A human reviews evidence grounding, affected services, cause consistency, history relevance, uncertainty and actionability on 0/1/2 scales. Proposed acceptance is mean at least 1.5 on each dimension and no unsupported quantitative claim reaching an action. Record reviewer count and rationale. A second model can assist review, but is not ground truth.</w:t>
      </w:r>
    </w:p>
    <w:p>
      <w:r>
        <w:rPr>
          <w:b w:val="0"/>
        </w:rPr>
        <w:t>Separately measure retrieval recall@3, reciprocal rank and no-match false acceptance on labeled queries. An evidence ID merely resolving is a citation-integrity check; grounding additionally requires that its contents support the statement.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7"/>
        <w:gridCol w:w="7416"/>
      </w:tblGrid>
      <w:tr>
        <w:trPr>
          <w:cantSplit/>
          <w:tblHeader/>
        </w:trPr>
        <w:tc>
          <w:tcPr>
            <w:tcW w:type="dxa" w:w="2477"/>
            <w:vAlign w:val="center"/>
            <w:tcMar>
              <w:top w:w="80" w:type="dxa"/>
              <w:bottom w:w="80" w:type="dxa"/>
              <w:left w:w="95" w:type="dxa"/>
              <w:right w:w="95" w:type="dxa"/>
            </w:tcMar>
            <w:shd w:fill="243F52"/>
          </w:tcPr>
          <w:p>
            <w:pPr>
              <w:spacing w:after="0" w:line="250" w:lineRule="auto"/>
            </w:pPr>
            <w:r>
              <w:rPr>
                <w:b/>
                <w:color w:val="FFFFFF"/>
                <w:sz w:val="18"/>
              </w:rPr>
              <w:t>Critical test</w:t>
            </w:r>
          </w:p>
        </w:tc>
        <w:tc>
          <w:tcPr>
            <w:tcW w:type="dxa" w:w="7416"/>
            <w:vAlign w:val="center"/>
            <w:tcMar>
              <w:top w:w="80" w:type="dxa"/>
              <w:bottom w:w="80" w:type="dxa"/>
              <w:left w:w="95" w:type="dxa"/>
              <w:right w:w="95" w:type="dxa"/>
            </w:tcMar>
            <w:shd w:fill="243F52"/>
          </w:tcPr>
          <w:p>
            <w:pPr>
              <w:spacing w:after="0" w:line="250" w:lineRule="auto"/>
            </w:pPr>
            <w:r>
              <w:rPr>
                <w:b/>
                <w:color w:val="FFFFFF"/>
                <w:sz w:val="18"/>
              </w:rPr>
              <w:t>Passing behavior</w:t>
            </w:r>
          </w:p>
        </w:tc>
      </w:tr>
      <w:tr>
        <w:trPr>
          <w:cantSplit/>
        </w:trPr>
        <w:tc>
          <w:tcPr>
            <w:tcW w:type="dxa" w:w="2477"/>
            <w:vAlign w:val="center"/>
            <w:tcMar>
              <w:top w:w="80" w:type="dxa"/>
              <w:bottom w:w="80" w:type="dxa"/>
              <w:left w:w="95" w:type="dxa"/>
              <w:right w:w="95" w:type="dxa"/>
            </w:tcMar>
            <w:shd w:fill="FFFFFF"/>
          </w:tcPr>
          <w:p>
            <w:pPr>
              <w:spacing w:after="0" w:line="250" w:lineRule="auto"/>
            </w:pPr>
            <w:r>
              <w:rPr>
                <w:b w:val="0"/>
                <w:color w:val="000000"/>
                <w:sz w:val="18"/>
              </w:rPr>
              <w:t>Duplicate delivery, worker restart, double approval</w:t>
            </w:r>
          </w:p>
        </w:tc>
        <w:tc>
          <w:tcPr>
            <w:tcW w:type="dxa" w:w="7416"/>
            <w:vAlign w:val="center"/>
            <w:tcMar>
              <w:top w:w="80" w:type="dxa"/>
              <w:bottom w:w="80" w:type="dxa"/>
              <w:left w:w="95" w:type="dxa"/>
              <w:right w:w="95" w:type="dxa"/>
            </w:tcMar>
            <w:shd w:fill="FFFFFF"/>
          </w:tcPr>
          <w:p>
            <w:pPr>
              <w:spacing w:after="0" w:line="250" w:lineRule="auto"/>
            </w:pPr>
            <w:r>
              <w:rPr>
                <w:b w:val="0"/>
                <w:color w:val="000000"/>
                <w:sz w:val="18"/>
              </w:rPr>
              <w:t>One logical action; identical retry returns known receipt</w:t>
            </w:r>
          </w:p>
        </w:tc>
      </w:tr>
      <w:tr>
        <w:trPr>
          <w:cantSplit/>
        </w:trPr>
        <w:tc>
          <w:tcPr>
            <w:tcW w:type="dxa" w:w="2477"/>
            <w:vAlign w:val="center"/>
            <w:tcMar>
              <w:top w:w="80" w:type="dxa"/>
              <w:bottom w:w="80" w:type="dxa"/>
              <w:left w:w="95" w:type="dxa"/>
              <w:right w:w="95" w:type="dxa"/>
            </w:tcMar>
            <w:shd w:fill="F2F5F7"/>
          </w:tcPr>
          <w:p>
            <w:pPr>
              <w:spacing w:after="0" w:line="250" w:lineRule="auto"/>
            </w:pPr>
            <w:r>
              <w:rPr>
                <w:b w:val="0"/>
                <w:color w:val="000000"/>
                <w:sz w:val="18"/>
              </w:rPr>
              <w:t>Action timeout or lost response</w:t>
            </w:r>
          </w:p>
        </w:tc>
        <w:tc>
          <w:tcPr>
            <w:tcW w:type="dxa" w:w="7416"/>
            <w:vAlign w:val="center"/>
            <w:tcMar>
              <w:top w:w="80" w:type="dxa"/>
              <w:bottom w:w="80" w:type="dxa"/>
              <w:left w:w="95" w:type="dxa"/>
              <w:right w:w="95" w:type="dxa"/>
            </w:tcMar>
            <w:shd w:fill="F2F5F7"/>
          </w:tcPr>
          <w:p>
            <w:pPr>
              <w:spacing w:after="0" w:line="250" w:lineRule="auto"/>
            </w:pPr>
            <w:r>
              <w:rPr>
                <w:b w:val="0"/>
                <w:color w:val="000000"/>
                <w:sz w:val="18"/>
              </w:rPr>
              <w:t>Unknown outcome reconciled before any retry</w:t>
            </w:r>
          </w:p>
        </w:tc>
      </w:tr>
      <w:tr>
        <w:trPr>
          <w:cantSplit/>
        </w:trPr>
        <w:tc>
          <w:tcPr>
            <w:tcW w:type="dxa" w:w="2477"/>
            <w:vAlign w:val="center"/>
            <w:tcMar>
              <w:top w:w="80" w:type="dxa"/>
              <w:bottom w:w="80" w:type="dxa"/>
              <w:left w:w="95" w:type="dxa"/>
              <w:right w:w="95" w:type="dxa"/>
            </w:tcMar>
            <w:shd w:fill="FFFFFF"/>
          </w:tcPr>
          <w:p>
            <w:pPr>
              <w:spacing w:after="0" w:line="250" w:lineRule="auto"/>
            </w:pPr>
            <w:r>
              <w:rPr>
                <w:b w:val="0"/>
                <w:color w:val="000000"/>
                <w:sz w:val="18"/>
              </w:rPr>
              <w:t>Stale input or missing post-action data</w:t>
            </w:r>
          </w:p>
        </w:tc>
        <w:tc>
          <w:tcPr>
            <w:tcW w:type="dxa" w:w="7416"/>
            <w:vAlign w:val="center"/>
            <w:tcMar>
              <w:top w:w="80" w:type="dxa"/>
              <w:bottom w:w="80" w:type="dxa"/>
              <w:left w:w="95" w:type="dxa"/>
              <w:right w:w="95" w:type="dxa"/>
            </w:tcMar>
            <w:shd w:fill="FFFFFF"/>
          </w:tcPr>
          <w:p>
            <w:pPr>
              <w:spacing w:after="0" w:line="250" w:lineRule="auto"/>
            </w:pPr>
            <w:r>
              <w:rPr>
                <w:b w:val="0"/>
                <w:color w:val="000000"/>
                <w:sz w:val="18"/>
              </w:rPr>
              <w:t>Remediation withheld or verification inconclusive</w:t>
            </w:r>
          </w:p>
        </w:tc>
      </w:tr>
      <w:tr>
        <w:trPr>
          <w:cantSplit/>
        </w:trPr>
        <w:tc>
          <w:tcPr>
            <w:tcW w:type="dxa" w:w="2477"/>
            <w:vAlign w:val="center"/>
            <w:tcMar>
              <w:top w:w="80" w:type="dxa"/>
              <w:bottom w:w="80" w:type="dxa"/>
              <w:left w:w="95" w:type="dxa"/>
              <w:right w:w="95" w:type="dxa"/>
            </w:tcMar>
            <w:shd w:fill="F2F5F7"/>
          </w:tcPr>
          <w:p>
            <w:pPr>
              <w:spacing w:after="0" w:line="250" w:lineRule="auto"/>
            </w:pPr>
            <w:r>
              <w:rPr>
                <w:b w:val="0"/>
                <w:color w:val="000000"/>
                <w:sz w:val="18"/>
              </w:rPr>
              <w:t>Unhealthy target or wrong namespace</w:t>
            </w:r>
          </w:p>
        </w:tc>
        <w:tc>
          <w:tcPr>
            <w:tcW w:type="dxa" w:w="7416"/>
            <w:vAlign w:val="center"/>
            <w:tcMar>
              <w:top w:w="80" w:type="dxa"/>
              <w:bottom w:w="80" w:type="dxa"/>
              <w:left w:w="95" w:type="dxa"/>
              <w:right w:w="95" w:type="dxa"/>
            </w:tcMar>
            <w:shd w:fill="F2F5F7"/>
          </w:tcPr>
          <w:p>
            <w:pPr>
              <w:spacing w:after="0" w:line="250" w:lineRule="auto"/>
            </w:pPr>
            <w:r>
              <w:rPr>
                <w:b w:val="0"/>
                <w:color w:val="000000"/>
                <w:sz w:val="18"/>
              </w:rPr>
              <w:t>Action denied with recorded reason</w:t>
            </w:r>
          </w:p>
        </w:tc>
      </w:tr>
      <w:tr>
        <w:trPr>
          <w:cantSplit/>
        </w:trPr>
        <w:tc>
          <w:tcPr>
            <w:tcW w:type="dxa" w:w="2477"/>
            <w:vAlign w:val="center"/>
            <w:tcMar>
              <w:top w:w="80" w:type="dxa"/>
              <w:bottom w:w="80" w:type="dxa"/>
              <w:left w:w="95" w:type="dxa"/>
              <w:right w:w="95" w:type="dxa"/>
            </w:tcMar>
            <w:shd w:fill="FFFFFF"/>
          </w:tcPr>
          <w:p>
            <w:pPr>
              <w:spacing w:after="0" w:line="250" w:lineRule="auto"/>
            </w:pPr>
            <w:r>
              <w:rPr>
                <w:b w:val="0"/>
                <w:color w:val="000000"/>
                <w:sz w:val="18"/>
              </w:rPr>
              <w:t>Injection in logs/history</w:t>
            </w:r>
          </w:p>
        </w:tc>
        <w:tc>
          <w:tcPr>
            <w:tcW w:type="dxa" w:w="7416"/>
            <w:vAlign w:val="center"/>
            <w:tcMar>
              <w:top w:w="80" w:type="dxa"/>
              <w:bottom w:w="80" w:type="dxa"/>
              <w:left w:w="95" w:type="dxa"/>
              <w:right w:w="95" w:type="dxa"/>
            </w:tcMar>
            <w:shd w:fill="FFFFFF"/>
          </w:tcPr>
          <w:p>
            <w:pPr>
              <w:spacing w:after="0" w:line="250" w:lineRule="auto"/>
            </w:pPr>
            <w:r>
              <w:rPr>
                <w:b w:val="0"/>
                <w:color w:val="000000"/>
                <w:sz w:val="18"/>
              </w:rPr>
              <w:t>Tool scope and policy unchanged</w:t>
            </w:r>
          </w:p>
        </w:tc>
      </w:tr>
      <w:tr>
        <w:trPr>
          <w:cantSplit/>
        </w:trPr>
        <w:tc>
          <w:tcPr>
            <w:tcW w:type="dxa" w:w="2477"/>
            <w:vAlign w:val="center"/>
            <w:tcMar>
              <w:top w:w="80" w:type="dxa"/>
              <w:bottom w:w="80" w:type="dxa"/>
              <w:left w:w="95" w:type="dxa"/>
              <w:right w:w="95" w:type="dxa"/>
            </w:tcMar>
            <w:shd w:fill="F2F5F7"/>
          </w:tcPr>
          <w:p>
            <w:pPr>
              <w:spacing w:after="0" w:line="250" w:lineRule="auto"/>
            </w:pPr>
            <w:r>
              <w:rPr>
                <w:b w:val="0"/>
                <w:color w:val="000000"/>
                <w:sz w:val="18"/>
              </w:rPr>
              <w:t>False benign verdict on hard breach</w:t>
            </w:r>
          </w:p>
        </w:tc>
        <w:tc>
          <w:tcPr>
            <w:tcW w:type="dxa" w:w="7416"/>
            <w:vAlign w:val="center"/>
            <w:tcMar>
              <w:top w:w="80" w:type="dxa"/>
              <w:bottom w:w="80" w:type="dxa"/>
              <w:left w:w="95" w:type="dxa"/>
              <w:right w:w="95" w:type="dxa"/>
            </w:tcMar>
            <w:shd w:fill="F2F5F7"/>
          </w:tcPr>
          <w:p>
            <w:pPr>
              <w:spacing w:after="0" w:line="250" w:lineRule="auto"/>
            </w:pPr>
            <w:r>
              <w:rPr>
                <w:b w:val="0"/>
                <w:color w:val="000000"/>
                <w:sz w:val="18"/>
              </w:rPr>
              <w:t>Deterministic alert still executes</w:t>
            </w:r>
          </w:p>
        </w:tc>
      </w:tr>
      <w:tr>
        <w:trPr>
          <w:cantSplit/>
        </w:trPr>
        <w:tc>
          <w:tcPr>
            <w:tcW w:type="dxa" w:w="2477"/>
            <w:vAlign w:val="center"/>
            <w:tcMar>
              <w:top w:w="80" w:type="dxa"/>
              <w:bottom w:w="80" w:type="dxa"/>
              <w:left w:w="95" w:type="dxa"/>
              <w:right w:w="95" w:type="dxa"/>
            </w:tcMar>
            <w:shd w:fill="FFFFFF"/>
          </w:tcPr>
          <w:p>
            <w:pPr>
              <w:spacing w:after="0" w:line="250" w:lineRule="auto"/>
            </w:pPr>
            <w:r>
              <w:rPr>
                <w:b w:val="0"/>
                <w:color w:val="000000"/>
                <w:sz w:val="18"/>
              </w:rPr>
              <w:t>Model timeout, malformed JSON or invalid evidence</w:t>
            </w:r>
          </w:p>
        </w:tc>
        <w:tc>
          <w:tcPr>
            <w:tcW w:type="dxa" w:w="7416"/>
            <w:vAlign w:val="center"/>
            <w:tcMar>
              <w:top w:w="80" w:type="dxa"/>
              <w:bottom w:w="80" w:type="dxa"/>
              <w:left w:w="95" w:type="dxa"/>
              <w:right w:w="95" w:type="dxa"/>
            </w:tcMar>
            <w:shd w:fill="FFFFFF"/>
          </w:tcPr>
          <w:p>
            <w:pPr>
              <w:spacing w:after="0" w:line="250" w:lineRule="auto"/>
            </w:pPr>
            <w:r>
              <w:rPr>
                <w:b w:val="0"/>
                <w:color w:val="000000"/>
                <w:sz w:val="18"/>
              </w:rPr>
              <w:t>Bounded repair then factual fallback; no fabricated content</w:t>
            </w:r>
          </w:p>
        </w:tc>
      </w:tr>
      <w:tr>
        <w:trPr>
          <w:cantSplit/>
        </w:trPr>
        <w:tc>
          <w:tcPr>
            <w:tcW w:type="dxa" w:w="2477"/>
            <w:vAlign w:val="center"/>
            <w:tcMar>
              <w:top w:w="80" w:type="dxa"/>
              <w:bottom w:w="80" w:type="dxa"/>
              <w:left w:w="95" w:type="dxa"/>
              <w:right w:w="95" w:type="dxa"/>
            </w:tcMar>
            <w:shd w:fill="F2F5F7"/>
          </w:tcPr>
          <w:p>
            <w:pPr>
              <w:spacing w:after="0" w:line="250" w:lineRule="auto"/>
            </w:pPr>
            <w:r>
              <w:rPr>
                <w:b w:val="0"/>
                <w:color w:val="000000"/>
                <w:sz w:val="18"/>
              </w:rPr>
              <w:t>Due watch or TTL after process loss</w:t>
            </w:r>
          </w:p>
        </w:tc>
        <w:tc>
          <w:tcPr>
            <w:tcW w:type="dxa" w:w="7416"/>
            <w:vAlign w:val="center"/>
            <w:tcMar>
              <w:top w:w="80" w:type="dxa"/>
              <w:bottom w:w="80" w:type="dxa"/>
              <w:left w:w="95" w:type="dxa"/>
              <w:right w:w="95" w:type="dxa"/>
            </w:tcMar>
            <w:shd w:fill="F2F5F7"/>
          </w:tcPr>
          <w:p>
            <w:pPr>
              <w:spacing w:after="0" w:line="250" w:lineRule="auto"/>
            </w:pPr>
            <w:r>
              <w:rPr>
                <w:b w:val="0"/>
                <w:color w:val="000000"/>
                <w:sz w:val="18"/>
              </w:rPr>
              <w:t>Durable sweeper resumes or expires correctly</w:t>
            </w:r>
          </w:p>
        </w:tc>
      </w:tr>
    </w:tbl>
    <w:p>
      <w:pPr>
        <w:spacing w:after="20" w:before="0" w:line="96" w:lineRule="auto"/>
      </w:pPr>
      <w:r>
        <w:rPr>
          <w:sz w:val="4"/>
        </w:rPr>
      </w:r>
    </w:p>
    <w:p>
      <w:r>
        <w:rPr>
          <w:b w:val="0"/>
        </w:rPr>
        <w:t>After deployment, measure source-receive-to-candidate latency, candidate-to-ticket latency, model/tool time, tokens, cost, throughput and backlog. Start with a proposed target of p95 &lt;5 seconds at 10 events/second, excluding observation-window accumulation; test a 100 events/second burst. Local vectorized detector timing does not establish either target.</w:t>
      </w:r>
    </w:p>
    <w:p>
      <w:r>
        <w:br w:type="page"/>
      </w:r>
    </w:p>
    <w:p>
      <w:pPr>
        <w:pStyle w:val="Heading1"/>
      </w:pPr>
      <w:r>
        <w:rPr>
          <w:b w:val="0"/>
        </w:rPr>
        <w:t>14 Interface and demonstration design</w:t>
      </w:r>
    </w:p>
    <w:p>
      <w:r>
        <w:rPr>
          <w:b w:val="0"/>
        </w:rPr>
        <w:t>Use four compact views, with actions and the trace integrated into incident detail. Show a persistent Organizer replay, Synthetic replay or Sandbox mode label, event clock, processing time and freshness. Live production mode remains unavailable.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7"/>
        <w:gridCol w:w="7416"/>
      </w:tblGrid>
      <w:tr>
        <w:trPr>
          <w:cantSplit/>
          <w:tblHeader/>
        </w:trPr>
        <w:tc>
          <w:tcPr>
            <w:tcW w:type="dxa" w:w="2477"/>
            <w:vAlign w:val="center"/>
            <w:tcMar>
              <w:top w:w="80" w:type="dxa"/>
              <w:bottom w:w="80" w:type="dxa"/>
              <w:left w:w="95" w:type="dxa"/>
              <w:right w:w="95" w:type="dxa"/>
            </w:tcMar>
            <w:shd w:fill="243F52"/>
          </w:tcPr>
          <w:p>
            <w:pPr>
              <w:spacing w:after="0" w:line="250" w:lineRule="auto"/>
            </w:pPr>
            <w:r>
              <w:rPr>
                <w:b/>
                <w:color w:val="FFFFFF"/>
                <w:sz w:val="18"/>
              </w:rPr>
              <w:t>View</w:t>
            </w:r>
          </w:p>
        </w:tc>
        <w:tc>
          <w:tcPr>
            <w:tcW w:type="dxa" w:w="7416"/>
            <w:vAlign w:val="center"/>
            <w:tcMar>
              <w:top w:w="80" w:type="dxa"/>
              <w:bottom w:w="80" w:type="dxa"/>
              <w:left w:w="95" w:type="dxa"/>
              <w:right w:w="95" w:type="dxa"/>
            </w:tcMar>
            <w:shd w:fill="243F52"/>
          </w:tcPr>
          <w:p>
            <w:pPr>
              <w:spacing w:after="0" w:line="250" w:lineRule="auto"/>
            </w:pPr>
            <w:r>
              <w:rPr>
                <w:b/>
                <w:color w:val="FFFFFF"/>
                <w:sz w:val="18"/>
              </w:rPr>
              <w:t>Required content</w:t>
            </w:r>
          </w:p>
        </w:tc>
      </w:tr>
      <w:tr>
        <w:trPr>
          <w:cantSplit/>
        </w:trPr>
        <w:tc>
          <w:tcPr>
            <w:tcW w:type="dxa" w:w="2477"/>
            <w:vAlign w:val="center"/>
            <w:tcMar>
              <w:top w:w="80" w:type="dxa"/>
              <w:bottom w:w="80" w:type="dxa"/>
              <w:left w:w="95" w:type="dxa"/>
              <w:right w:w="95" w:type="dxa"/>
            </w:tcMar>
            <w:shd w:fill="FFFFFF"/>
          </w:tcPr>
          <w:p>
            <w:pPr>
              <w:spacing w:after="0" w:line="250" w:lineRule="auto"/>
            </w:pPr>
            <w:r>
              <w:rPr>
                <w:b w:val="0"/>
                <w:color w:val="000000"/>
                <w:sz w:val="18"/>
              </w:rPr>
              <w:t>Live operations</w:t>
            </w:r>
          </w:p>
        </w:tc>
        <w:tc>
          <w:tcPr>
            <w:tcW w:type="dxa" w:w="7416"/>
            <w:vAlign w:val="center"/>
            <w:tcMar>
              <w:top w:w="80" w:type="dxa"/>
              <w:bottom w:w="80" w:type="dxa"/>
              <w:left w:w="95" w:type="dxa"/>
              <w:right w:w="95" w:type="dxa"/>
            </w:tcMar>
            <w:shd w:fill="FFFFFF"/>
          </w:tcPr>
          <w:p>
            <w:pPr>
              <w:spacing w:after="0" w:line="250" w:lineRule="auto"/>
            </w:pPr>
            <w:r>
              <w:rPr>
                <w:b w:val="0"/>
                <w:color w:val="000000"/>
                <w:sz w:val="18"/>
              </w:rPr>
              <w:t>At-risk service, warning status, provider segment strip when counts exist, backlog/error trend, latest source time</w:t>
            </w:r>
          </w:p>
        </w:tc>
      </w:tr>
      <w:tr>
        <w:trPr>
          <w:cantSplit/>
        </w:trPr>
        <w:tc>
          <w:tcPr>
            <w:tcW w:type="dxa" w:w="2477"/>
            <w:vAlign w:val="center"/>
            <w:tcMar>
              <w:top w:w="80" w:type="dxa"/>
              <w:bottom w:w="80" w:type="dxa"/>
              <w:left w:w="95" w:type="dxa"/>
              <w:right w:w="95" w:type="dxa"/>
            </w:tcMar>
            <w:shd w:fill="F2F5F7"/>
          </w:tcPr>
          <w:p>
            <w:pPr>
              <w:spacing w:after="0" w:line="250" w:lineRule="auto"/>
            </w:pPr>
            <w:r>
              <w:rPr>
                <w:b w:val="0"/>
                <w:color w:val="000000"/>
                <w:sz w:val="18"/>
              </w:rPr>
              <w:t>Incident detail</w:t>
            </w:r>
          </w:p>
        </w:tc>
        <w:tc>
          <w:tcPr>
            <w:tcW w:type="dxa" w:w="7416"/>
            <w:vAlign w:val="center"/>
            <w:tcMar>
              <w:top w:w="80" w:type="dxa"/>
              <w:bottom w:w="80" w:type="dxa"/>
              <w:left w:w="95" w:type="dxa"/>
              <w:right w:w="95" w:type="dxa"/>
            </w:tcMar>
            <w:shd w:fill="F2F5F7"/>
          </w:tcPr>
          <w:p>
            <w:pPr>
              <w:spacing w:after="0" w:line="250" w:lineRule="auto"/>
            </w:pPr>
            <w:r>
              <w:rPr>
                <w:b w:val="0"/>
                <w:color w:val="000000"/>
                <w:sz w:val="18"/>
              </w:rPr>
              <w:t>Goal; plan revisions; facts and counterevidence; hypotheses; tool results; similar verified cases; runbook; policy/action/verification state</w:t>
            </w:r>
          </w:p>
        </w:tc>
      </w:tr>
      <w:tr>
        <w:trPr>
          <w:cantSplit/>
        </w:trPr>
        <w:tc>
          <w:tcPr>
            <w:tcW w:type="dxa" w:w="2477"/>
            <w:vAlign w:val="center"/>
            <w:tcMar>
              <w:top w:w="80" w:type="dxa"/>
              <w:bottom w:w="80" w:type="dxa"/>
              <w:left w:w="95" w:type="dxa"/>
              <w:right w:w="95" w:type="dxa"/>
            </w:tcMar>
            <w:shd w:fill="FFFFFF"/>
          </w:tcPr>
          <w:p>
            <w:pPr>
              <w:spacing w:after="0" w:line="250" w:lineRule="auto"/>
            </w:pPr>
            <w:r>
              <w:rPr>
                <w:b w:val="0"/>
                <w:color w:val="000000"/>
                <w:sz w:val="18"/>
              </w:rPr>
              <w:t>Scorecard</w:t>
            </w:r>
          </w:p>
        </w:tc>
        <w:tc>
          <w:tcPr>
            <w:tcW w:type="dxa" w:w="7416"/>
            <w:vAlign w:val="center"/>
            <w:tcMar>
              <w:top w:w="80" w:type="dxa"/>
              <w:bottom w:w="80" w:type="dxa"/>
              <w:left w:w="95" w:type="dxa"/>
              <w:right w:w="95" w:type="dxa"/>
            </w:tcMar>
            <w:shd w:fill="FFFFFF"/>
          </w:tcPr>
          <w:p>
            <w:pPr>
              <w:spacing w:after="0" w:line="250" w:lineRule="auto"/>
            </w:pPr>
            <w:r>
              <w:rPr>
                <w:b w:val="0"/>
                <w:color w:val="000000"/>
                <w:sz w:val="18"/>
              </w:rPr>
              <w:t>Source/partition/version; baseline comparison; lead distribution; FPR denominators; false alarms and misses; measured versus unmeasured fields</w:t>
            </w:r>
          </w:p>
        </w:tc>
      </w:tr>
      <w:tr>
        <w:trPr>
          <w:cantSplit/>
        </w:trPr>
        <w:tc>
          <w:tcPr>
            <w:tcW w:type="dxa" w:w="2477"/>
            <w:vAlign w:val="center"/>
            <w:tcMar>
              <w:top w:w="80" w:type="dxa"/>
              <w:bottom w:w="80" w:type="dxa"/>
              <w:left w:w="95" w:type="dxa"/>
              <w:right w:w="95" w:type="dxa"/>
            </w:tcMar>
            <w:shd w:fill="F2F5F7"/>
          </w:tcPr>
          <w:p>
            <w:pPr>
              <w:spacing w:after="0" w:line="250" w:lineRule="auto"/>
            </w:pPr>
            <w:r>
              <w:rPr>
                <w:b w:val="0"/>
                <w:color w:val="000000"/>
                <w:sz w:val="18"/>
              </w:rPr>
              <w:t>Replay and controls</w:t>
            </w:r>
          </w:p>
        </w:tc>
        <w:tc>
          <w:tcPr>
            <w:tcW w:type="dxa" w:w="7416"/>
            <w:vAlign w:val="center"/>
            <w:tcMar>
              <w:top w:w="80" w:type="dxa"/>
              <w:bottom w:w="80" w:type="dxa"/>
              <w:left w:w="95" w:type="dxa"/>
              <w:right w:w="95" w:type="dxa"/>
            </w:tcMar>
            <w:shd w:fill="F2F5F7"/>
          </w:tcPr>
          <w:p>
            <w:pPr>
              <w:spacing w:after="0" w:line="250" w:lineRule="auto"/>
            </w:pPr>
            <w:r>
              <w:rPr>
                <w:b w:val="0"/>
                <w:color w:val="000000"/>
                <w:sz w:val="18"/>
              </w:rPr>
              <w:t>Fixture/seed, pause/step/speed, incoming events, no-action/action worlds, sandbox fault/reset and mutation kill switch</w:t>
            </w:r>
          </w:p>
        </w:tc>
      </w:tr>
    </w:tbl>
    <w:p>
      <w:pPr>
        <w:spacing w:after="20" w:before="0" w:line="96" w:lineRule="auto"/>
      </w:pPr>
      <w:r>
        <w:rPr>
          <w:sz w:val="4"/>
        </w:rPr>
      </w:r>
    </w:p>
    <w:p>
      <w:r>
        <w:rPr>
          <w:b w:val="0"/>
        </w:rPr>
        <w:t>A technical/operations summary toggle is useful if both versions remain grounded. Use evidence grades instead of uncalibrated percentage-confidence bars. A similarity score may be shown with its definition, not as “84% likely same cause.” Hide unsupported countdowns and monetary tickers. Accessibility requires status text alongside color, keyboard actions, readable units and visible error/empty states.</w:t>
      </w:r>
    </w:p>
    <w:p>
      <w:pPr>
        <w:pStyle w:val="Heading2"/>
      </w:pPr>
      <w:r>
        <w:rPr>
          <w:b w:val="0"/>
        </w:rPr>
        <w:t>Five minute core demonstration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773"/>
        <w:gridCol w:w="3816"/>
      </w:tblGrid>
      <w:tr>
        <w:trPr>
          <w:cantSplit/>
          <w:tblHeader/>
        </w:trPr>
        <w:tc>
          <w:tcPr>
            <w:tcW w:type="dxa" w:w="2304"/>
            <w:vAlign w:val="center"/>
            <w:tcMar>
              <w:top w:w="80" w:type="dxa"/>
              <w:bottom w:w="80" w:type="dxa"/>
              <w:left w:w="95" w:type="dxa"/>
              <w:right w:w="95" w:type="dxa"/>
            </w:tcMar>
            <w:shd w:fill="243F52"/>
          </w:tcPr>
          <w:p>
            <w:pPr>
              <w:spacing w:after="0" w:line="250" w:lineRule="auto"/>
            </w:pPr>
            <w:r>
              <w:rPr>
                <w:b/>
                <w:color w:val="FFFFFF"/>
                <w:sz w:val="18"/>
              </w:rPr>
              <w:t>Time</w:t>
            </w:r>
          </w:p>
        </w:tc>
        <w:tc>
          <w:tcPr>
            <w:tcW w:type="dxa" w:w="3773"/>
            <w:vAlign w:val="center"/>
            <w:tcMar>
              <w:top w:w="80" w:type="dxa"/>
              <w:bottom w:w="80" w:type="dxa"/>
              <w:left w:w="95" w:type="dxa"/>
              <w:right w:w="95" w:type="dxa"/>
            </w:tcMar>
            <w:shd w:fill="243F52"/>
          </w:tcPr>
          <w:p>
            <w:pPr>
              <w:spacing w:after="0" w:line="250" w:lineRule="auto"/>
            </w:pPr>
            <w:r>
              <w:rPr>
                <w:b/>
                <w:color w:val="FFFFFF"/>
                <w:sz w:val="18"/>
              </w:rPr>
              <w:t>Beat</w:t>
            </w:r>
          </w:p>
        </w:tc>
        <w:tc>
          <w:tcPr>
            <w:tcW w:type="dxa" w:w="3816"/>
            <w:vAlign w:val="center"/>
            <w:tcMar>
              <w:top w:w="80" w:type="dxa"/>
              <w:bottom w:w="80" w:type="dxa"/>
              <w:left w:w="95" w:type="dxa"/>
              <w:right w:w="95" w:type="dxa"/>
            </w:tcMar>
            <w:shd w:fill="243F52"/>
          </w:tcPr>
          <w:p>
            <w:pPr>
              <w:spacing w:after="0" w:line="250" w:lineRule="auto"/>
            </w:pPr>
            <w:r>
              <w:rPr>
                <w:b/>
                <w:color w:val="FFFFFF"/>
                <w:sz w:val="18"/>
              </w:rPr>
              <w:t>Proof</w:t>
            </w:r>
          </w:p>
        </w:tc>
      </w:tr>
      <w:tr>
        <w:trPr>
          <w:cantSplit/>
        </w:trPr>
        <w:tc>
          <w:tcPr>
            <w:tcW w:type="dxa" w:w="2304"/>
            <w:vAlign w:val="center"/>
            <w:tcMar>
              <w:top w:w="80" w:type="dxa"/>
              <w:bottom w:w="80" w:type="dxa"/>
              <w:left w:w="95" w:type="dxa"/>
              <w:right w:w="95" w:type="dxa"/>
            </w:tcMar>
            <w:shd w:fill="FFFFFF"/>
          </w:tcPr>
          <w:p>
            <w:pPr>
              <w:spacing w:after="0" w:line="250" w:lineRule="auto"/>
            </w:pPr>
            <w:r>
              <w:rPr>
                <w:b w:val="0"/>
                <w:color w:val="000000"/>
                <w:sz w:val="18"/>
              </w:rPr>
              <w:t>0:00–0:30</w:t>
            </w:r>
          </w:p>
        </w:tc>
        <w:tc>
          <w:tcPr>
            <w:tcW w:type="dxa" w:w="3773"/>
            <w:vAlign w:val="center"/>
            <w:tcMar>
              <w:top w:w="80" w:type="dxa"/>
              <w:bottom w:w="80" w:type="dxa"/>
              <w:left w:w="95" w:type="dxa"/>
              <w:right w:w="95" w:type="dxa"/>
            </w:tcMar>
            <w:shd w:fill="FFFFFF"/>
          </w:tcPr>
          <w:p>
            <w:pPr>
              <w:spacing w:after="0" w:line="250" w:lineRule="auto"/>
            </w:pPr>
            <w:r>
              <w:rPr>
                <w:b w:val="0"/>
                <w:color w:val="000000"/>
                <w:sz w:val="18"/>
              </w:rPr>
              <w:t>Define the payment retry cascade and mode</w:t>
            </w:r>
          </w:p>
        </w:tc>
        <w:tc>
          <w:tcPr>
            <w:tcW w:type="dxa" w:w="3816"/>
            <w:vAlign w:val="center"/>
            <w:tcMar>
              <w:top w:w="80" w:type="dxa"/>
              <w:bottom w:w="80" w:type="dxa"/>
              <w:left w:w="95" w:type="dxa"/>
              <w:right w:w="95" w:type="dxa"/>
            </w:tcMar>
            <w:shd w:fill="FFFFFF"/>
          </w:tcPr>
          <w:p>
            <w:pPr>
              <w:spacing w:after="0" w:line="250" w:lineRule="auto"/>
            </w:pPr>
            <w:r>
              <w:rPr>
                <w:b w:val="0"/>
                <w:color w:val="000000"/>
                <w:sz w:val="18"/>
              </w:rPr>
              <w:t>Synthetic or sandbox scope explicit; no borrowed outage statistics</w:t>
            </w:r>
          </w:p>
        </w:tc>
      </w:tr>
      <w:tr>
        <w:trPr>
          <w:cantSplit/>
        </w:trPr>
        <w:tc>
          <w:tcPr>
            <w:tcW w:type="dxa" w:w="2304"/>
            <w:vAlign w:val="center"/>
            <w:tcMar>
              <w:top w:w="80" w:type="dxa"/>
              <w:bottom w:w="80" w:type="dxa"/>
              <w:left w:w="95" w:type="dxa"/>
              <w:right w:w="95" w:type="dxa"/>
            </w:tcMar>
            <w:shd w:fill="F2F5F7"/>
          </w:tcPr>
          <w:p>
            <w:pPr>
              <w:spacing w:after="0" w:line="250" w:lineRule="auto"/>
            </w:pPr>
            <w:r>
              <w:rPr>
                <w:b w:val="0"/>
                <w:color w:val="000000"/>
                <w:sz w:val="18"/>
              </w:rPr>
              <w:t>0:30–1:10</w:t>
            </w:r>
          </w:p>
        </w:tc>
        <w:tc>
          <w:tcPr>
            <w:tcW w:type="dxa" w:w="3773"/>
            <w:vAlign w:val="center"/>
            <w:tcMar>
              <w:top w:w="80" w:type="dxa"/>
              <w:bottom w:w="80" w:type="dxa"/>
              <w:left w:w="95" w:type="dxa"/>
              <w:right w:w="95" w:type="dxa"/>
            </w:tcMar>
            <w:shd w:fill="F2F5F7"/>
          </w:tcPr>
          <w:p>
            <w:pPr>
              <w:spacing w:after="0" w:line="250" w:lineRule="auto"/>
            </w:pPr>
            <w:r>
              <w:rPr>
                <w:b w:val="0"/>
                <w:color w:val="000000"/>
                <w:sz w:val="18"/>
              </w:rPr>
              <w:t>Healthy stream then subtle degradation</w:t>
            </w:r>
          </w:p>
        </w:tc>
        <w:tc>
          <w:tcPr>
            <w:tcW w:type="dxa" w:w="3816"/>
            <w:vAlign w:val="center"/>
            <w:tcMar>
              <w:top w:w="80" w:type="dxa"/>
              <w:bottom w:w="80" w:type="dxa"/>
              <w:left w:w="95" w:type="dxa"/>
              <w:right w:w="95" w:type="dxa"/>
            </w:tcMar>
            <w:shd w:fill="F2F5F7"/>
          </w:tcPr>
          <w:p>
            <w:pPr>
              <w:spacing w:after="0" w:line="250" w:lineRule="auto"/>
            </w:pPr>
            <w:r>
              <w:rPr>
                <w:b w:val="0"/>
                <w:color w:val="000000"/>
                <w:sz w:val="18"/>
              </w:rPr>
              <w:t>Fresh observations and persistent multivariate warning</w:t>
            </w:r>
          </w:p>
        </w:tc>
      </w:tr>
      <w:tr>
        <w:trPr>
          <w:cantSplit/>
        </w:trPr>
        <w:tc>
          <w:tcPr>
            <w:tcW w:type="dxa" w:w="2304"/>
            <w:vAlign w:val="center"/>
            <w:tcMar>
              <w:top w:w="80" w:type="dxa"/>
              <w:bottom w:w="80" w:type="dxa"/>
              <w:left w:w="95" w:type="dxa"/>
              <w:right w:w="95" w:type="dxa"/>
            </w:tcMar>
            <w:shd w:fill="FFFFFF"/>
          </w:tcPr>
          <w:p>
            <w:pPr>
              <w:spacing w:after="0" w:line="250" w:lineRule="auto"/>
            </w:pPr>
            <w:r>
              <w:rPr>
                <w:b w:val="0"/>
                <w:color w:val="000000"/>
                <w:sz w:val="18"/>
              </w:rPr>
              <w:t>1:10–2:10</w:t>
            </w:r>
          </w:p>
        </w:tc>
        <w:tc>
          <w:tcPr>
            <w:tcW w:type="dxa" w:w="3773"/>
            <w:vAlign w:val="center"/>
            <w:tcMar>
              <w:top w:w="80" w:type="dxa"/>
              <w:bottom w:w="80" w:type="dxa"/>
              <w:left w:w="95" w:type="dxa"/>
              <w:right w:w="95" w:type="dxa"/>
            </w:tcMar>
            <w:shd w:fill="FFFFFF"/>
          </w:tcPr>
          <w:p>
            <w:pPr>
              <w:spacing w:after="0" w:line="250" w:lineRule="auto"/>
            </w:pPr>
            <w:r>
              <w:rPr>
                <w:b w:val="0"/>
                <w:color w:val="000000"/>
                <w:sz w:val="18"/>
              </w:rPr>
              <w:t>Investigate and challenge</w:t>
            </w:r>
          </w:p>
        </w:tc>
        <w:tc>
          <w:tcPr>
            <w:tcW w:type="dxa" w:w="3816"/>
            <w:vAlign w:val="center"/>
            <w:tcMar>
              <w:top w:w="80" w:type="dxa"/>
              <w:bottom w:w="80" w:type="dxa"/>
              <w:left w:w="95" w:type="dxa"/>
              <w:right w:w="95" w:type="dxa"/>
            </w:tcMar>
            <w:shd w:fill="FFFFFF"/>
          </w:tcPr>
          <w:p>
            <w:pPr>
              <w:spacing w:after="0" w:line="250" w:lineRule="auto"/>
            </w:pPr>
            <w:r>
              <w:rPr>
                <w:b w:val="0"/>
                <w:color w:val="000000"/>
                <w:sz w:val="18"/>
              </w:rPr>
              <w:t>Chosen diagnostic, prior case or no-match, counterevidence and plan revision</w:t>
            </w:r>
          </w:p>
        </w:tc>
      </w:tr>
      <w:tr>
        <w:trPr>
          <w:cantSplit/>
        </w:trPr>
        <w:tc>
          <w:tcPr>
            <w:tcW w:type="dxa" w:w="2304"/>
            <w:vAlign w:val="center"/>
            <w:tcMar>
              <w:top w:w="80" w:type="dxa"/>
              <w:bottom w:w="80" w:type="dxa"/>
              <w:left w:w="95" w:type="dxa"/>
              <w:right w:w="95" w:type="dxa"/>
            </w:tcMar>
            <w:shd w:fill="F2F5F7"/>
          </w:tcPr>
          <w:p>
            <w:pPr>
              <w:spacing w:after="0" w:line="250" w:lineRule="auto"/>
            </w:pPr>
            <w:r>
              <w:rPr>
                <w:b w:val="0"/>
                <w:color w:val="000000"/>
                <w:sz w:val="18"/>
              </w:rPr>
              <w:t>2:10–3:10</w:t>
            </w:r>
          </w:p>
        </w:tc>
        <w:tc>
          <w:tcPr>
            <w:tcW w:type="dxa" w:w="3773"/>
            <w:vAlign w:val="center"/>
            <w:tcMar>
              <w:top w:w="80" w:type="dxa"/>
              <w:bottom w:w="80" w:type="dxa"/>
              <w:left w:w="95" w:type="dxa"/>
              <w:right w:w="95" w:type="dxa"/>
            </w:tcMar>
            <w:shd w:fill="F2F5F7"/>
          </w:tcPr>
          <w:p>
            <w:pPr>
              <w:spacing w:after="0" w:line="250" w:lineRule="auto"/>
            </w:pPr>
            <w:r>
              <w:rPr>
                <w:b w:val="0"/>
                <w:color w:val="000000"/>
                <w:sz w:val="18"/>
              </w:rPr>
              <w:t>Ticket, policy and action</w:t>
            </w:r>
          </w:p>
        </w:tc>
        <w:tc>
          <w:tcPr>
            <w:tcW w:type="dxa" w:w="3816"/>
            <w:vAlign w:val="center"/>
            <w:tcMar>
              <w:top w:w="80" w:type="dxa"/>
              <w:bottom w:w="80" w:type="dxa"/>
              <w:left w:w="95" w:type="dxa"/>
              <w:right w:w="95" w:type="dxa"/>
            </w:tcMar>
            <w:shd w:fill="F2F5F7"/>
          </w:tcPr>
          <w:p>
            <w:pPr>
              <w:spacing w:after="0" w:line="250" w:lineRule="auto"/>
            </w:pPr>
            <w:r>
              <w:rPr>
                <w:b w:val="0"/>
                <w:color w:val="000000"/>
                <w:sz w:val="18"/>
              </w:rPr>
              <w:t>Internal alert/ticket receipt; versioned sandbox intervention; no invented execution</w:t>
            </w:r>
          </w:p>
        </w:tc>
      </w:tr>
      <w:tr>
        <w:trPr>
          <w:cantSplit/>
        </w:trPr>
        <w:tc>
          <w:tcPr>
            <w:tcW w:type="dxa" w:w="2304"/>
            <w:vAlign w:val="center"/>
            <w:tcMar>
              <w:top w:w="80" w:type="dxa"/>
              <w:bottom w:w="80" w:type="dxa"/>
              <w:left w:w="95" w:type="dxa"/>
              <w:right w:w="95" w:type="dxa"/>
            </w:tcMar>
            <w:shd w:fill="FFFFFF"/>
          </w:tcPr>
          <w:p>
            <w:pPr>
              <w:spacing w:after="0" w:line="250" w:lineRule="auto"/>
            </w:pPr>
            <w:r>
              <w:rPr>
                <w:b w:val="0"/>
                <w:color w:val="000000"/>
                <w:sz w:val="18"/>
              </w:rPr>
              <w:t>3:10–3:50</w:t>
            </w:r>
          </w:p>
        </w:tc>
        <w:tc>
          <w:tcPr>
            <w:tcW w:type="dxa" w:w="3773"/>
            <w:vAlign w:val="center"/>
            <w:tcMar>
              <w:top w:w="80" w:type="dxa"/>
              <w:bottom w:w="80" w:type="dxa"/>
              <w:left w:w="95" w:type="dxa"/>
              <w:right w:w="95" w:type="dxa"/>
            </w:tcMar>
            <w:shd w:fill="FFFFFF"/>
          </w:tcPr>
          <w:p>
            <w:pPr>
              <w:spacing w:after="0" w:line="250" w:lineRule="auto"/>
            </w:pPr>
            <w:r>
              <w:rPr>
                <w:b w:val="0"/>
                <w:color w:val="000000"/>
                <w:sz w:val="18"/>
              </w:rPr>
              <w:t>Verify against no-action evidence</w:t>
            </w:r>
          </w:p>
        </w:tc>
        <w:tc>
          <w:tcPr>
            <w:tcW w:type="dxa" w:w="3816"/>
            <w:vAlign w:val="center"/>
            <w:tcMar>
              <w:top w:w="80" w:type="dxa"/>
              <w:bottom w:w="80" w:type="dxa"/>
              <w:left w:w="95" w:type="dxa"/>
              <w:right w:w="95" w:type="dxa"/>
            </w:tcMar>
            <w:shd w:fill="FFFFFF"/>
          </w:tcPr>
          <w:p>
            <w:pPr>
              <w:spacing w:after="0" w:line="250" w:lineRule="auto"/>
            </w:pPr>
            <w:r>
              <w:rPr>
                <w:b w:val="0"/>
                <w:color w:val="000000"/>
                <w:sz w:val="18"/>
              </w:rPr>
              <w:t>Queue/error outcome and failed/inconclusive path available</w:t>
            </w:r>
          </w:p>
        </w:tc>
      </w:tr>
      <w:tr>
        <w:trPr>
          <w:cantSplit/>
        </w:trPr>
        <w:tc>
          <w:tcPr>
            <w:tcW w:type="dxa" w:w="2304"/>
            <w:vAlign w:val="center"/>
            <w:tcMar>
              <w:top w:w="80" w:type="dxa"/>
              <w:bottom w:w="80" w:type="dxa"/>
              <w:left w:w="95" w:type="dxa"/>
              <w:right w:w="95" w:type="dxa"/>
            </w:tcMar>
            <w:shd w:fill="F2F5F7"/>
          </w:tcPr>
          <w:p>
            <w:pPr>
              <w:spacing w:after="0" w:line="250" w:lineRule="auto"/>
            </w:pPr>
            <w:r>
              <w:rPr>
                <w:b w:val="0"/>
                <w:color w:val="000000"/>
                <w:sz w:val="18"/>
              </w:rPr>
              <w:t>3:50–4:30</w:t>
            </w:r>
          </w:p>
        </w:tc>
        <w:tc>
          <w:tcPr>
            <w:tcW w:type="dxa" w:w="3773"/>
            <w:vAlign w:val="center"/>
            <w:tcMar>
              <w:top w:w="80" w:type="dxa"/>
              <w:bottom w:w="80" w:type="dxa"/>
              <w:left w:w="95" w:type="dxa"/>
              <w:right w:w="95" w:type="dxa"/>
            </w:tcMar>
            <w:shd w:fill="F2F5F7"/>
          </w:tcPr>
          <w:p>
            <w:pPr>
              <w:spacing w:after="0" w:line="250" w:lineRule="auto"/>
            </w:pPr>
            <w:r>
              <w:rPr>
                <w:b w:val="0"/>
                <w:color w:val="000000"/>
                <w:sz w:val="18"/>
              </w:rPr>
              <w:t>Correlated negative or recovering watch</w:t>
            </w:r>
          </w:p>
        </w:tc>
        <w:tc>
          <w:tcPr>
            <w:tcW w:type="dxa" w:w="3816"/>
            <w:vAlign w:val="center"/>
            <w:tcMar>
              <w:top w:w="80" w:type="dxa"/>
              <w:bottom w:w="80" w:type="dxa"/>
              <w:left w:w="95" w:type="dxa"/>
              <w:right w:w="95" w:type="dxa"/>
            </w:tcMar>
            <w:shd w:fill="F2F5F7"/>
          </w:tcPr>
          <w:p>
            <w:pPr>
              <w:spacing w:after="0" w:line="250" w:lineRule="auto"/>
            </w:pPr>
            <w:r>
              <w:rPr>
                <w:b w:val="0"/>
                <w:color w:val="000000"/>
                <w:sz w:val="18"/>
              </w:rPr>
              <w:t>No unnecessary intervention; calendar alone cannot dismiss worsening outcomes</w:t>
            </w:r>
          </w:p>
        </w:tc>
      </w:tr>
      <w:tr>
        <w:trPr>
          <w:cantSplit/>
        </w:trPr>
        <w:tc>
          <w:tcPr>
            <w:tcW w:type="dxa" w:w="2304"/>
            <w:vAlign w:val="center"/>
            <w:tcMar>
              <w:top w:w="80" w:type="dxa"/>
              <w:bottom w:w="80" w:type="dxa"/>
              <w:left w:w="95" w:type="dxa"/>
              <w:right w:w="95" w:type="dxa"/>
            </w:tcMar>
            <w:shd w:fill="FFFFFF"/>
          </w:tcPr>
          <w:p>
            <w:pPr>
              <w:spacing w:after="0" w:line="250" w:lineRule="auto"/>
            </w:pPr>
            <w:r>
              <w:rPr>
                <w:b w:val="0"/>
                <w:color w:val="000000"/>
                <w:sz w:val="18"/>
              </w:rPr>
              <w:t>4:30–5:00</w:t>
            </w:r>
          </w:p>
        </w:tc>
        <w:tc>
          <w:tcPr>
            <w:tcW w:type="dxa" w:w="3773"/>
            <w:vAlign w:val="center"/>
            <w:tcMar>
              <w:top w:w="80" w:type="dxa"/>
              <w:bottom w:w="80" w:type="dxa"/>
              <w:left w:w="95" w:type="dxa"/>
              <w:right w:w="95" w:type="dxa"/>
            </w:tcMar>
            <w:shd w:fill="FFFFFF"/>
          </w:tcPr>
          <w:p>
            <w:pPr>
              <w:spacing w:after="0" w:line="250" w:lineRule="auto"/>
            </w:pPr>
            <w:r>
              <w:rPr>
                <w:b w:val="0"/>
                <w:color w:val="000000"/>
                <w:sz w:val="18"/>
              </w:rPr>
              <w:t>Sample-data lane and aggregate scorecard</w:t>
            </w:r>
          </w:p>
        </w:tc>
        <w:tc>
          <w:tcPr>
            <w:tcW w:type="dxa" w:w="3816"/>
            <w:vAlign w:val="center"/>
            <w:tcMar>
              <w:top w:w="80" w:type="dxa"/>
              <w:bottom w:w="80" w:type="dxa"/>
              <w:left w:w="95" w:type="dxa"/>
              <w:right w:w="95" w:type="dxa"/>
            </w:tcMar>
            <w:shd w:fill="FFFFFF"/>
          </w:tcPr>
          <w:p>
            <w:pPr>
              <w:spacing w:after="0" w:line="250" w:lineRule="auto"/>
            </w:pPr>
            <w:r>
              <w:rPr>
                <w:b w:val="0"/>
                <w:color w:val="000000"/>
                <w:sz w:val="18"/>
              </w:rPr>
              <w:t>Original rows, correct 44% versus 4.66% distinction, limits and false alarms</w:t>
            </w:r>
          </w:p>
        </w:tc>
      </w:tr>
    </w:tbl>
    <w:p>
      <w:pPr>
        <w:spacing w:after="20" w:before="0" w:line="96" w:lineRule="auto"/>
      </w:pPr>
      <w:r>
        <w:rPr>
          <w:sz w:val="4"/>
        </w:rPr>
      </w:r>
    </w:p>
    <w:p>
      <w:r>
        <w:rPr>
          <w:b w:val="0"/>
        </w:rPr>
        <w:t>Pitch: “Foresight watches a payment service for retry cascades, gathers the evidence an engineer needs, challenges its first explanation and opens a preventive ticket. It demonstrates a bounded sandbox response and verifies what happened. We show warning time, false alarms and failures against the same input, with synthetic evidence clearly labeled.”</w:t>
      </w:r>
    </w:p>
    <w:p>
      <w:r>
        <w:rPr>
          <w:b w:val="0"/>
        </w:rPr>
        <w:t>A seven-minute version can add the segment low-volume case and a model-outage fallback. Confirm actual presentation length; a historical plan's seven-minute assumption is not an organizer rule. If cloud or model services fail, show a labeled recording and saved scorecard. Recorded tool results must never be presented as live model calls. A backup is not proof that a live deployment exists.</w:t>
      </w:r>
    </w:p>
    <w:p>
      <w:r>
        <w:br w:type="page"/>
      </w:r>
    </w:p>
    <w:p>
      <w:pPr>
        <w:pStyle w:val="Heading1"/>
      </w:pPr>
      <w:r>
        <w:rPr>
          <w:b w:val="0"/>
        </w:rPr>
        <w:t>15 Delivery roadmap and feature cuts</w:t>
      </w:r>
    </w:p>
    <w:p>
      <w:r>
        <w:rPr>
          <w:b w:val="0"/>
        </w:rPr>
        <w:t>Actual build window, headcount and account access remain unconfirmed. The four-hour and eight-hour source schedules are assumptions, not commitments. The previously estimated 46–71 person-hours describe a broader application build. Reusing finished analysis reduces data work, but does not make the expanded platform fit twelve person-hours.</w:t>
      </w:r>
    </w:p>
    <w:p>
      <w:r>
        <w:rPr>
          <w:b w:val="0"/>
        </w:rPr>
        <w:t xml:space="preserve">For a four-hour window with three experienced builders, treat the following as a </w:t>
      </w:r>
      <w:r>
        <w:rPr>
          <w:b/>
        </w:rPr>
        <w:t>conditional demonstration sprint</w:t>
      </w:r>
      <w:r>
        <w:rPr>
          <w:b w:val="0"/>
        </w:rPr>
        <w:t>, requiring cloud credentials, familiar scaffolds and a working schema/model smoke test. It is not a production-readiness promise. Failure at a checkpoint triggers cuts immediately.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773"/>
        <w:gridCol w:w="3816"/>
      </w:tblGrid>
      <w:tr>
        <w:trPr>
          <w:cantSplit/>
          <w:tblHeader/>
        </w:trPr>
        <w:tc>
          <w:tcPr>
            <w:tcW w:type="dxa" w:w="2304"/>
            <w:vAlign w:val="center"/>
            <w:tcMar>
              <w:top w:w="80" w:type="dxa"/>
              <w:bottom w:w="80" w:type="dxa"/>
              <w:left w:w="95" w:type="dxa"/>
              <w:right w:w="95" w:type="dxa"/>
            </w:tcMar>
            <w:shd w:fill="243F52"/>
          </w:tcPr>
          <w:p>
            <w:pPr>
              <w:spacing w:after="0" w:line="250" w:lineRule="auto"/>
            </w:pPr>
            <w:r>
              <w:rPr>
                <w:b/>
                <w:color w:val="FFFFFF"/>
                <w:sz w:val="18"/>
              </w:rPr>
              <w:t>Elapsed time</w:t>
            </w:r>
          </w:p>
        </w:tc>
        <w:tc>
          <w:tcPr>
            <w:tcW w:type="dxa" w:w="3773"/>
            <w:vAlign w:val="center"/>
            <w:tcMar>
              <w:top w:w="80" w:type="dxa"/>
              <w:bottom w:w="80" w:type="dxa"/>
              <w:left w:w="95" w:type="dxa"/>
              <w:right w:w="95" w:type="dxa"/>
            </w:tcMar>
            <w:shd w:fill="243F52"/>
          </w:tcPr>
          <w:p>
            <w:pPr>
              <w:spacing w:after="0" w:line="250" w:lineRule="auto"/>
            </w:pPr>
            <w:r>
              <w:rPr>
                <w:b/>
                <w:color w:val="FFFFFF"/>
                <w:sz w:val="18"/>
              </w:rPr>
              <w:t>Deliverable and dependency</w:t>
            </w:r>
          </w:p>
        </w:tc>
        <w:tc>
          <w:tcPr>
            <w:tcW w:type="dxa" w:w="3816"/>
            <w:vAlign w:val="center"/>
            <w:tcMar>
              <w:top w:w="80" w:type="dxa"/>
              <w:bottom w:w="80" w:type="dxa"/>
              <w:left w:w="95" w:type="dxa"/>
              <w:right w:w="95" w:type="dxa"/>
            </w:tcMar>
            <w:shd w:fill="243F52"/>
          </w:tcPr>
          <w:p>
            <w:pPr>
              <w:spacing w:after="0" w:line="250" w:lineRule="auto"/>
            </w:pPr>
            <w:r>
              <w:rPr>
                <w:b/>
                <w:color w:val="FFFFFF"/>
                <w:sz w:val="18"/>
              </w:rPr>
              <w:t>Pass or cut decision</w:t>
            </w:r>
          </w:p>
        </w:tc>
      </w:tr>
      <w:tr>
        <w:trPr>
          <w:cantSplit/>
        </w:trPr>
        <w:tc>
          <w:tcPr>
            <w:tcW w:type="dxa" w:w="2304"/>
            <w:vAlign w:val="center"/>
            <w:tcMar>
              <w:top w:w="80" w:type="dxa"/>
              <w:bottom w:w="80" w:type="dxa"/>
              <w:left w:w="95" w:type="dxa"/>
              <w:right w:w="95" w:type="dxa"/>
            </w:tcMar>
            <w:shd w:fill="FFFFFF"/>
          </w:tcPr>
          <w:p>
            <w:pPr>
              <w:spacing w:after="0" w:line="250" w:lineRule="auto"/>
            </w:pPr>
            <w:r>
              <w:rPr>
                <w:b w:val="0"/>
                <w:color w:val="000000"/>
                <w:sz w:val="18"/>
              </w:rPr>
              <w:t>0:00–0:20</w:t>
            </w:r>
          </w:p>
        </w:tc>
        <w:tc>
          <w:tcPr>
            <w:tcW w:type="dxa" w:w="3773"/>
            <w:vAlign w:val="center"/>
            <w:tcMar>
              <w:top w:w="80" w:type="dxa"/>
              <w:bottom w:w="80" w:type="dxa"/>
              <w:left w:w="95" w:type="dxa"/>
              <w:right w:w="95" w:type="dxa"/>
            </w:tcMar>
            <w:shd w:fill="FFFFFF"/>
          </w:tcPr>
          <w:p>
            <w:pPr>
              <w:spacing w:after="0" w:line="250" w:lineRule="auto"/>
            </w:pPr>
            <w:r>
              <w:rPr>
                <w:b w:val="0"/>
                <w:color w:val="000000"/>
                <w:sz w:val="18"/>
              </w:rPr>
              <w:t>Freeze contracts, roles and fixture; deploy hello-world; verify model access</w:t>
            </w:r>
          </w:p>
        </w:tc>
        <w:tc>
          <w:tcPr>
            <w:tcW w:type="dxa" w:w="3816"/>
            <w:vAlign w:val="center"/>
            <w:tcMar>
              <w:top w:w="80" w:type="dxa"/>
              <w:bottom w:w="80" w:type="dxa"/>
              <w:left w:w="95" w:type="dxa"/>
              <w:right w:w="95" w:type="dxa"/>
            </w:tcMar>
            <w:shd w:fill="FFFFFF"/>
          </w:tcPr>
          <w:p>
            <w:pPr>
              <w:spacing w:after="0" w:line="250" w:lineRule="auto"/>
            </w:pPr>
            <w:r>
              <w:rPr>
                <w:b w:val="0"/>
                <w:color w:val="000000"/>
                <w:sz w:val="18"/>
              </w:rPr>
              <w:t>Access blocked: prepare clearly labeled local backup while resolving cloud access</w:t>
            </w:r>
          </w:p>
        </w:tc>
      </w:tr>
      <w:tr>
        <w:trPr>
          <w:cantSplit/>
        </w:trPr>
        <w:tc>
          <w:tcPr>
            <w:tcW w:type="dxa" w:w="2304"/>
            <w:vAlign w:val="center"/>
            <w:tcMar>
              <w:top w:w="80" w:type="dxa"/>
              <w:bottom w:w="80" w:type="dxa"/>
              <w:left w:w="95" w:type="dxa"/>
              <w:right w:w="95" w:type="dxa"/>
            </w:tcMar>
            <w:shd w:fill="F2F5F7"/>
          </w:tcPr>
          <w:p>
            <w:pPr>
              <w:spacing w:after="0" w:line="250" w:lineRule="auto"/>
            </w:pPr>
            <w:r>
              <w:rPr>
                <w:b w:val="0"/>
                <w:color w:val="000000"/>
                <w:sz w:val="18"/>
              </w:rPr>
              <w:t>0:20–1:15</w:t>
            </w:r>
          </w:p>
        </w:tc>
        <w:tc>
          <w:tcPr>
            <w:tcW w:type="dxa" w:w="3773"/>
            <w:vAlign w:val="center"/>
            <w:tcMar>
              <w:top w:w="80" w:type="dxa"/>
              <w:bottom w:w="80" w:type="dxa"/>
              <w:left w:w="95" w:type="dxa"/>
              <w:right w:w="95" w:type="dxa"/>
            </w:tcMar>
            <w:shd w:fill="F2F5F7"/>
          </w:tcPr>
          <w:p>
            <w:pPr>
              <w:spacing w:after="0" w:line="250" w:lineRule="auto"/>
            </w:pPr>
            <w:r>
              <w:rPr>
                <w:b w:val="0"/>
                <w:color w:val="000000"/>
                <w:sz w:val="18"/>
              </w:rPr>
              <w:t>Reuse detector/fixture; build typed ingest and durable state; UI on fixed contract; Commander tools</w:t>
            </w:r>
          </w:p>
        </w:tc>
        <w:tc>
          <w:tcPr>
            <w:tcW w:type="dxa" w:w="3816"/>
            <w:vAlign w:val="center"/>
            <w:tcMar>
              <w:top w:w="80" w:type="dxa"/>
              <w:bottom w:w="80" w:type="dxa"/>
              <w:left w:w="95" w:type="dxa"/>
              <w:right w:w="95" w:type="dxa"/>
            </w:tcMar>
            <w:shd w:fill="F2F5F7"/>
          </w:tcPr>
          <w:p>
            <w:pPr>
              <w:spacing w:after="0" w:line="250" w:lineRule="auto"/>
            </w:pPr>
            <w:r>
              <w:rPr>
                <w:b w:val="0"/>
                <w:color w:val="000000"/>
                <w:sz w:val="18"/>
              </w:rPr>
              <w:t>By 1:15, candidate → evidence → internal ticket must run; otherwise cut segments, separate challenger agent and live sandbox</w:t>
            </w:r>
          </w:p>
        </w:tc>
      </w:tr>
      <w:tr>
        <w:trPr>
          <w:cantSplit/>
        </w:trPr>
        <w:tc>
          <w:tcPr>
            <w:tcW w:type="dxa" w:w="2304"/>
            <w:vAlign w:val="center"/>
            <w:tcMar>
              <w:top w:w="80" w:type="dxa"/>
              <w:bottom w:w="80" w:type="dxa"/>
              <w:left w:w="95" w:type="dxa"/>
              <w:right w:w="95" w:type="dxa"/>
            </w:tcMar>
            <w:shd w:fill="FFFFFF"/>
          </w:tcPr>
          <w:p>
            <w:pPr>
              <w:spacing w:after="0" w:line="250" w:lineRule="auto"/>
            </w:pPr>
            <w:r>
              <w:rPr>
                <w:b w:val="0"/>
                <w:color w:val="000000"/>
                <w:sz w:val="18"/>
              </w:rPr>
              <w:t>1:15–2:15</w:t>
            </w:r>
          </w:p>
        </w:tc>
        <w:tc>
          <w:tcPr>
            <w:tcW w:type="dxa" w:w="3773"/>
            <w:vAlign w:val="center"/>
            <w:tcMar>
              <w:top w:w="80" w:type="dxa"/>
              <w:bottom w:w="80" w:type="dxa"/>
              <w:left w:w="95" w:type="dxa"/>
              <w:right w:w="95" w:type="dxa"/>
            </w:tcMar>
            <w:shd w:fill="FFFFFF"/>
          </w:tcPr>
          <w:p>
            <w:pPr>
              <w:spacing w:after="0" w:line="250" w:lineRule="auto"/>
            </w:pPr>
            <w:r>
              <w:rPr>
                <w:b w:val="0"/>
                <w:color w:val="000000"/>
                <w:sz w:val="18"/>
              </w:rPr>
              <w:t>Connect policy/outbox and deterministic action branch; add bounded challenge/re-plan; wire incident trace</w:t>
            </w:r>
          </w:p>
        </w:tc>
        <w:tc>
          <w:tcPr>
            <w:tcW w:type="dxa" w:w="3816"/>
            <w:vAlign w:val="center"/>
            <w:tcMar>
              <w:top w:w="80" w:type="dxa"/>
              <w:bottom w:w="80" w:type="dxa"/>
              <w:left w:w="95" w:type="dxa"/>
              <w:right w:w="95" w:type="dxa"/>
            </w:tcMar>
            <w:shd w:fill="FFFFFF"/>
          </w:tcPr>
          <w:p>
            <w:pPr>
              <w:spacing w:after="0" w:line="250" w:lineRule="auto"/>
            </w:pPr>
            <w:r>
              <w:rPr>
                <w:b w:val="0"/>
                <w:color w:val="000000"/>
                <w:sz w:val="18"/>
              </w:rPr>
              <w:t>By 2:15, full replay cycle on GCP; no additional connector until passing</w:t>
            </w:r>
          </w:p>
        </w:tc>
      </w:tr>
      <w:tr>
        <w:trPr>
          <w:cantSplit/>
        </w:trPr>
        <w:tc>
          <w:tcPr>
            <w:tcW w:type="dxa" w:w="2304"/>
            <w:vAlign w:val="center"/>
            <w:tcMar>
              <w:top w:w="80" w:type="dxa"/>
              <w:bottom w:w="80" w:type="dxa"/>
              <w:left w:w="95" w:type="dxa"/>
              <w:right w:w="95" w:type="dxa"/>
            </w:tcMar>
            <w:shd w:fill="F2F5F7"/>
          </w:tcPr>
          <w:p>
            <w:pPr>
              <w:spacing w:after="0" w:line="250" w:lineRule="auto"/>
            </w:pPr>
            <w:r>
              <w:rPr>
                <w:b w:val="0"/>
                <w:color w:val="000000"/>
                <w:sz w:val="18"/>
              </w:rPr>
              <w:t>2:15–3:00</w:t>
            </w:r>
          </w:p>
        </w:tc>
        <w:tc>
          <w:tcPr>
            <w:tcW w:type="dxa" w:w="3773"/>
            <w:vAlign w:val="center"/>
            <w:tcMar>
              <w:top w:w="80" w:type="dxa"/>
              <w:bottom w:w="80" w:type="dxa"/>
              <w:left w:w="95" w:type="dxa"/>
              <w:right w:w="95" w:type="dxa"/>
            </w:tcMar>
            <w:shd w:fill="F2F5F7"/>
          </w:tcPr>
          <w:p>
            <w:pPr>
              <w:spacing w:after="0" w:line="250" w:lineRule="auto"/>
            </w:pPr>
            <w:r>
              <w:rPr>
                <w:b w:val="0"/>
                <w:color w:val="000000"/>
                <w:sz w:val="18"/>
              </w:rPr>
              <w:t>Verification, negative case, scorecard and failure handling</w:t>
            </w:r>
          </w:p>
        </w:tc>
        <w:tc>
          <w:tcPr>
            <w:tcW w:type="dxa" w:w="3816"/>
            <w:vAlign w:val="center"/>
            <w:tcMar>
              <w:top w:w="80" w:type="dxa"/>
              <w:bottom w:w="80" w:type="dxa"/>
              <w:left w:w="95" w:type="dxa"/>
              <w:right w:w="95" w:type="dxa"/>
            </w:tcMar>
            <w:shd w:fill="F2F5F7"/>
          </w:tcPr>
          <w:p>
            <w:pPr>
              <w:spacing w:after="0" w:line="250" w:lineRule="auto"/>
            </w:pPr>
            <w:r>
              <w:rPr>
                <w:b w:val="0"/>
                <w:color w:val="000000"/>
                <w:sz w:val="18"/>
              </w:rPr>
              <w:t>Instrumented sandbox only if core already passes; otherwise retain explicit simulation</w:t>
            </w:r>
          </w:p>
        </w:tc>
      </w:tr>
      <w:tr>
        <w:trPr>
          <w:cantSplit/>
        </w:trPr>
        <w:tc>
          <w:tcPr>
            <w:tcW w:type="dxa" w:w="2304"/>
            <w:vAlign w:val="center"/>
            <w:tcMar>
              <w:top w:w="80" w:type="dxa"/>
              <w:bottom w:w="80" w:type="dxa"/>
              <w:left w:w="95" w:type="dxa"/>
              <w:right w:w="95" w:type="dxa"/>
            </w:tcMar>
            <w:shd w:fill="FFFFFF"/>
          </w:tcPr>
          <w:p>
            <w:pPr>
              <w:spacing w:after="0" w:line="250" w:lineRule="auto"/>
            </w:pPr>
            <w:r>
              <w:rPr>
                <w:b w:val="0"/>
                <w:color w:val="000000"/>
                <w:sz w:val="18"/>
              </w:rPr>
              <w:t>3:00–3:30</w:t>
            </w:r>
          </w:p>
        </w:tc>
        <w:tc>
          <w:tcPr>
            <w:tcW w:type="dxa" w:w="3773"/>
            <w:vAlign w:val="center"/>
            <w:tcMar>
              <w:top w:w="80" w:type="dxa"/>
              <w:bottom w:w="80" w:type="dxa"/>
              <w:left w:w="95" w:type="dxa"/>
              <w:right w:w="95" w:type="dxa"/>
            </w:tcMar>
            <w:shd w:fill="FFFFFF"/>
          </w:tcPr>
          <w:p>
            <w:pPr>
              <w:spacing w:after="0" w:line="250" w:lineRule="auto"/>
            </w:pPr>
            <w:r>
              <w:rPr>
                <w:b w:val="0"/>
                <w:color w:val="000000"/>
                <w:sz w:val="18"/>
              </w:rPr>
              <w:t>Feature freeze; critical tests; human summary review; final validation</w:t>
            </w:r>
          </w:p>
        </w:tc>
        <w:tc>
          <w:tcPr>
            <w:tcW w:type="dxa" w:w="3816"/>
            <w:vAlign w:val="center"/>
            <w:tcMar>
              <w:top w:w="80" w:type="dxa"/>
              <w:bottom w:w="80" w:type="dxa"/>
              <w:left w:w="95" w:type="dxa"/>
              <w:right w:w="95" w:type="dxa"/>
            </w:tcMar>
            <w:shd w:fill="FFFFFF"/>
          </w:tcPr>
          <w:p>
            <w:pPr>
              <w:spacing w:after="0" w:line="250" w:lineRule="auto"/>
            </w:pPr>
            <w:r>
              <w:rPr>
                <w:b w:val="0"/>
                <w:color w:val="000000"/>
                <w:sz w:val="18"/>
              </w:rPr>
              <w:t>No prompt tuning on final test; failed criteria remain visible</w:t>
            </w:r>
          </w:p>
        </w:tc>
      </w:tr>
      <w:tr>
        <w:trPr>
          <w:cantSplit/>
        </w:trPr>
        <w:tc>
          <w:tcPr>
            <w:tcW w:type="dxa" w:w="2304"/>
            <w:vAlign w:val="center"/>
            <w:tcMar>
              <w:top w:w="80" w:type="dxa"/>
              <w:bottom w:w="80" w:type="dxa"/>
              <w:left w:w="95" w:type="dxa"/>
              <w:right w:w="95" w:type="dxa"/>
            </w:tcMar>
            <w:shd w:fill="F2F5F7"/>
          </w:tcPr>
          <w:p>
            <w:pPr>
              <w:spacing w:after="0" w:line="250" w:lineRule="auto"/>
            </w:pPr>
            <w:r>
              <w:rPr>
                <w:b w:val="0"/>
                <w:color w:val="000000"/>
                <w:sz w:val="18"/>
              </w:rPr>
              <w:t>3:30–4:00</w:t>
            </w:r>
          </w:p>
        </w:tc>
        <w:tc>
          <w:tcPr>
            <w:tcW w:type="dxa" w:w="3773"/>
            <w:vAlign w:val="center"/>
            <w:tcMar>
              <w:top w:w="80" w:type="dxa"/>
              <w:bottom w:w="80" w:type="dxa"/>
              <w:left w:w="95" w:type="dxa"/>
              <w:right w:w="95" w:type="dxa"/>
            </w:tcMar>
            <w:shd w:fill="F2F5F7"/>
          </w:tcPr>
          <w:p>
            <w:pPr>
              <w:spacing w:after="0" w:line="250" w:lineRule="auto"/>
            </w:pPr>
            <w:r>
              <w:rPr>
                <w:b w:val="0"/>
                <w:color w:val="000000"/>
                <w:sz w:val="18"/>
              </w:rPr>
              <w:t>Repeat demo, backup recording and submission</w:t>
            </w:r>
          </w:p>
        </w:tc>
        <w:tc>
          <w:tcPr>
            <w:tcW w:type="dxa" w:w="3816"/>
            <w:vAlign w:val="center"/>
            <w:tcMar>
              <w:top w:w="80" w:type="dxa"/>
              <w:bottom w:w="80" w:type="dxa"/>
              <w:left w:w="95" w:type="dxa"/>
              <w:right w:w="95" w:type="dxa"/>
            </w:tcMar>
            <w:shd w:fill="F2F5F7"/>
          </w:tcPr>
          <w:p>
            <w:pPr>
              <w:spacing w:after="0" w:line="250" w:lineRule="auto"/>
            </w:pPr>
            <w:r>
              <w:rPr>
                <w:b w:val="0"/>
                <w:color w:val="000000"/>
                <w:sz w:val="18"/>
              </w:rPr>
              <w:t>Present only working features and measured results</w:t>
            </w:r>
          </w:p>
        </w:tc>
      </w:tr>
    </w:tbl>
    <w:p>
      <w:pPr>
        <w:spacing w:after="20" w:before="0" w:line="96" w:lineRule="auto"/>
      </w:pPr>
      <w:r>
        <w:rPr>
          <w:sz w:val="4"/>
        </w:rPr>
      </w:r>
    </w:p>
    <w:p>
      <w:r>
        <w:rPr>
          <w:b w:val="0"/>
        </w:rPr>
        <w:t>Workstreams are data/detection/evaluation; agent/actions; and UI/platform. These are suggested responsibilities, not claims about actual team members. With two people, reduce UI and optional sandbox scope further. If the full loop is still incomplete, call it a partial prototype rather than asserting all PS-02 gates passed.</w:t>
      </w:r>
    </w:p>
    <w:p>
      <w:r>
        <w:rPr>
          <w:b w:val="0"/>
        </w:rPr>
        <w:t>An eight-hour window can add the instrumented sandbox, one segment/count detector, a harder negative, the challenger ablation and a minimal live Monitoring source in that order. A longer sprint adds deployment automation, independent fault families and external operational validation. Never add a security module to rescue an unfinished reliability demo.</w:t>
      </w:r>
    </w:p>
    <w:p>
      <w:r>
        <w:rPr>
          <w:b w:val="0"/>
        </w:rPr>
      </w:r>
      <w:r>
        <w:rPr>
          <w:b/>
        </w:rPr>
        <w:t>Cut first:</w:t>
      </w:r>
      <w:r>
        <w:rPr>
          <w:b w:val="0"/>
        </w:rPr>
        <w:t xml:space="preserve"> extra model agents, security actions, financial tickers, embeddings/vector storage, broad analytics, external ticket/chat connectors, real scaling, OTP and bank rail modules, additional cloud services and decorative UI. Then cut optional forecasts/segments if they are not validated.</w:t>
      </w:r>
    </w:p>
    <w:p>
      <w:r>
        <w:rPr>
          <w:b w:val="0"/>
        </w:rPr>
      </w:r>
      <w:r>
        <w:rPr>
          <w:b/>
        </w:rPr>
        <w:t>Preserve:</w:t>
      </w:r>
      <w:r>
        <w:rPr>
          <w:b w:val="0"/>
        </w:rPr>
        <w:t xml:space="preserve"> untouched sample-data lane; typed ingestion; one complete warning/investigation/action/verification cycle; evidence-grounded model reasoning; bounded policy and idempotency; historical retrieval; one negative case; GCP backend; honest evaluation. Preserve the behavior, not a particular framework or number of agents.</w:t>
      </w:r>
    </w:p>
    <w:p>
      <w:r>
        <w:br w:type="page"/>
      </w:r>
    </w:p>
    <w:p>
      <w:pPr>
        <w:pStyle w:val="Heading1"/>
      </w:pPr>
      <w:r>
        <w:rPr>
          <w:b w:val="0"/>
        </w:rPr>
        <w:t>16 Prioritized implementation backlog</w:t>
      </w:r>
    </w:p>
    <w:p>
      <w:r>
        <w:rPr>
          <w:b w:val="0"/>
        </w:rPr>
        <w:t>Estimates below are person-hours for a complete, tested implementation, not a promise that every task fits the emergency sprint. Responsibilities are workstreams until team membership is known. Phase overlap is possible after contracts stabilize.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773"/>
        <w:gridCol w:w="3816"/>
      </w:tblGrid>
      <w:tr>
        <w:trPr>
          <w:cantSplit/>
          <w:tblHeader/>
        </w:trPr>
        <w:tc>
          <w:tcPr>
            <w:tcW w:type="dxa" w:w="2304"/>
            <w:vAlign w:val="center"/>
            <w:tcMar>
              <w:top w:w="80" w:type="dxa"/>
              <w:bottom w:w="80" w:type="dxa"/>
              <w:left w:w="95" w:type="dxa"/>
              <w:right w:w="95" w:type="dxa"/>
            </w:tcMar>
            <w:shd w:fill="243F52"/>
          </w:tcPr>
          <w:p>
            <w:pPr>
              <w:spacing w:after="0" w:line="250" w:lineRule="auto"/>
            </w:pPr>
            <w:r>
              <w:rPr>
                <w:b/>
                <w:color w:val="FFFFFF"/>
                <w:sz w:val="18"/>
              </w:rPr>
              <w:t>ID and priority</w:t>
            </w:r>
          </w:p>
        </w:tc>
        <w:tc>
          <w:tcPr>
            <w:tcW w:type="dxa" w:w="3773"/>
            <w:vAlign w:val="center"/>
            <w:tcMar>
              <w:top w:w="80" w:type="dxa"/>
              <w:bottom w:w="80" w:type="dxa"/>
              <w:left w:w="95" w:type="dxa"/>
              <w:right w:w="95" w:type="dxa"/>
            </w:tcMar>
            <w:shd w:fill="243F52"/>
          </w:tcPr>
          <w:p>
            <w:pPr>
              <w:spacing w:after="0" w:line="250" w:lineRule="auto"/>
            </w:pPr>
            <w:r>
              <w:rPr>
                <w:b/>
                <w:color w:val="FFFFFF"/>
                <w:sz w:val="18"/>
              </w:rPr>
              <w:t>Deliverable and dependencies</w:t>
            </w:r>
          </w:p>
        </w:tc>
        <w:tc>
          <w:tcPr>
            <w:tcW w:type="dxa" w:w="3816"/>
            <w:vAlign w:val="center"/>
            <w:tcMar>
              <w:top w:w="80" w:type="dxa"/>
              <w:bottom w:w="80" w:type="dxa"/>
              <w:left w:w="95" w:type="dxa"/>
              <w:right w:w="95" w:type="dxa"/>
            </w:tcMar>
            <w:shd w:fill="243F52"/>
          </w:tcPr>
          <w:p>
            <w:pPr>
              <w:spacing w:after="0" w:line="250" w:lineRule="auto"/>
            </w:pPr>
            <w:r>
              <w:rPr>
                <w:b/>
                <w:color w:val="FFFFFF"/>
                <w:sz w:val="18"/>
              </w:rPr>
              <w:t>Acceptance and effort</w:t>
            </w:r>
          </w:p>
        </w:tc>
      </w:tr>
      <w:tr>
        <w:trPr>
          <w:cantSplit/>
        </w:trPr>
        <w:tc>
          <w:tcPr>
            <w:tcW w:type="dxa" w:w="2304"/>
            <w:vAlign w:val="center"/>
            <w:tcMar>
              <w:top w:w="80" w:type="dxa"/>
              <w:bottom w:w="80" w:type="dxa"/>
              <w:left w:w="95" w:type="dxa"/>
              <w:right w:w="95" w:type="dxa"/>
            </w:tcMar>
            <w:shd w:fill="FFFFFF"/>
          </w:tcPr>
          <w:p>
            <w:pPr>
              <w:spacing w:after="0" w:line="250" w:lineRule="auto"/>
            </w:pPr>
            <w:r>
              <w:rPr>
                <w:b w:val="0"/>
                <w:color w:val="000000"/>
                <w:sz w:val="18"/>
              </w:rPr>
              <w:t>T01 P0 Platform</w:t>
            </w:r>
          </w:p>
        </w:tc>
        <w:tc>
          <w:tcPr>
            <w:tcW w:type="dxa" w:w="3773"/>
            <w:vAlign w:val="center"/>
            <w:tcMar>
              <w:top w:w="80" w:type="dxa"/>
              <w:bottom w:w="80" w:type="dxa"/>
              <w:left w:w="95" w:type="dxa"/>
              <w:right w:w="95" w:type="dxa"/>
            </w:tcMar>
            <w:shd w:fill="FFFFFF"/>
          </w:tcPr>
          <w:p>
            <w:pPr>
              <w:spacing w:after="0" w:line="250" w:lineRule="auto"/>
            </w:pPr>
            <w:r>
              <w:rPr>
                <w:b w:val="0"/>
                <w:color w:val="000000"/>
                <w:sz w:val="18"/>
              </w:rPr>
              <w:t>Authenticated GCP/model smoke test; no dependency</w:t>
            </w:r>
          </w:p>
        </w:tc>
        <w:tc>
          <w:tcPr>
            <w:tcW w:type="dxa" w:w="3816"/>
            <w:vAlign w:val="center"/>
            <w:tcMar>
              <w:top w:w="80" w:type="dxa"/>
              <w:bottom w:w="80" w:type="dxa"/>
              <w:left w:w="95" w:type="dxa"/>
              <w:right w:w="95" w:type="dxa"/>
            </w:tcMar>
            <w:shd w:fill="FFFFFF"/>
          </w:tcPr>
          <w:p>
            <w:pPr>
              <w:spacing w:after="0" w:line="250" w:lineRule="auto"/>
            </w:pPr>
            <w:r>
              <w:rPr>
                <w:b w:val="0"/>
                <w:color w:val="000000"/>
                <w:sz w:val="18"/>
              </w:rPr>
              <w:t>Private worker callable by intended identity; valid model contract; 1–2 h</w:t>
            </w:r>
          </w:p>
        </w:tc>
      </w:tr>
      <w:tr>
        <w:trPr>
          <w:cantSplit/>
        </w:trPr>
        <w:tc>
          <w:tcPr>
            <w:tcW w:type="dxa" w:w="2304"/>
            <w:vAlign w:val="center"/>
            <w:tcMar>
              <w:top w:w="80" w:type="dxa"/>
              <w:bottom w:w="80" w:type="dxa"/>
              <w:left w:w="95" w:type="dxa"/>
              <w:right w:w="95" w:type="dxa"/>
            </w:tcMar>
            <w:shd w:fill="F2F5F7"/>
          </w:tcPr>
          <w:p>
            <w:pPr>
              <w:spacing w:after="0" w:line="250" w:lineRule="auto"/>
            </w:pPr>
            <w:r>
              <w:rPr>
                <w:b w:val="0"/>
                <w:color w:val="000000"/>
                <w:sz w:val="18"/>
              </w:rPr>
              <w:t>T02 P0 Backend</w:t>
            </w:r>
          </w:p>
        </w:tc>
        <w:tc>
          <w:tcPr>
            <w:tcW w:type="dxa" w:w="3773"/>
            <w:vAlign w:val="center"/>
            <w:tcMar>
              <w:top w:w="80" w:type="dxa"/>
              <w:bottom w:w="80" w:type="dxa"/>
              <w:left w:w="95" w:type="dxa"/>
              <w:right w:w="95" w:type="dxa"/>
            </w:tcMar>
            <w:shd w:fill="F2F5F7"/>
          </w:tcPr>
          <w:p>
            <w:pPr>
              <w:spacing w:after="0" w:line="250" w:lineRule="auto"/>
            </w:pPr>
            <w:r>
              <w:rPr>
                <w:b w:val="0"/>
                <w:color w:val="000000"/>
                <w:sz w:val="18"/>
              </w:rPr>
              <w:t>Event schemas, original adapter and replay clock; T01/contracts</w:t>
            </w:r>
          </w:p>
        </w:tc>
        <w:tc>
          <w:tcPr>
            <w:tcW w:type="dxa" w:w="3816"/>
            <w:vAlign w:val="center"/>
            <w:tcMar>
              <w:top w:w="80" w:type="dxa"/>
              <w:bottom w:w="80" w:type="dxa"/>
              <w:left w:w="95" w:type="dxa"/>
              <w:right w:w="95" w:type="dxa"/>
            </w:tcMar>
            <w:shd w:fill="F2F5F7"/>
          </w:tcPr>
          <w:p>
            <w:pPr>
              <w:spacing w:after="0" w:line="250" w:lineRule="auto"/>
            </w:pPr>
            <w:r>
              <w:rPr>
                <w:b w:val="0"/>
                <w:color w:val="000000"/>
                <w:sz w:val="18"/>
              </w:rPr>
              <w:t>All 500 records reconciled; log/event examples accepted; rejected records explicit; 3–4 h</w:t>
            </w:r>
          </w:p>
        </w:tc>
      </w:tr>
      <w:tr>
        <w:trPr>
          <w:cantSplit/>
        </w:trPr>
        <w:tc>
          <w:tcPr>
            <w:tcW w:type="dxa" w:w="2304"/>
            <w:vAlign w:val="center"/>
            <w:tcMar>
              <w:top w:w="80" w:type="dxa"/>
              <w:bottom w:w="80" w:type="dxa"/>
              <w:left w:w="95" w:type="dxa"/>
              <w:right w:w="95" w:type="dxa"/>
            </w:tcMar>
            <w:shd w:fill="FFFFFF"/>
          </w:tcPr>
          <w:p>
            <w:pPr>
              <w:spacing w:after="0" w:line="250" w:lineRule="auto"/>
            </w:pPr>
            <w:r>
              <w:rPr>
                <w:b w:val="0"/>
                <w:color w:val="000000"/>
                <w:sz w:val="18"/>
              </w:rPr>
              <w:t>T03 P0 Detection</w:t>
            </w:r>
          </w:p>
        </w:tc>
        <w:tc>
          <w:tcPr>
            <w:tcW w:type="dxa" w:w="3773"/>
            <w:vAlign w:val="center"/>
            <w:tcMar>
              <w:top w:w="80" w:type="dxa"/>
              <w:bottom w:w="80" w:type="dxa"/>
              <w:left w:w="95" w:type="dxa"/>
              <w:right w:w="95" w:type="dxa"/>
            </w:tcMar>
            <w:shd w:fill="FFFFFF"/>
          </w:tcPr>
          <w:p>
            <w:pPr>
              <w:spacing w:after="0" w:line="250" w:lineRule="auto"/>
            </w:pPr>
            <w:r>
              <w:rPr>
                <w:b w:val="0"/>
                <w:color w:val="000000"/>
                <w:sz w:val="18"/>
              </w:rPr>
              <w:t>Reuse detector, persisted windows and freshness; T02</w:t>
            </w:r>
          </w:p>
        </w:tc>
        <w:tc>
          <w:tcPr>
            <w:tcW w:type="dxa" w:w="3816"/>
            <w:vAlign w:val="center"/>
            <w:tcMar>
              <w:top w:w="80" w:type="dxa"/>
              <w:bottom w:w="80" w:type="dxa"/>
              <w:left w:w="95" w:type="dxa"/>
              <w:right w:w="95" w:type="dxa"/>
            </w:tcMar>
            <w:shd w:fill="FFFFFF"/>
          </w:tcPr>
          <w:p>
            <w:pPr>
              <w:spacing w:after="0" w:line="250" w:lineRule="auto"/>
            </w:pPr>
            <w:r>
              <w:rPr>
                <w:b w:val="0"/>
                <w:color w:val="000000"/>
                <w:sz w:val="18"/>
              </w:rPr>
              <w:t>Match frozen local predictions; warmup/staleness visible; 2–3 h</w:t>
            </w:r>
          </w:p>
        </w:tc>
      </w:tr>
      <w:tr>
        <w:trPr>
          <w:cantSplit/>
        </w:trPr>
        <w:tc>
          <w:tcPr>
            <w:tcW w:type="dxa" w:w="2304"/>
            <w:vAlign w:val="center"/>
            <w:tcMar>
              <w:top w:w="80" w:type="dxa"/>
              <w:bottom w:w="80" w:type="dxa"/>
              <w:left w:w="95" w:type="dxa"/>
              <w:right w:w="95" w:type="dxa"/>
            </w:tcMar>
            <w:shd w:fill="F2F5F7"/>
          </w:tcPr>
          <w:p>
            <w:pPr>
              <w:spacing w:after="0" w:line="250" w:lineRule="auto"/>
            </w:pPr>
            <w:r>
              <w:rPr>
                <w:b w:val="0"/>
                <w:color w:val="000000"/>
                <w:sz w:val="18"/>
              </w:rPr>
              <w:t>T04 P0 AI and data</w:t>
            </w:r>
          </w:p>
        </w:tc>
        <w:tc>
          <w:tcPr>
            <w:tcW w:type="dxa" w:w="3773"/>
            <w:vAlign w:val="center"/>
            <w:tcMar>
              <w:top w:w="80" w:type="dxa"/>
              <w:bottom w:w="80" w:type="dxa"/>
              <w:left w:w="95" w:type="dxa"/>
              <w:right w:w="95" w:type="dxa"/>
            </w:tcMar>
            <w:shd w:fill="F2F5F7"/>
          </w:tcPr>
          <w:p>
            <w:pPr>
              <w:spacing w:after="0" w:line="250" w:lineRule="auto"/>
            </w:pPr>
            <w:r>
              <w:rPr>
                <w:b w:val="0"/>
                <w:color w:val="000000"/>
                <w:sz w:val="18"/>
              </w:rPr>
              <w:t>Evidence/dependency/history/runbook tools; T02</w:t>
            </w:r>
          </w:p>
        </w:tc>
        <w:tc>
          <w:tcPr>
            <w:tcW w:type="dxa" w:w="3816"/>
            <w:vAlign w:val="center"/>
            <w:tcMar>
              <w:top w:w="80" w:type="dxa"/>
              <w:bottom w:w="80" w:type="dxa"/>
              <w:left w:w="95" w:type="dxa"/>
              <w:right w:w="95" w:type="dxa"/>
            </w:tcMar>
            <w:shd w:fill="F2F5F7"/>
          </w:tcPr>
          <w:p>
            <w:pPr>
              <w:spacing w:after="0" w:line="250" w:lineRule="auto"/>
            </w:pPr>
            <w:r>
              <w:rPr>
                <w:b w:val="0"/>
                <w:color w:val="000000"/>
                <w:sz w:val="18"/>
              </w:rPr>
              <w:t>Scoped IDs, prior-only cases, no-match and no hidden truth; 3–4 h</w:t>
            </w:r>
          </w:p>
        </w:tc>
      </w:tr>
      <w:tr>
        <w:trPr>
          <w:cantSplit/>
        </w:trPr>
        <w:tc>
          <w:tcPr>
            <w:tcW w:type="dxa" w:w="2304"/>
            <w:vAlign w:val="center"/>
            <w:tcMar>
              <w:top w:w="80" w:type="dxa"/>
              <w:bottom w:w="80" w:type="dxa"/>
              <w:left w:w="95" w:type="dxa"/>
              <w:right w:w="95" w:type="dxa"/>
            </w:tcMar>
            <w:shd w:fill="FFFFFF"/>
          </w:tcPr>
          <w:p>
            <w:pPr>
              <w:spacing w:after="0" w:line="250" w:lineRule="auto"/>
            </w:pPr>
            <w:r>
              <w:rPr>
                <w:b w:val="0"/>
                <w:color w:val="000000"/>
                <w:sz w:val="18"/>
              </w:rPr>
              <w:t>T05 P0 AI</w:t>
            </w:r>
          </w:p>
        </w:tc>
        <w:tc>
          <w:tcPr>
            <w:tcW w:type="dxa" w:w="3773"/>
            <w:vAlign w:val="center"/>
            <w:tcMar>
              <w:top w:w="80" w:type="dxa"/>
              <w:bottom w:w="80" w:type="dxa"/>
              <w:left w:w="95" w:type="dxa"/>
              <w:right w:w="95" w:type="dxa"/>
            </w:tcMar>
            <w:shd w:fill="FFFFFF"/>
          </w:tcPr>
          <w:p>
            <w:pPr>
              <w:spacing w:after="0" w:line="250" w:lineRule="auto"/>
            </w:pPr>
            <w:r>
              <w:rPr>
                <w:b w:val="0"/>
                <w:color w:val="000000"/>
                <w:sz w:val="18"/>
              </w:rPr>
              <w:t>Commander and challenge/re-plan behavior; T03–04</w:t>
            </w:r>
          </w:p>
        </w:tc>
        <w:tc>
          <w:tcPr>
            <w:tcW w:type="dxa" w:w="3816"/>
            <w:vAlign w:val="center"/>
            <w:tcMar>
              <w:top w:w="80" w:type="dxa"/>
              <w:bottom w:w="80" w:type="dxa"/>
              <w:left w:w="95" w:type="dxa"/>
              <w:right w:w="95" w:type="dxa"/>
            </w:tcMar>
            <w:shd w:fill="FFFFFF"/>
          </w:tcPr>
          <w:p>
            <w:pPr>
              <w:spacing w:after="0" w:line="250" w:lineRule="auto"/>
            </w:pPr>
            <w:r>
              <w:rPr>
                <w:b w:val="0"/>
                <w:color w:val="000000"/>
                <w:sz w:val="18"/>
              </w:rPr>
              <w:t>Tool-directed revision and watch; grounding/fallback budgets; 4–6 h</w:t>
            </w:r>
          </w:p>
        </w:tc>
      </w:tr>
      <w:tr>
        <w:trPr>
          <w:cantSplit/>
        </w:trPr>
        <w:tc>
          <w:tcPr>
            <w:tcW w:type="dxa" w:w="2304"/>
            <w:vAlign w:val="center"/>
            <w:tcMar>
              <w:top w:w="80" w:type="dxa"/>
              <w:bottom w:w="80" w:type="dxa"/>
              <w:left w:w="95" w:type="dxa"/>
              <w:right w:w="95" w:type="dxa"/>
            </w:tcMar>
            <w:shd w:fill="F2F5F7"/>
          </w:tcPr>
          <w:p>
            <w:pPr>
              <w:spacing w:after="0" w:line="250" w:lineRule="auto"/>
            </w:pPr>
            <w:r>
              <w:rPr>
                <w:b w:val="0"/>
                <w:color w:val="000000"/>
                <w:sz w:val="18"/>
              </w:rPr>
              <w:t>T06 P0 Backend and policy</w:t>
            </w:r>
          </w:p>
        </w:tc>
        <w:tc>
          <w:tcPr>
            <w:tcW w:type="dxa" w:w="3773"/>
            <w:vAlign w:val="center"/>
            <w:tcMar>
              <w:top w:w="80" w:type="dxa"/>
              <w:bottom w:w="80" w:type="dxa"/>
              <w:left w:w="95" w:type="dxa"/>
              <w:right w:w="95" w:type="dxa"/>
            </w:tcMar>
            <w:shd w:fill="F2F5F7"/>
          </w:tcPr>
          <w:p>
            <w:pPr>
              <w:spacing w:after="0" w:line="250" w:lineRule="auto"/>
            </w:pPr>
            <w:r>
              <w:rPr>
                <w:b w:val="0"/>
                <w:color w:val="000000"/>
                <w:sz w:val="18"/>
              </w:rPr>
              <w:t>State versioning, outbox, ticket/alert, action approval; T03/T05</w:t>
            </w:r>
          </w:p>
        </w:tc>
        <w:tc>
          <w:tcPr>
            <w:tcW w:type="dxa" w:w="3816"/>
            <w:vAlign w:val="center"/>
            <w:tcMar>
              <w:top w:w="80" w:type="dxa"/>
              <w:bottom w:w="80" w:type="dxa"/>
              <w:left w:w="95" w:type="dxa"/>
              <w:right w:w="95" w:type="dxa"/>
            </w:tcMar>
            <w:shd w:fill="F2F5F7"/>
          </w:tcPr>
          <w:p>
            <w:pPr>
              <w:spacing w:after="0" w:line="250" w:lineRule="auto"/>
            </w:pPr>
            <w:r>
              <w:rPr>
                <w:b w:val="0"/>
                <w:color w:val="000000"/>
                <w:sz w:val="18"/>
              </w:rPr>
              <w:t>Duplicate/restart/unknown-outcome tests produce one logical effect; 4–6 h</w:t>
            </w:r>
          </w:p>
        </w:tc>
      </w:tr>
      <w:tr>
        <w:trPr>
          <w:cantSplit/>
        </w:trPr>
        <w:tc>
          <w:tcPr>
            <w:tcW w:type="dxa" w:w="2304"/>
            <w:vAlign w:val="center"/>
            <w:tcMar>
              <w:top w:w="80" w:type="dxa"/>
              <w:bottom w:w="80" w:type="dxa"/>
              <w:left w:w="95" w:type="dxa"/>
              <w:right w:w="95" w:type="dxa"/>
            </w:tcMar>
            <w:shd w:fill="FFFFFF"/>
          </w:tcPr>
          <w:p>
            <w:pPr>
              <w:spacing w:after="0" w:line="250" w:lineRule="auto"/>
            </w:pPr>
            <w:r>
              <w:rPr>
                <w:b w:val="0"/>
                <w:color w:val="000000"/>
                <w:sz w:val="18"/>
              </w:rPr>
              <w:t>T07 P0 Detection and policy</w:t>
            </w:r>
          </w:p>
        </w:tc>
        <w:tc>
          <w:tcPr>
            <w:tcW w:type="dxa" w:w="3773"/>
            <w:vAlign w:val="center"/>
            <w:tcMar>
              <w:top w:w="80" w:type="dxa"/>
              <w:bottom w:w="80" w:type="dxa"/>
              <w:left w:w="95" w:type="dxa"/>
              <w:right w:w="95" w:type="dxa"/>
            </w:tcMar>
            <w:shd w:fill="FFFFFF"/>
          </w:tcPr>
          <w:p>
            <w:pPr>
              <w:spacing w:after="0" w:line="250" w:lineRule="auto"/>
            </w:pPr>
            <w:r>
              <w:rPr>
                <w:b w:val="0"/>
                <w:color w:val="000000"/>
                <w:sz w:val="18"/>
              </w:rPr>
              <w:t>Existing simulation adapter, verification and escalation; T06</w:t>
            </w:r>
          </w:p>
        </w:tc>
        <w:tc>
          <w:tcPr>
            <w:tcW w:type="dxa" w:w="3816"/>
            <w:vAlign w:val="center"/>
            <w:tcMar>
              <w:top w:w="80" w:type="dxa"/>
              <w:bottom w:w="80" w:type="dxa"/>
              <w:left w:w="95" w:type="dxa"/>
              <w:right w:w="95" w:type="dxa"/>
            </w:tcMar>
            <w:shd w:fill="FFFFFF"/>
          </w:tcPr>
          <w:p>
            <w:pPr>
              <w:spacing w:after="0" w:line="250" w:lineRule="auto"/>
            </w:pPr>
            <w:r>
              <w:rPr>
                <w:b w:val="0"/>
                <w:color w:val="000000"/>
                <w:sz w:val="18"/>
              </w:rPr>
              <w:t>Same-noise pair, receipt versus effect, failed/inconclusive state; 3–4 h</w:t>
            </w:r>
          </w:p>
        </w:tc>
      </w:tr>
      <w:tr>
        <w:trPr>
          <w:cantSplit/>
        </w:trPr>
        <w:tc>
          <w:tcPr>
            <w:tcW w:type="dxa" w:w="2304"/>
            <w:vAlign w:val="center"/>
            <w:tcMar>
              <w:top w:w="80" w:type="dxa"/>
              <w:bottom w:w="80" w:type="dxa"/>
              <w:left w:w="95" w:type="dxa"/>
              <w:right w:w="95" w:type="dxa"/>
            </w:tcMar>
            <w:shd w:fill="F2F5F7"/>
          </w:tcPr>
          <w:p>
            <w:pPr>
              <w:spacing w:after="0" w:line="250" w:lineRule="auto"/>
            </w:pPr>
            <w:r>
              <w:rPr>
                <w:b w:val="0"/>
                <w:color w:val="000000"/>
                <w:sz w:val="18"/>
              </w:rPr>
              <w:t>T08 P0 Product</w:t>
            </w:r>
          </w:p>
        </w:tc>
        <w:tc>
          <w:tcPr>
            <w:tcW w:type="dxa" w:w="3773"/>
            <w:vAlign w:val="center"/>
            <w:tcMar>
              <w:top w:w="80" w:type="dxa"/>
              <w:bottom w:w="80" w:type="dxa"/>
              <w:left w:w="95" w:type="dxa"/>
              <w:right w:w="95" w:type="dxa"/>
            </w:tcMar>
            <w:shd w:fill="F2F5F7"/>
          </w:tcPr>
          <w:p>
            <w:pPr>
              <w:spacing w:after="0" w:line="250" w:lineRule="auto"/>
            </w:pPr>
            <w:r>
              <w:rPr>
                <w:b w:val="0"/>
                <w:color w:val="000000"/>
                <w:sz w:val="18"/>
              </w:rPr>
              <w:t>Four-view UI and visible trace; API contracts</w:t>
            </w:r>
          </w:p>
        </w:tc>
        <w:tc>
          <w:tcPr>
            <w:tcW w:type="dxa" w:w="3816"/>
            <w:vAlign w:val="center"/>
            <w:tcMar>
              <w:top w:w="80" w:type="dxa"/>
              <w:bottom w:w="80" w:type="dxa"/>
              <w:left w:w="95" w:type="dxa"/>
              <w:right w:w="95" w:type="dxa"/>
            </w:tcMar>
            <w:shd w:fill="F2F5F7"/>
          </w:tcPr>
          <w:p>
            <w:pPr>
              <w:spacing w:after="0" w:line="250" w:lineRule="auto"/>
            </w:pPr>
            <w:r>
              <w:rPr>
                <w:b w:val="0"/>
                <w:color w:val="000000"/>
                <w:sz w:val="18"/>
              </w:rPr>
              <w:t>User can follow source → warning → evidence → action → outcome; 4–6 h</w:t>
            </w:r>
          </w:p>
        </w:tc>
      </w:tr>
      <w:tr>
        <w:trPr>
          <w:cantSplit/>
        </w:trPr>
        <w:tc>
          <w:tcPr>
            <w:tcW w:type="dxa" w:w="2304"/>
            <w:vAlign w:val="center"/>
            <w:tcMar>
              <w:top w:w="80" w:type="dxa"/>
              <w:bottom w:w="80" w:type="dxa"/>
              <w:left w:w="95" w:type="dxa"/>
              <w:right w:w="95" w:type="dxa"/>
            </w:tcMar>
            <w:shd w:fill="FFFFFF"/>
          </w:tcPr>
          <w:p>
            <w:pPr>
              <w:spacing w:after="0" w:line="250" w:lineRule="auto"/>
            </w:pPr>
            <w:r>
              <w:rPr>
                <w:b w:val="0"/>
                <w:color w:val="000000"/>
                <w:sz w:val="18"/>
              </w:rPr>
              <w:t>T09 P0 QA</w:t>
            </w:r>
          </w:p>
        </w:tc>
        <w:tc>
          <w:tcPr>
            <w:tcW w:type="dxa" w:w="3773"/>
            <w:vAlign w:val="center"/>
            <w:tcMar>
              <w:top w:w="80" w:type="dxa"/>
              <w:bottom w:w="80" w:type="dxa"/>
              <w:left w:w="95" w:type="dxa"/>
              <w:right w:w="95" w:type="dxa"/>
            </w:tcMar>
            <w:shd w:fill="FFFFFF"/>
          </w:tcPr>
          <w:p>
            <w:pPr>
              <w:spacing w:after="0" w:line="250" w:lineRule="auto"/>
            </w:pPr>
            <w:r>
              <w:rPr>
                <w:b w:val="0"/>
                <w:color w:val="000000"/>
                <w:sz w:val="18"/>
              </w:rPr>
              <w:t>Point/episode scorers, human summary/retrieval checks and fault tests; T04–08</w:t>
            </w:r>
          </w:p>
        </w:tc>
        <w:tc>
          <w:tcPr>
            <w:tcW w:type="dxa" w:w="3816"/>
            <w:vAlign w:val="center"/>
            <w:tcMar>
              <w:top w:w="80" w:type="dxa"/>
              <w:bottom w:w="80" w:type="dxa"/>
              <w:left w:w="95" w:type="dxa"/>
              <w:right w:w="95" w:type="dxa"/>
            </w:tcMar>
            <w:shd w:fill="FFFFFF"/>
          </w:tcPr>
          <w:p>
            <w:pPr>
              <w:spacing w:after="0" w:line="250" w:lineRule="auto"/>
            </w:pPr>
            <w:r>
              <w:rPr>
                <w:b w:val="0"/>
                <w:color w:val="000000"/>
                <w:sz w:val="18"/>
              </w:rPr>
              <w:t>Denominators, missing/late cases, grounding and unsafe-action failures reported; 4–6 h</w:t>
            </w:r>
          </w:p>
        </w:tc>
      </w:tr>
      <w:tr>
        <w:trPr>
          <w:cantSplit/>
        </w:trPr>
        <w:tc>
          <w:tcPr>
            <w:tcW w:type="dxa" w:w="2304"/>
            <w:vAlign w:val="center"/>
            <w:tcMar>
              <w:top w:w="80" w:type="dxa"/>
              <w:bottom w:w="80" w:type="dxa"/>
              <w:left w:w="95" w:type="dxa"/>
              <w:right w:w="95" w:type="dxa"/>
            </w:tcMar>
            <w:shd w:fill="F2F5F7"/>
          </w:tcPr>
          <w:p>
            <w:pPr>
              <w:spacing w:after="0" w:line="250" w:lineRule="auto"/>
            </w:pPr>
            <w:r>
              <w:rPr>
                <w:b w:val="0"/>
                <w:color w:val="000000"/>
                <w:sz w:val="18"/>
              </w:rPr>
              <w:t>T10 P0 Platform and demo</w:t>
            </w:r>
          </w:p>
        </w:tc>
        <w:tc>
          <w:tcPr>
            <w:tcW w:type="dxa" w:w="3773"/>
            <w:vAlign w:val="center"/>
            <w:tcMar>
              <w:top w:w="80" w:type="dxa"/>
              <w:bottom w:w="80" w:type="dxa"/>
              <w:left w:w="95" w:type="dxa"/>
              <w:right w:w="95" w:type="dxa"/>
            </w:tcMar>
            <w:shd w:fill="F2F5F7"/>
          </w:tcPr>
          <w:p>
            <w:pPr>
              <w:spacing w:after="0" w:line="250" w:lineRule="auto"/>
            </w:pPr>
            <w:r>
              <w:rPr>
                <w:b w:val="0"/>
                <w:color w:val="000000"/>
                <w:sz w:val="18"/>
              </w:rPr>
              <w:t>Deploy full cycle, load smoke test, rehearse and record; T01–09</w:t>
            </w:r>
          </w:p>
        </w:tc>
        <w:tc>
          <w:tcPr>
            <w:tcW w:type="dxa" w:w="3816"/>
            <w:vAlign w:val="center"/>
            <w:tcMar>
              <w:top w:w="80" w:type="dxa"/>
              <w:bottom w:w="80" w:type="dxa"/>
              <w:left w:w="95" w:type="dxa"/>
              <w:right w:w="95" w:type="dxa"/>
            </w:tcMar>
            <w:shd w:fill="F2F5F7"/>
          </w:tcPr>
          <w:p>
            <w:pPr>
              <w:spacing w:after="0" w:line="250" w:lineRule="auto"/>
            </w:pPr>
            <w:r>
              <w:rPr>
                <w:b w:val="0"/>
                <w:color w:val="000000"/>
                <w:sz w:val="18"/>
              </w:rPr>
              <w:t>GCP trace, real mode labels, repeatable negative case and fallback; 3–5 h</w:t>
            </w:r>
          </w:p>
        </w:tc>
      </w:tr>
      <w:tr>
        <w:trPr>
          <w:cantSplit/>
        </w:trPr>
        <w:tc>
          <w:tcPr>
            <w:tcW w:type="dxa" w:w="2304"/>
            <w:vAlign w:val="center"/>
            <w:tcMar>
              <w:top w:w="80" w:type="dxa"/>
              <w:bottom w:w="80" w:type="dxa"/>
              <w:left w:w="95" w:type="dxa"/>
              <w:right w:w="95" w:type="dxa"/>
            </w:tcMar>
            <w:shd w:fill="FFFFFF"/>
          </w:tcPr>
          <w:p>
            <w:pPr>
              <w:spacing w:after="0" w:line="250" w:lineRule="auto"/>
            </w:pPr>
            <w:r>
              <w:rPr>
                <w:b w:val="0"/>
                <w:color w:val="000000"/>
                <w:sz w:val="18"/>
              </w:rPr>
              <w:t>T11 P1 Platform</w:t>
            </w:r>
          </w:p>
        </w:tc>
        <w:tc>
          <w:tcPr>
            <w:tcW w:type="dxa" w:w="3773"/>
            <w:vAlign w:val="center"/>
            <w:tcMar>
              <w:top w:w="80" w:type="dxa"/>
              <w:bottom w:w="80" w:type="dxa"/>
              <w:left w:w="95" w:type="dxa"/>
              <w:right w:w="95" w:type="dxa"/>
            </w:tcMar>
            <w:shd w:fill="FFFFFF"/>
          </w:tcPr>
          <w:p>
            <w:pPr>
              <w:spacing w:after="0" w:line="250" w:lineRule="auto"/>
            </w:pPr>
            <w:r>
              <w:rPr>
                <w:b w:val="0"/>
                <w:color w:val="000000"/>
                <w:sz w:val="18"/>
              </w:rPr>
              <w:t>Instrumented sandbox and one bounded retry control; T07/T10</w:t>
            </w:r>
          </w:p>
        </w:tc>
        <w:tc>
          <w:tcPr>
            <w:tcW w:type="dxa" w:w="3816"/>
            <w:vAlign w:val="center"/>
            <w:tcMar>
              <w:top w:w="80" w:type="dxa"/>
              <w:bottom w:w="80" w:type="dxa"/>
              <w:left w:w="95" w:type="dxa"/>
              <w:right w:w="95" w:type="dxa"/>
            </w:tcMar>
            <w:shd w:fill="FFFFFF"/>
          </w:tcPr>
          <w:p>
            <w:pPr>
              <w:spacing w:after="0" w:line="250" w:lineRule="auto"/>
            </w:pPr>
            <w:r>
              <w:rPr>
                <w:b w:val="0"/>
                <w:color w:val="000000"/>
                <w:sz w:val="18"/>
              </w:rPr>
              <w:t>Measured requests/queue/outcomes; repeated control trials; 3–5 h</w:t>
            </w:r>
          </w:p>
        </w:tc>
      </w:tr>
      <w:tr>
        <w:trPr>
          <w:cantSplit/>
        </w:trPr>
        <w:tc>
          <w:tcPr>
            <w:tcW w:type="dxa" w:w="2304"/>
            <w:vAlign w:val="center"/>
            <w:tcMar>
              <w:top w:w="80" w:type="dxa"/>
              <w:bottom w:w="80" w:type="dxa"/>
              <w:left w:w="95" w:type="dxa"/>
              <w:right w:w="95" w:type="dxa"/>
            </w:tcMar>
            <w:shd w:fill="F2F5F7"/>
          </w:tcPr>
          <w:p>
            <w:pPr>
              <w:spacing w:after="0" w:line="250" w:lineRule="auto"/>
            </w:pPr>
            <w:r>
              <w:rPr>
                <w:b w:val="0"/>
                <w:color w:val="000000"/>
                <w:sz w:val="18"/>
              </w:rPr>
              <w:t>T12 P1 Detection</w:t>
            </w:r>
          </w:p>
        </w:tc>
        <w:tc>
          <w:tcPr>
            <w:tcW w:type="dxa" w:w="3773"/>
            <w:vAlign w:val="center"/>
            <w:tcMar>
              <w:top w:w="80" w:type="dxa"/>
              <w:bottom w:w="80" w:type="dxa"/>
              <w:left w:w="95" w:type="dxa"/>
              <w:right w:w="95" w:type="dxa"/>
            </w:tcMar>
            <w:shd w:fill="F2F5F7"/>
          </w:tcPr>
          <w:p>
            <w:pPr>
              <w:spacing w:after="0" w:line="250" w:lineRule="auto"/>
            </w:pPr>
            <w:r>
              <w:rPr>
                <w:b w:val="0"/>
                <w:color w:val="000000"/>
                <w:sz w:val="18"/>
              </w:rPr>
              <w:t>Segment counts, low-volume gate and conventional/EWMA comparator; T09</w:t>
            </w:r>
          </w:p>
        </w:tc>
        <w:tc>
          <w:tcPr>
            <w:tcW w:type="dxa" w:w="3816"/>
            <w:vAlign w:val="center"/>
            <w:tcMar>
              <w:top w:w="80" w:type="dxa"/>
              <w:bottom w:w="80" w:type="dxa"/>
              <w:left w:w="95" w:type="dxa"/>
              <w:right w:w="95" w:type="dxa"/>
            </w:tcMar>
            <w:shd w:fill="F2F5F7"/>
          </w:tcPr>
          <w:p>
            <w:pPr>
              <w:spacing w:after="0" w:line="250" w:lineRule="auto"/>
            </w:pPr>
            <w:r>
              <w:rPr>
                <w:b w:val="0"/>
                <w:color w:val="000000"/>
                <w:sz w:val="18"/>
              </w:rPr>
              <w:t>Validation-only tuning; harder stress holdout; 3–5 h</w:t>
            </w:r>
          </w:p>
        </w:tc>
      </w:tr>
      <w:tr>
        <w:trPr>
          <w:cantSplit/>
        </w:trPr>
        <w:tc>
          <w:tcPr>
            <w:tcW w:type="dxa" w:w="2304"/>
            <w:vAlign w:val="center"/>
            <w:tcMar>
              <w:top w:w="80" w:type="dxa"/>
              <w:bottom w:w="80" w:type="dxa"/>
              <w:left w:w="95" w:type="dxa"/>
              <w:right w:w="95" w:type="dxa"/>
            </w:tcMar>
            <w:shd w:fill="FFFFFF"/>
          </w:tcPr>
          <w:p>
            <w:pPr>
              <w:spacing w:after="0" w:line="250" w:lineRule="auto"/>
            </w:pPr>
            <w:r>
              <w:rPr>
                <w:b w:val="0"/>
                <w:color w:val="000000"/>
                <w:sz w:val="18"/>
              </w:rPr>
              <w:t>T13 P1 QA and AI</w:t>
            </w:r>
          </w:p>
        </w:tc>
        <w:tc>
          <w:tcPr>
            <w:tcW w:type="dxa" w:w="3773"/>
            <w:vAlign w:val="center"/>
            <w:tcMar>
              <w:top w:w="80" w:type="dxa"/>
              <w:bottom w:w="80" w:type="dxa"/>
              <w:left w:w="95" w:type="dxa"/>
              <w:right w:w="95" w:type="dxa"/>
            </w:tcMar>
            <w:shd w:fill="FFFFFF"/>
          </w:tcPr>
          <w:p>
            <w:pPr>
              <w:spacing w:after="0" w:line="250" w:lineRule="auto"/>
            </w:pPr>
            <w:r>
              <w:rPr>
                <w:b w:val="0"/>
                <w:color w:val="000000"/>
                <w:sz w:val="18"/>
              </w:rPr>
              <w:t>Challenger ablation, 12-pack model comparison and improved retrieval</w:t>
            </w:r>
          </w:p>
        </w:tc>
        <w:tc>
          <w:tcPr>
            <w:tcW w:type="dxa" w:w="3816"/>
            <w:vAlign w:val="center"/>
            <w:tcMar>
              <w:top w:w="80" w:type="dxa"/>
              <w:bottom w:w="80" w:type="dxa"/>
              <w:left w:w="95" w:type="dxa"/>
              <w:right w:w="95" w:type="dxa"/>
            </w:tcMar>
            <w:shd w:fill="FFFFFF"/>
          </w:tcPr>
          <w:p>
            <w:pPr>
              <w:spacing w:after="0" w:line="250" w:lineRule="auto"/>
            </w:pPr>
            <w:r>
              <w:rPr>
                <w:b w:val="0"/>
                <w:color w:val="000000"/>
                <w:sz w:val="18"/>
              </w:rPr>
              <w:t>Added quality justifies latency/cost; misses reported; 2–4 h</w:t>
            </w:r>
          </w:p>
        </w:tc>
      </w:tr>
      <w:tr>
        <w:trPr>
          <w:cantSplit/>
        </w:trPr>
        <w:tc>
          <w:tcPr>
            <w:tcW w:type="dxa" w:w="2304"/>
            <w:vAlign w:val="center"/>
            <w:tcMar>
              <w:top w:w="80" w:type="dxa"/>
              <w:bottom w:w="80" w:type="dxa"/>
              <w:left w:w="95" w:type="dxa"/>
              <w:right w:w="95" w:type="dxa"/>
            </w:tcMar>
            <w:shd w:fill="F2F5F7"/>
          </w:tcPr>
          <w:p>
            <w:pPr>
              <w:spacing w:after="0" w:line="250" w:lineRule="auto"/>
            </w:pPr>
            <w:r>
              <w:rPr>
                <w:b w:val="0"/>
                <w:color w:val="000000"/>
                <w:sz w:val="18"/>
              </w:rPr>
              <w:t>T14 P1 Platform</w:t>
            </w:r>
          </w:p>
        </w:tc>
        <w:tc>
          <w:tcPr>
            <w:tcW w:type="dxa" w:w="3773"/>
            <w:vAlign w:val="center"/>
            <w:tcMar>
              <w:top w:w="80" w:type="dxa"/>
              <w:bottom w:w="80" w:type="dxa"/>
              <w:left w:w="95" w:type="dxa"/>
              <w:right w:w="95" w:type="dxa"/>
            </w:tcMar>
            <w:shd w:fill="F2F5F7"/>
          </w:tcPr>
          <w:p>
            <w:pPr>
              <w:spacing w:after="0" w:line="250" w:lineRule="auto"/>
            </w:pPr>
            <w:r>
              <w:rPr>
                <w:b w:val="0"/>
                <w:color w:val="000000"/>
                <w:sz w:val="18"/>
              </w:rPr>
              <w:t>Minimal Monitoring adapter and BigQuery export</w:t>
            </w:r>
          </w:p>
        </w:tc>
        <w:tc>
          <w:tcPr>
            <w:tcW w:type="dxa" w:w="3816"/>
            <w:vAlign w:val="center"/>
            <w:tcMar>
              <w:top w:w="80" w:type="dxa"/>
              <w:bottom w:w="80" w:type="dxa"/>
              <w:left w:w="95" w:type="dxa"/>
              <w:right w:w="95" w:type="dxa"/>
            </w:tcMar>
            <w:shd w:fill="F2F5F7"/>
          </w:tcPr>
          <w:p>
            <w:pPr>
              <w:spacing w:after="0" w:line="250" w:lineRule="auto"/>
            </w:pPr>
            <w:r>
              <w:rPr>
                <w:b w:val="0"/>
                <w:color w:val="000000"/>
                <w:sz w:val="18"/>
              </w:rPr>
              <w:t>Source freshness; bounded analytical queries; no impact on hot-state authority; 3–5 h</w:t>
            </w:r>
          </w:p>
        </w:tc>
      </w:tr>
      <w:tr>
        <w:trPr>
          <w:cantSplit/>
        </w:trPr>
        <w:tc>
          <w:tcPr>
            <w:tcW w:type="dxa" w:w="2304"/>
            <w:vAlign w:val="center"/>
            <w:tcMar>
              <w:top w:w="80" w:type="dxa"/>
              <w:bottom w:w="80" w:type="dxa"/>
              <w:left w:w="95" w:type="dxa"/>
              <w:right w:w="95" w:type="dxa"/>
            </w:tcMar>
            <w:shd w:fill="FFFFFF"/>
          </w:tcPr>
          <w:p>
            <w:pPr>
              <w:spacing w:after="0" w:line="250" w:lineRule="auto"/>
            </w:pPr>
            <w:r>
              <w:rPr>
                <w:b w:val="0"/>
                <w:color w:val="000000"/>
                <w:sz w:val="18"/>
              </w:rPr>
              <w:t>T15 P2 Product/platform</w:t>
            </w:r>
          </w:p>
        </w:tc>
        <w:tc>
          <w:tcPr>
            <w:tcW w:type="dxa" w:w="3773"/>
            <w:vAlign w:val="center"/>
            <w:tcMar>
              <w:top w:w="80" w:type="dxa"/>
              <w:bottom w:w="80" w:type="dxa"/>
              <w:left w:w="95" w:type="dxa"/>
              <w:right w:w="95" w:type="dxa"/>
            </w:tcMar>
            <w:shd w:fill="FFFFFF"/>
          </w:tcPr>
          <w:p>
            <w:pPr>
              <w:spacing w:after="0" w:line="250" w:lineRule="auto"/>
            </w:pPr>
            <w:r>
              <w:rPr>
                <w:b w:val="0"/>
                <w:color w:val="000000"/>
                <w:sz w:val="18"/>
              </w:rPr>
              <w:t>External integrations, richer analytics, optional mock-provider switch</w:t>
            </w:r>
          </w:p>
        </w:tc>
        <w:tc>
          <w:tcPr>
            <w:tcW w:type="dxa" w:w="3816"/>
            <w:vAlign w:val="center"/>
            <w:tcMar>
              <w:top w:w="80" w:type="dxa"/>
              <w:bottom w:w="80" w:type="dxa"/>
              <w:left w:w="95" w:type="dxa"/>
              <w:right w:w="95" w:type="dxa"/>
            </w:tcMar>
            <w:shd w:fill="FFFFFF"/>
          </w:tcPr>
          <w:p>
            <w:pPr>
              <w:spacing w:after="0" w:line="250" w:lineRule="auto"/>
            </w:pPr>
            <w:r>
              <w:rPr>
                <w:b w:val="0"/>
                <w:color w:val="000000"/>
                <w:sz w:val="18"/>
              </w:rPr>
              <w:t>Only after all P0 gates; separate permissions and verification; estimate after scope</w:t>
            </w:r>
          </w:p>
        </w:tc>
      </w:tr>
    </w:tbl>
    <w:p>
      <w:pPr>
        <w:spacing w:after="20" w:before="0" w:line="96" w:lineRule="auto"/>
      </w:pPr>
      <w:r>
        <w:rPr>
          <w:sz w:val="4"/>
        </w:rPr>
      </w:r>
    </w:p>
    <w:p>
      <w:r>
        <w:rPr>
          <w:b w:val="0"/>
        </w:rPr>
        <w:t xml:space="preserve">The full P0 ranges total roughly </w:t>
      </w:r>
      <w:r>
        <w:rPr>
          <w:b/>
        </w:rPr>
        <w:t>31–46 person-hours</w:t>
      </w:r>
      <w:r>
        <w:rPr>
          <w:b w:val="0"/>
        </w:rPr>
        <w:t>, including integration and verification. The four-hour plan therefore depends on aggressive reuse and cuts. The task list is the honest completeness estimate; the emergency schedule is a triage plan.</w:t>
      </w:r>
    </w:p>
    <w:p>
      <w:r>
        <w:rPr>
          <w:b w:val="0"/>
        </w:rPr>
        <w:t>For each task, preserve its contract and passing evidence before starting dependent work. Prioritize tests of data leakage, state races, action authority and measurable outcomes. Do not spend the emergency sprint on tests that merely repeat trivial implementation details or on optional frameworks.</w:t>
      </w:r>
    </w:p>
    <w:p>
      <w:r>
        <w:br w:type="page"/>
      </w:r>
    </w:p>
    <w:p>
      <w:pPr>
        <w:pStyle w:val="Heading1"/>
      </w:pPr>
      <w:r>
        <w:rPr>
          <w:b w:val="0"/>
        </w:rPr>
        <w:t>17 Security deployment cost and scale</w:t>
      </w:r>
    </w:p>
    <w:p>
      <w:r>
        <w:rPr>
          <w:b w:val="0"/>
        </w:rPr>
        <w:t>Use a single authenticated demo tenant. Separate viewer, operator and approver roles; a cosmetic role switch is not authorization. The server derives scope from identity. Restrict producer publish, worker invoke, store access and secret access. No runtime identity receives payment, account-management or broad infrastructure-administration privileges.</w:t>
      </w:r>
    </w:p>
    <w:p>
      <w:r>
        <w:rPr>
          <w:b w:val="0"/>
        </w:rPr>
        <w:t>Validate finite numbers, unit/name allowlists, timestamp bounds, payload sizes and rate limits before tool/model access. Redact and minimize input fields. One phone-number regex does not prove that no PII can reach a model; use allowlisted aggregates and synthetic defaults. Logs and casebooks remain untrusted. Secrets stay server-side in Secret Manager; UI and source contain no API key.</w:t>
      </w:r>
    </w:p>
    <w:p>
      <w:r>
        <w:rPr>
          <w:b w:val="0"/>
        </w:rPr>
        <w:t>Deploy a pinned backend image, establish Firestore state and namespaces, configure authenticated Pub/Sub push/DLQ and scheduled sweeps, then load versioned fixtures/runbooks/history. Test health, original replay, full synthetic cycle, duplicate delivery, model/store timeout, stale evidence, failed action and unauthorized requests. Preserve incident/action ledger across rollback. Capture an actual GCP execution trace before claiming deployment.</w:t>
      </w:r>
    </w:p>
    <w:p>
      <w:pPr>
        <w:pStyle w:val="Heading2"/>
      </w:pPr>
      <w:r>
        <w:rPr>
          <w:b w:val="0"/>
        </w:rPr>
        <w:t>Cost controls</w:t>
      </w:r>
    </w:p>
    <w:p>
      <w:r>
        <w:rPr>
          <w:b w:val="0"/>
        </w:rPr>
        <w:t xml:space="preserve">The final two-role agent budget may exceed the earlier two-call estimate. At an illustrative </w:t>
      </w:r>
      <w:r>
        <w:rPr>
          <w:b/>
        </w:rPr>
        <w:t>12,000 input and 2,400 billable output tokens per incident</w:t>
      </w:r>
      <w:r>
        <w:rPr>
          <w:b w:val="0"/>
        </w:rPr>
        <w:t xml:space="preserve">, a $0.75/$4.50 per-million-token model rate gives </w:t>
      </w:r>
      <w:r>
        <w:rPr>
          <w:b/>
        </w:rPr>
        <w:t>$0.0198 per incident</w:t>
      </w:r>
      <w:r>
        <w:rPr>
          <w:b w:val="0"/>
        </w:rPr>
        <w:t>, or $1.98 per 100 incidents. This is a planning calculation using the earlier verified GPT-5.4 mini rate, not observed usage. Include any billed reasoning tokens and recheck current rate/account availability. [S8]</w:t>
      </w:r>
    </w:p>
    <w:p>
      <w:r>
        <w:rPr>
          <w:b w:val="0"/>
        </w:rPr>
        <w:t>The prior $0.99 per 100 incidents assumed half those tokens; it must not be copied into a larger multi-call design unchanged. Do not promise an all-in $5 build. Compute, request count, database reads/writes, logging, builds, storage, egress and fallback calls depend on actual runtime and region. Credits and billing-account allowances may already be consumed.</w:t>
      </w:r>
    </w:p>
    <w:p>
      <w:r>
        <w:rPr>
          <w:b w:val="0"/>
        </w:rPr>
        <w:t>Filter and group before model invocation, cache stable runbooks, cap turns/tools/concurrency, track actual tokens/cost by incident, limit replay speed and use retention policies. Proposed demo retention is seven days for hot windows, 30 for raw artifacts and 90 for action/audit records; organizational policy governs any real deployment. Billing notifications alone are not a complete spend control; use supported service caps and application invocation ceilings where appropriate.</w:t>
      </w:r>
    </w:p>
    <w:p>
      <w:r>
        <w:rPr>
          <w:b w:val="0"/>
        </w:rPr>
        <w:t>Scale only after measurement: partition windows by service/segment, cap key cardinality, separate analytical export from operational state, and bound investigation fanout. A mock generator running at high TPS is not a backend throughput benchmark. Tenant isolation, independent traces, incident-owner review, resilience tests and validated production runbooks are prerequisites for a pilot. Commercial pricing per monitored service is a hypothesis to test with two payment-SRE interviews, not established demand or market size.</w:t>
      </w:r>
    </w:p>
    <w:p>
      <w:r>
        <w:br w:type="page"/>
      </w:r>
    </w:p>
    <w:p>
      <w:pPr>
        <w:pStyle w:val="Heading1"/>
      </w:pPr>
      <w:r>
        <w:rPr>
          <w:b w:val="0"/>
        </w:rPr>
        <w:t>18 Submission gates risks and final narrative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7"/>
        <w:gridCol w:w="7416"/>
      </w:tblGrid>
      <w:tr>
        <w:trPr>
          <w:cantSplit/>
          <w:tblHeader/>
        </w:trPr>
        <w:tc>
          <w:tcPr>
            <w:tcW w:type="dxa" w:w="2477"/>
            <w:vAlign w:val="center"/>
            <w:tcMar>
              <w:top w:w="80" w:type="dxa"/>
              <w:bottom w:w="80" w:type="dxa"/>
              <w:left w:w="95" w:type="dxa"/>
              <w:right w:w="95" w:type="dxa"/>
            </w:tcMar>
            <w:shd w:fill="243F52"/>
          </w:tcPr>
          <w:p>
            <w:pPr>
              <w:spacing w:after="0" w:line="250" w:lineRule="auto"/>
            </w:pPr>
            <w:r>
              <w:rPr>
                <w:b/>
                <w:color w:val="FFFFFF"/>
                <w:sz w:val="18"/>
              </w:rPr>
              <w:t>Gate</w:t>
            </w:r>
          </w:p>
        </w:tc>
        <w:tc>
          <w:tcPr>
            <w:tcW w:type="dxa" w:w="7416"/>
            <w:vAlign w:val="center"/>
            <w:tcMar>
              <w:top w:w="80" w:type="dxa"/>
              <w:bottom w:w="80" w:type="dxa"/>
              <w:left w:w="95" w:type="dxa"/>
              <w:right w:w="95" w:type="dxa"/>
            </w:tcMar>
            <w:shd w:fill="243F52"/>
          </w:tcPr>
          <w:p>
            <w:pPr>
              <w:spacing w:after="0" w:line="250" w:lineRule="auto"/>
            </w:pPr>
            <w:r>
              <w:rPr>
                <w:b/>
                <w:color w:val="FFFFFF"/>
                <w:sz w:val="18"/>
              </w:rPr>
              <w:t>Required evidence before claiming completion</w:t>
            </w:r>
          </w:p>
        </w:tc>
      </w:tr>
      <w:tr>
        <w:trPr>
          <w:cantSplit/>
        </w:trPr>
        <w:tc>
          <w:tcPr>
            <w:tcW w:type="dxa" w:w="2477"/>
            <w:vAlign w:val="center"/>
            <w:tcMar>
              <w:top w:w="80" w:type="dxa"/>
              <w:bottom w:w="80" w:type="dxa"/>
              <w:left w:w="95" w:type="dxa"/>
              <w:right w:w="95" w:type="dxa"/>
            </w:tcMar>
            <w:shd w:fill="FFFFFF"/>
          </w:tcPr>
          <w:p>
            <w:pPr>
              <w:spacing w:after="0" w:line="250" w:lineRule="auto"/>
            </w:pPr>
            <w:r>
              <w:rPr>
                <w:b w:val="0"/>
                <w:color w:val="000000"/>
                <w:sz w:val="18"/>
              </w:rPr>
              <w:t>Sample compatibility</w:t>
            </w:r>
          </w:p>
        </w:tc>
        <w:tc>
          <w:tcPr>
            <w:tcW w:type="dxa" w:w="7416"/>
            <w:vAlign w:val="center"/>
            <w:tcMar>
              <w:top w:w="80" w:type="dxa"/>
              <w:bottom w:w="80" w:type="dxa"/>
              <w:left w:w="95" w:type="dxa"/>
              <w:right w:w="95" w:type="dxa"/>
            </w:tcMar>
            <w:shd w:fill="FFFFFF"/>
          </w:tcPr>
          <w:p>
            <w:pPr>
              <w:spacing w:after="0" w:line="250" w:lineRule="auto"/>
            </w:pPr>
            <w:r>
              <w:rPr>
                <w:b w:val="0"/>
                <w:color w:val="000000"/>
                <w:sz w:val="18"/>
              </w:rPr>
              <w:t>500 unchanged rows processed; original units/time uncertainty and point baselines visible</w:t>
            </w:r>
          </w:p>
        </w:tc>
      </w:tr>
      <w:tr>
        <w:trPr>
          <w:cantSplit/>
        </w:trPr>
        <w:tc>
          <w:tcPr>
            <w:tcW w:type="dxa" w:w="2477"/>
            <w:vAlign w:val="center"/>
            <w:tcMar>
              <w:top w:w="80" w:type="dxa"/>
              <w:bottom w:w="80" w:type="dxa"/>
              <w:left w:w="95" w:type="dxa"/>
              <w:right w:w="95" w:type="dxa"/>
            </w:tcMar>
            <w:shd w:fill="F2F5F7"/>
          </w:tcPr>
          <w:p>
            <w:pPr>
              <w:spacing w:after="0" w:line="250" w:lineRule="auto"/>
            </w:pPr>
            <w:r>
              <w:rPr>
                <w:b w:val="0"/>
                <w:color w:val="000000"/>
                <w:sz w:val="18"/>
              </w:rPr>
              <w:t>Agentic behavior</w:t>
            </w:r>
          </w:p>
        </w:tc>
        <w:tc>
          <w:tcPr>
            <w:tcW w:type="dxa" w:w="7416"/>
            <w:vAlign w:val="center"/>
            <w:tcMar>
              <w:top w:w="80" w:type="dxa"/>
              <w:bottom w:w="80" w:type="dxa"/>
              <w:left w:w="95" w:type="dxa"/>
              <w:right w:w="95" w:type="dxa"/>
            </w:tcMar>
            <w:shd w:fill="F2F5F7"/>
          </w:tcPr>
          <w:p>
            <w:pPr>
              <w:spacing w:after="0" w:line="250" w:lineRule="auto"/>
            </w:pPr>
            <w:r>
              <w:rPr>
                <w:b w:val="0"/>
                <w:color w:val="000000"/>
                <w:sz w:val="18"/>
              </w:rPr>
              <w:t>Actual model chooses tools, revises a plan on counterevidence, schedules a bounded watch or selects an allowed response</w:t>
            </w:r>
          </w:p>
        </w:tc>
      </w:tr>
      <w:tr>
        <w:trPr>
          <w:cantSplit/>
        </w:trPr>
        <w:tc>
          <w:tcPr>
            <w:tcW w:type="dxa" w:w="2477"/>
            <w:vAlign w:val="center"/>
            <w:tcMar>
              <w:top w:w="80" w:type="dxa"/>
              <w:bottom w:w="80" w:type="dxa"/>
              <w:left w:w="95" w:type="dxa"/>
              <w:right w:w="95" w:type="dxa"/>
            </w:tcMar>
            <w:shd w:fill="FFFFFF"/>
          </w:tcPr>
          <w:p>
            <w:pPr>
              <w:spacing w:after="0" w:line="250" w:lineRule="auto"/>
            </w:pPr>
            <w:r>
              <w:rPr>
                <w:b w:val="0"/>
                <w:color w:val="000000"/>
                <w:sz w:val="18"/>
              </w:rPr>
              <w:t>Prevention workflow</w:t>
            </w:r>
          </w:p>
        </w:tc>
        <w:tc>
          <w:tcPr>
            <w:tcW w:type="dxa" w:w="7416"/>
            <w:vAlign w:val="center"/>
            <w:tcMar>
              <w:top w:w="80" w:type="dxa"/>
              <w:bottom w:w="80" w:type="dxa"/>
              <w:left w:w="95" w:type="dxa"/>
              <w:right w:w="95" w:type="dxa"/>
            </w:tcMar>
            <w:shd w:fill="FFFFFF"/>
          </w:tcPr>
          <w:p>
            <w:pPr>
              <w:spacing w:after="0" w:line="250" w:lineRule="auto"/>
            </w:pPr>
            <w:r>
              <w:rPr>
                <w:b w:val="0"/>
                <w:color w:val="000000"/>
                <w:sz w:val="18"/>
              </w:rPr>
              <w:t>Ticket/alert receipt, versioned runbook, explicit simulator/sandbox action, fresh verification and audit</w:t>
            </w:r>
          </w:p>
        </w:tc>
      </w:tr>
      <w:tr>
        <w:trPr>
          <w:cantSplit/>
        </w:trPr>
        <w:tc>
          <w:tcPr>
            <w:tcW w:type="dxa" w:w="2477"/>
            <w:vAlign w:val="center"/>
            <w:tcMar>
              <w:top w:w="80" w:type="dxa"/>
              <w:bottom w:w="80" w:type="dxa"/>
              <w:left w:w="95" w:type="dxa"/>
              <w:right w:w="95" w:type="dxa"/>
            </w:tcMar>
            <w:shd w:fill="F2F5F7"/>
          </w:tcPr>
          <w:p>
            <w:pPr>
              <w:spacing w:after="0" w:line="250" w:lineRule="auto"/>
            </w:pPr>
            <w:r>
              <w:rPr>
                <w:b w:val="0"/>
                <w:color w:val="000000"/>
                <w:sz w:val="18"/>
              </w:rPr>
              <w:t>Historical correlation</w:t>
            </w:r>
          </w:p>
        </w:tc>
        <w:tc>
          <w:tcPr>
            <w:tcW w:type="dxa" w:w="7416"/>
            <w:vAlign w:val="center"/>
            <w:tcMar>
              <w:top w:w="80" w:type="dxa"/>
              <w:bottom w:w="80" w:type="dxa"/>
              <w:left w:w="95" w:type="dxa"/>
              <w:right w:w="95" w:type="dxa"/>
            </w:tcMar>
            <w:shd w:fill="F2F5F7"/>
          </w:tcPr>
          <w:p>
            <w:pPr>
              <w:spacing w:after="0" w:line="250" w:lineRule="auto"/>
            </w:pPr>
            <w:r>
              <w:rPr>
                <w:b w:val="0"/>
                <w:color w:val="000000"/>
                <w:sz w:val="18"/>
              </w:rPr>
              <w:t>Prior-only verified synthetic case or explicit no-match; no generated original-data postmortem treated as fact</w:t>
            </w:r>
          </w:p>
        </w:tc>
      </w:tr>
      <w:tr>
        <w:trPr>
          <w:cantSplit/>
        </w:trPr>
        <w:tc>
          <w:tcPr>
            <w:tcW w:type="dxa" w:w="2477"/>
            <w:vAlign w:val="center"/>
            <w:tcMar>
              <w:top w:w="80" w:type="dxa"/>
              <w:bottom w:w="80" w:type="dxa"/>
              <w:left w:w="95" w:type="dxa"/>
              <w:right w:w="95" w:type="dxa"/>
            </w:tcMar>
            <w:shd w:fill="FFFFFF"/>
          </w:tcPr>
          <w:p>
            <w:pPr>
              <w:spacing w:after="0" w:line="250" w:lineRule="auto"/>
            </w:pPr>
            <w:r>
              <w:rPr>
                <w:b w:val="0"/>
                <w:color w:val="000000"/>
                <w:sz w:val="18"/>
              </w:rPr>
              <w:t>Detection quality</w:t>
            </w:r>
          </w:p>
        </w:tc>
        <w:tc>
          <w:tcPr>
            <w:tcW w:type="dxa" w:w="7416"/>
            <w:vAlign w:val="center"/>
            <w:tcMar>
              <w:top w:w="80" w:type="dxa"/>
              <w:bottom w:w="80" w:type="dxa"/>
              <w:left w:w="95" w:type="dxa"/>
              <w:right w:w="95" w:type="dxa"/>
            </w:tcMar>
            <w:shd w:fill="FFFFFF"/>
          </w:tcPr>
          <w:p>
            <w:pPr>
              <w:spacing w:after="0" w:line="250" w:lineRule="auto"/>
            </w:pPr>
            <w:r>
              <w:rPr>
                <w:b w:val="0"/>
                <w:color w:val="000000"/>
                <w:sz w:val="18"/>
              </w:rPr>
              <w:t>Frozen same-stream baseline comparison, early/late/missed counts and both window/event false alarms</w:t>
            </w:r>
          </w:p>
        </w:tc>
      </w:tr>
      <w:tr>
        <w:trPr>
          <w:cantSplit/>
        </w:trPr>
        <w:tc>
          <w:tcPr>
            <w:tcW w:type="dxa" w:w="2477"/>
            <w:vAlign w:val="center"/>
            <w:tcMar>
              <w:top w:w="80" w:type="dxa"/>
              <w:bottom w:w="80" w:type="dxa"/>
              <w:left w:w="95" w:type="dxa"/>
              <w:right w:w="95" w:type="dxa"/>
            </w:tcMar>
            <w:shd w:fill="F2F5F7"/>
          </w:tcPr>
          <w:p>
            <w:pPr>
              <w:spacing w:after="0" w:line="250" w:lineRule="auto"/>
            </w:pPr>
            <w:r>
              <w:rPr>
                <w:b w:val="0"/>
                <w:color w:val="000000"/>
                <w:sz w:val="18"/>
              </w:rPr>
              <w:t>Summary quality</w:t>
            </w:r>
          </w:p>
        </w:tc>
        <w:tc>
          <w:tcPr>
            <w:tcW w:type="dxa" w:w="7416"/>
            <w:vAlign w:val="center"/>
            <w:tcMar>
              <w:top w:w="80" w:type="dxa"/>
              <w:bottom w:w="80" w:type="dxa"/>
              <w:left w:w="95" w:type="dxa"/>
              <w:right w:w="95" w:type="dxa"/>
            </w:tcMar>
            <w:shd w:fill="F2F5F7"/>
          </w:tcPr>
          <w:p>
            <w:pPr>
              <w:spacing w:after="0" w:line="250" w:lineRule="auto"/>
            </w:pPr>
            <w:r>
              <w:rPr>
                <w:b w:val="0"/>
                <w:color w:val="000000"/>
                <w:sz w:val="18"/>
              </w:rPr>
              <w:t>Human evidence-pack scores; unsupported numerical claims removed; uncalibrated confidence labeled</w:t>
            </w:r>
          </w:p>
        </w:tc>
      </w:tr>
      <w:tr>
        <w:trPr>
          <w:cantSplit/>
        </w:trPr>
        <w:tc>
          <w:tcPr>
            <w:tcW w:type="dxa" w:w="2477"/>
            <w:vAlign w:val="center"/>
            <w:tcMar>
              <w:top w:w="80" w:type="dxa"/>
              <w:bottom w:w="80" w:type="dxa"/>
              <w:left w:w="95" w:type="dxa"/>
              <w:right w:w="95" w:type="dxa"/>
            </w:tcMar>
            <w:shd w:fill="FFFFFF"/>
          </w:tcPr>
          <w:p>
            <w:pPr>
              <w:spacing w:after="0" w:line="250" w:lineRule="auto"/>
            </w:pPr>
            <w:r>
              <w:rPr>
                <w:b w:val="0"/>
                <w:color w:val="000000"/>
                <w:sz w:val="18"/>
              </w:rPr>
              <w:t>Reliability and safety</w:t>
            </w:r>
          </w:p>
        </w:tc>
        <w:tc>
          <w:tcPr>
            <w:tcW w:type="dxa" w:w="7416"/>
            <w:vAlign w:val="center"/>
            <w:tcMar>
              <w:top w:w="80" w:type="dxa"/>
              <w:bottom w:w="80" w:type="dxa"/>
              <w:left w:w="95" w:type="dxa"/>
              <w:right w:w="95" w:type="dxa"/>
            </w:tcMar>
            <w:shd w:fill="FFFFFF"/>
          </w:tcPr>
          <w:p>
            <w:pPr>
              <w:spacing w:after="0" w:line="250" w:lineRule="auto"/>
            </w:pPr>
            <w:r>
              <w:rPr>
                <w:b w:val="0"/>
                <w:color w:val="000000"/>
                <w:sz w:val="18"/>
              </w:rPr>
              <w:t>Duplicate/restart/expiry/timeout/staleness/injection tests; no executed forbidden action</w:t>
            </w:r>
          </w:p>
        </w:tc>
      </w:tr>
      <w:tr>
        <w:trPr>
          <w:cantSplit/>
        </w:trPr>
        <w:tc>
          <w:tcPr>
            <w:tcW w:type="dxa" w:w="2477"/>
            <w:vAlign w:val="center"/>
            <w:tcMar>
              <w:top w:w="80" w:type="dxa"/>
              <w:bottom w:w="80" w:type="dxa"/>
              <w:left w:w="95" w:type="dxa"/>
              <w:right w:w="95" w:type="dxa"/>
            </w:tcMar>
            <w:shd w:fill="F2F5F7"/>
          </w:tcPr>
          <w:p>
            <w:pPr>
              <w:spacing w:after="0" w:line="250" w:lineRule="auto"/>
            </w:pPr>
            <w:r>
              <w:rPr>
                <w:b w:val="0"/>
                <w:color w:val="000000"/>
                <w:sz w:val="18"/>
              </w:rPr>
              <w:t>Cloud completeness</w:t>
            </w:r>
          </w:p>
        </w:tc>
        <w:tc>
          <w:tcPr>
            <w:tcW w:type="dxa" w:w="7416"/>
            <w:vAlign w:val="center"/>
            <w:tcMar>
              <w:top w:w="80" w:type="dxa"/>
              <w:bottom w:w="80" w:type="dxa"/>
              <w:left w:w="95" w:type="dxa"/>
              <w:right w:w="95" w:type="dxa"/>
            </w:tcMar>
            <w:shd w:fill="F2F5F7"/>
          </w:tcPr>
          <w:p>
            <w:pPr>
              <w:spacing w:after="0" w:line="250" w:lineRule="auto"/>
            </w:pPr>
            <w:r>
              <w:rPr>
                <w:b w:val="0"/>
                <w:color w:val="000000"/>
                <w:sz w:val="18"/>
              </w:rPr>
              <w:t>Deployed GCP backend trace, health/failure behavior and measured workload limits</w:t>
            </w:r>
          </w:p>
        </w:tc>
      </w:tr>
    </w:tbl>
    <w:p>
      <w:pPr>
        <w:spacing w:after="20" w:before="0" w:line="96" w:lineRule="auto"/>
      </w:pPr>
      <w:r>
        <w:rPr>
          <w:sz w:val="4"/>
        </w:rPr>
      </w:r>
    </w:p>
    <w:p>
      <w:pPr>
        <w:pStyle w:val="Heading2"/>
      </w:pPr>
      <w:r>
        <w:rPr>
          <w:b w:val="0"/>
        </w:rPr>
        <w:t>Principal risks</w:t>
      </w:r>
    </w:p>
    <w:p>
      <w:r>
        <w:rPr>
          <w:b w:val="0"/>
        </w:rPr>
      </w:r>
      <w:r>
        <w:rPr>
          <w:b/>
        </w:rPr>
        <w:t>Scope and time:</w:t>
      </w:r>
      <w:r>
        <w:rPr>
          <w:b w:val="0"/>
        </w:rPr>
        <w:t xml:space="preserve"> the combined source wish lists are the main delivery risk. Keep one primary incident and the same action ledger throughout. Cut optional modules at the stated checkpoints.</w:t>
      </w:r>
    </w:p>
    <w:p>
      <w:r>
        <w:rPr>
          <w:b w:val="0"/>
        </w:rPr>
      </w:r>
      <w:r>
        <w:rPr>
          <w:b/>
        </w:rPr>
        <w:t>Synthetic optimism:</w:t>
      </w:r>
      <w:r>
        <w:rPr>
          <w:b w:val="0"/>
        </w:rPr>
        <w:t xml:space="preserve"> the existing generator favors a known mechanism and lacks abrupt/strongly confounded negatives. Preserve its results as mechanism evidence and expand the heldout suite before any stronger claim. Do not adjust negative labels after warnings occur.</w:t>
      </w:r>
    </w:p>
    <w:p>
      <w:r>
        <w:rPr>
          <w:b w:val="0"/>
        </w:rPr>
      </w:r>
      <w:r>
        <w:rPr>
          <w:b/>
        </w:rPr>
        <w:t>Model overconfidence or excessive skepticism:</w:t>
      </w:r>
      <w:r>
        <w:rPr>
          <w:b w:val="0"/>
        </w:rPr>
        <w:t xml:space="preserve"> neither fluent explanation nor a challenger verdict establishes truth. Ground claims semantically, preserve deterministic hard-breach alerts and report challenger-induced delays/misses.</w:t>
      </w:r>
    </w:p>
    <w:p>
      <w:r>
        <w:rPr>
          <w:b w:val="0"/>
        </w:rPr>
      </w:r>
      <w:r>
        <w:rPr>
          <w:b/>
        </w:rPr>
        <w:t>Action misconception:</w:t>
      </w:r>
      <w:r>
        <w:rPr>
          <w:b w:val="0"/>
        </w:rPr>
        <w:t xml:space="preserve"> retry limits can prevent useful recovery attempts; healthy endpoints can still be incompatible payment targets; TTL does not erase customer impact. Keep interventions sandbox-only and verify guardrails, failure and rollback.</w:t>
      </w:r>
    </w:p>
    <w:p>
      <w:r>
        <w:rPr>
          <w:b w:val="0"/>
        </w:rPr>
      </w:r>
      <w:r>
        <w:rPr>
          <w:b/>
        </w:rPr>
        <w:t>Cloud or API failure:</w:t>
      </w:r>
      <w:r>
        <w:rPr>
          <w:b w:val="0"/>
        </w:rPr>
        <w:t xml:space="preserve"> durable state prevents lost work; deterministic summaries preserve alerts; a labeled local walkthrough/recording preserves presentation continuity. Never claim a cached trace was just generated.</w:t>
      </w:r>
    </w:p>
    <w:p>
      <w:pPr>
        <w:pStyle w:val="Heading2"/>
      </w:pPr>
      <w:r>
        <w:rPr>
          <w:b w:val="0"/>
        </w:rPr>
        <w:t>Final narrative for the judges</w:t>
      </w:r>
    </w:p>
    <w:p>
      <w:r>
        <w:rPr>
          <w:b w:val="0"/>
        </w:rPr>
        <w:t>“The organizer's sample is useful for a baseline, but too sparse to prove warning time. We kept it intact. In a separate, auditable payment simulation, Foresight detects a retry cascade, chooses diagnostics, checks prior cases, challenges its first explanation and opens a preventive ticket. It demonstrates a bounded sandbox response and verifies the result. The scorecard shows warning time, false alarms and failures against the same input. Production effectiveness remains a validation step.”</w:t>
      </w:r>
    </w:p>
    <w:p>
      <w:r>
        <w:rPr>
          <w:b w:val="0"/>
        </w:rPr>
        <w:t>Lead with the verified on-call workflow. Use the existing 18/18 and nine-minute results only with their synthetic/statistical label and false-alarm tradeoff. Replace them with expanded agent/sandbox results only after those experiments run. A complete honest demonstration has more judging value than seven named agents, unsupported savings and a broad unfinished platform.</w:t>
      </w:r>
    </w:p>
    <w:p>
      <w:r>
        <w:br w:type="page"/>
      </w:r>
    </w:p>
    <w:p>
      <w:pPr>
        <w:pStyle w:val="Heading1"/>
      </w:pPr>
      <w:r>
        <w:rPr>
          <w:b w:val="0"/>
        </w:rPr>
        <w:t>19 Source record and reproducibility</w:t>
      </w:r>
    </w:p>
    <w:p>
      <w:r>
        <w:rPr>
          <w:b w:val="0"/>
        </w:rPr>
        <w:t xml:space="preserve">This final plan evaluates the three main design families together with the branch's own earlier synthesis and the original Sentinel sketch. It combines their content; it is not a Git merge of application code. Remote source revision: </w:t>
      </w:r>
      <w:r>
        <w:rPr>
          <w:b/>
        </w:rPr>
        <w:t>9756498c352bde3373b61ea25491f64e6e4599e3</w:t>
      </w:r>
      <w:r>
        <w:rPr>
          <w:b w:val="0"/>
        </w:rPr>
        <w:t>, origin/some-more-plans, fetched 20 October 2026. Working branch and staged analysis additions were preserved.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7"/>
        <w:gridCol w:w="7416"/>
      </w:tblGrid>
      <w:tr>
        <w:trPr>
          <w:cantSplit/>
          <w:tblHeader/>
        </w:trPr>
        <w:tc>
          <w:tcPr>
            <w:tcW w:type="dxa" w:w="2477"/>
            <w:vAlign w:val="center"/>
            <w:tcMar>
              <w:top w:w="80" w:type="dxa"/>
              <w:bottom w:w="80" w:type="dxa"/>
              <w:left w:w="95" w:type="dxa"/>
              <w:right w:w="95" w:type="dxa"/>
            </w:tcMar>
            <w:shd w:fill="243F52"/>
          </w:tcPr>
          <w:p>
            <w:pPr>
              <w:spacing w:after="0" w:line="250" w:lineRule="auto"/>
            </w:pPr>
            <w:r>
              <w:rPr>
                <w:b/>
                <w:color w:val="FFFFFF"/>
                <w:sz w:val="18"/>
              </w:rPr>
              <w:t>Reference</w:t>
            </w:r>
          </w:p>
        </w:tc>
        <w:tc>
          <w:tcPr>
            <w:tcW w:type="dxa" w:w="7416"/>
            <w:vAlign w:val="center"/>
            <w:tcMar>
              <w:top w:w="80" w:type="dxa"/>
              <w:bottom w:w="80" w:type="dxa"/>
              <w:left w:w="95" w:type="dxa"/>
              <w:right w:w="95" w:type="dxa"/>
            </w:tcMar>
            <w:shd w:fill="243F52"/>
          </w:tcPr>
          <w:p>
            <w:pPr>
              <w:spacing w:after="0" w:line="250" w:lineRule="auto"/>
            </w:pPr>
            <w:r>
              <w:rPr>
                <w:b/>
                <w:color w:val="FFFFFF"/>
                <w:sz w:val="18"/>
              </w:rPr>
              <w:t>Source and use</w:t>
            </w:r>
          </w:p>
        </w:tc>
      </w:tr>
      <w:tr>
        <w:trPr>
          <w:cantSplit/>
        </w:trPr>
        <w:tc>
          <w:tcPr>
            <w:tcW w:type="dxa" w:w="2477"/>
            <w:vAlign w:val="center"/>
            <w:tcMar>
              <w:top w:w="80" w:type="dxa"/>
              <w:bottom w:w="80" w:type="dxa"/>
              <w:left w:w="95" w:type="dxa"/>
              <w:right w:w="95" w:type="dxa"/>
            </w:tcMar>
            <w:shd w:fill="FFFFFF"/>
          </w:tcPr>
          <w:p>
            <w:pPr>
              <w:spacing w:after="0" w:line="250" w:lineRule="auto"/>
            </w:pPr>
            <w:r>
              <w:rPr>
                <w:b w:val="0"/>
                <w:color w:val="000000"/>
                <w:sz w:val="18"/>
              </w:rPr>
              <w:t>A</w:t>
            </w:r>
          </w:p>
        </w:tc>
        <w:tc>
          <w:tcPr>
            <w:tcW w:type="dxa" w:w="7416"/>
            <w:vAlign w:val="center"/>
            <w:tcMar>
              <w:top w:w="80" w:type="dxa"/>
              <w:bottom w:w="80" w:type="dxa"/>
              <w:left w:w="95" w:type="dxa"/>
              <w:right w:w="95" w:type="dxa"/>
            </w:tcMar>
            <w:shd w:fill="FFFFFF"/>
          </w:tcPr>
          <w:p>
            <w:pPr>
              <w:spacing w:after="0" w:line="250" w:lineRule="auto"/>
            </w:pPr>
            <w:r>
              <w:rPr>
                <w:b w:val="0"/>
                <w:color w:val="000000"/>
                <w:sz w:val="18"/>
              </w:rPr>
              <w:t>Current PayGuard package: docs/implementation_plan.md and companion architecture, data, evaluation and security documents; source of measured evidence and durable workflow</w:t>
            </w:r>
          </w:p>
        </w:tc>
      </w:tr>
      <w:tr>
        <w:trPr>
          <w:cantSplit/>
        </w:trPr>
        <w:tc>
          <w:tcPr>
            <w:tcW w:type="dxa" w:w="2477"/>
            <w:vAlign w:val="center"/>
            <w:tcMar>
              <w:top w:w="80" w:type="dxa"/>
              <w:bottom w:w="80" w:type="dxa"/>
              <w:left w:w="95" w:type="dxa"/>
              <w:right w:w="95" w:type="dxa"/>
            </w:tcMar>
            <w:shd w:fill="F2F5F7"/>
          </w:tcPr>
          <w:p>
            <w:pPr>
              <w:spacing w:after="0" w:line="250" w:lineRule="auto"/>
            </w:pPr>
            <w:r>
              <w:rPr>
                <w:b w:val="0"/>
                <w:color w:val="000000"/>
                <w:sz w:val="18"/>
              </w:rPr>
              <w:t>B</w:t>
            </w:r>
          </w:p>
        </w:tc>
        <w:tc>
          <w:tcPr>
            <w:tcW w:type="dxa" w:w="7416"/>
            <w:vAlign w:val="center"/>
            <w:tcMar>
              <w:top w:w="80" w:type="dxa"/>
              <w:bottom w:w="80" w:type="dxa"/>
              <w:left w:w="95" w:type="dxa"/>
              <w:right w:w="95" w:type="dxa"/>
            </w:tcMar>
            <w:shd w:fill="F2F5F7"/>
          </w:tcPr>
          <w:p>
            <w:pPr>
              <w:spacing w:after="0" w:line="250" w:lineRule="auto"/>
            </w:pPr>
            <w:r>
              <w:rPr>
                <w:b w:val="0"/>
                <w:color w:val="000000"/>
                <w:sz w:val="18"/>
              </w:rPr>
              <w:t>some-more-plans: docs/IMPLEMENTATION_PLAN.md; Sentinel segment, scenario, test and sandbox concepts</w:t>
            </w:r>
          </w:p>
        </w:tc>
      </w:tr>
      <w:tr>
        <w:trPr>
          <w:cantSplit/>
        </w:trPr>
        <w:tc>
          <w:tcPr>
            <w:tcW w:type="dxa" w:w="2477"/>
            <w:vAlign w:val="center"/>
            <w:tcMar>
              <w:top w:w="80" w:type="dxa"/>
              <w:bottom w:w="80" w:type="dxa"/>
              <w:left w:w="95" w:type="dxa"/>
              <w:right w:w="95" w:type="dxa"/>
            </w:tcMar>
            <w:shd w:fill="FFFFFF"/>
          </w:tcPr>
          <w:p>
            <w:pPr>
              <w:spacing w:after="0" w:line="250" w:lineRule="auto"/>
            </w:pPr>
            <w:r>
              <w:rPr>
                <w:b w:val="0"/>
                <w:color w:val="000000"/>
                <w:sz w:val="18"/>
              </w:rPr>
              <w:t>C</w:t>
            </w:r>
          </w:p>
        </w:tc>
        <w:tc>
          <w:tcPr>
            <w:tcW w:type="dxa" w:w="7416"/>
            <w:vAlign w:val="center"/>
            <w:tcMar>
              <w:top w:w="80" w:type="dxa"/>
              <w:bottom w:w="80" w:type="dxa"/>
              <w:left w:w="95" w:type="dxa"/>
              <w:right w:w="95" w:type="dxa"/>
            </w:tcMar>
            <w:shd w:fill="FFFFFF"/>
          </w:tcPr>
          <w:p>
            <w:pPr>
              <w:spacing w:after="0" w:line="250" w:lineRule="auto"/>
            </w:pPr>
            <w:r>
              <w:rPr>
                <w:b w:val="0"/>
                <w:color w:val="000000"/>
                <w:sz w:val="18"/>
              </w:rPr>
              <w:t>some-more-plans: docs/foresight_blueprint.md; planning/re-planning, watch and action-envelope concepts</w:t>
            </w:r>
          </w:p>
        </w:tc>
      </w:tr>
      <w:tr>
        <w:trPr>
          <w:cantSplit/>
        </w:trPr>
        <w:tc>
          <w:tcPr>
            <w:tcW w:type="dxa" w:w="2477"/>
            <w:vAlign w:val="center"/>
            <w:tcMar>
              <w:top w:w="80" w:type="dxa"/>
              <w:bottom w:w="80" w:type="dxa"/>
              <w:left w:w="95" w:type="dxa"/>
              <w:right w:w="95" w:type="dxa"/>
            </w:tcMar>
            <w:shd w:fill="F2F5F7"/>
          </w:tcPr>
          <w:p>
            <w:pPr>
              <w:spacing w:after="0" w:line="250" w:lineRule="auto"/>
            </w:pPr>
            <w:r>
              <w:rPr>
                <w:b w:val="0"/>
                <w:color w:val="000000"/>
                <w:sz w:val="18"/>
              </w:rPr>
              <w:t>D</w:t>
            </w:r>
          </w:p>
        </w:tc>
        <w:tc>
          <w:tcPr>
            <w:tcW w:type="dxa" w:w="7416"/>
            <w:vAlign w:val="center"/>
            <w:tcMar>
              <w:top w:w="80" w:type="dxa"/>
              <w:bottom w:w="80" w:type="dxa"/>
              <w:left w:w="95" w:type="dxa"/>
              <w:right w:w="95" w:type="dxa"/>
            </w:tcMar>
            <w:shd w:fill="F2F5F7"/>
          </w:tcPr>
          <w:p>
            <w:pPr>
              <w:spacing w:after="0" w:line="250" w:lineRule="auto"/>
            </w:pPr>
            <w:r>
              <w:rPr>
                <w:b w:val="0"/>
                <w:color w:val="000000"/>
                <w:sz w:val="18"/>
              </w:rPr>
              <w:t>some-more-plans: docs/FINAL_PLAN.md; earlier synthesis, conflicts and scope review</w:t>
            </w:r>
          </w:p>
        </w:tc>
      </w:tr>
      <w:tr>
        <w:trPr>
          <w:cantSplit/>
        </w:trPr>
        <w:tc>
          <w:tcPr>
            <w:tcW w:type="dxa" w:w="2477"/>
            <w:vAlign w:val="center"/>
            <w:tcMar>
              <w:top w:w="80" w:type="dxa"/>
              <w:bottom w:w="80" w:type="dxa"/>
              <w:left w:w="95" w:type="dxa"/>
              <w:right w:w="95" w:type="dxa"/>
            </w:tcMar>
            <w:shd w:fill="FFFFFF"/>
          </w:tcPr>
          <w:p>
            <w:pPr>
              <w:spacing w:after="0" w:line="250" w:lineRule="auto"/>
            </w:pPr>
            <w:r>
              <w:rPr>
                <w:b w:val="0"/>
                <w:color w:val="000000"/>
                <w:sz w:val="18"/>
              </w:rPr>
              <w:t>E</w:t>
            </w:r>
          </w:p>
        </w:tc>
        <w:tc>
          <w:tcPr>
            <w:tcW w:type="dxa" w:w="7416"/>
            <w:vAlign w:val="center"/>
            <w:tcMar>
              <w:top w:w="80" w:type="dxa"/>
              <w:bottom w:w="80" w:type="dxa"/>
              <w:left w:w="95" w:type="dxa"/>
              <w:right w:w="95" w:type="dxa"/>
            </w:tcMar>
            <w:shd w:fill="FFFFFF"/>
          </w:tcPr>
          <w:p>
            <w:pPr>
              <w:spacing w:after="0" w:line="250" w:lineRule="auto"/>
            </w:pPr>
            <w:r>
              <w:rPr>
                <w:b w:val="0"/>
                <w:color w:val="000000"/>
                <w:sz w:val="18"/>
              </w:rPr>
              <w:t>some-more-plans: docs/sentinel_hackathon_plan_1.md; historical sketch, not a verified time/team/venue contract</w:t>
            </w:r>
          </w:p>
        </w:tc>
      </w:tr>
      <w:tr>
        <w:trPr>
          <w:cantSplit/>
        </w:trPr>
        <w:tc>
          <w:tcPr>
            <w:tcW w:type="dxa" w:w="2477"/>
            <w:vAlign w:val="center"/>
            <w:tcMar>
              <w:top w:w="80" w:type="dxa"/>
              <w:bottom w:w="80" w:type="dxa"/>
              <w:left w:w="95" w:type="dxa"/>
              <w:right w:w="95" w:type="dxa"/>
            </w:tcMar>
            <w:shd w:fill="F2F5F7"/>
          </w:tcPr>
          <w:p>
            <w:pPr>
              <w:spacing w:after="0" w:line="250" w:lineRule="auto"/>
            </w:pPr>
            <w:r>
              <w:rPr>
                <w:b w:val="0"/>
                <w:color w:val="000000"/>
                <w:sz w:val="18"/>
              </w:rPr>
              <w:t>S1</w:t>
            </w:r>
          </w:p>
        </w:tc>
        <w:tc>
          <w:tcPr>
            <w:tcW w:type="dxa" w:w="7416"/>
            <w:vAlign w:val="center"/>
            <w:tcMar>
              <w:top w:w="80" w:type="dxa"/>
              <w:bottom w:w="80" w:type="dxa"/>
              <w:left w:w="95" w:type="dxa"/>
              <w:right w:w="95" w:type="dxa"/>
            </w:tcMar>
            <w:shd w:fill="F2F5F7"/>
          </w:tcPr>
          <w:p>
            <w:pPr>
              <w:spacing w:after="0" w:line="250" w:lineRule="auto"/>
            </w:pPr>
            <w:r>
              <w:rPr>
                <w:b w:val="0"/>
                <w:color w:val="000000"/>
                <w:sz w:val="18"/>
              </w:rPr>
              <w:t>Organizer DOCX, PS-02 and What Makes a Good Submission; exact requirements and judging dimensions</w:t>
            </w:r>
          </w:p>
        </w:tc>
      </w:tr>
      <w:tr>
        <w:trPr>
          <w:cantSplit/>
        </w:trPr>
        <w:tc>
          <w:tcPr>
            <w:tcW w:type="dxa" w:w="2477"/>
            <w:vAlign w:val="center"/>
            <w:tcMar>
              <w:top w:w="80" w:type="dxa"/>
              <w:bottom w:w="80" w:type="dxa"/>
              <w:left w:w="95" w:type="dxa"/>
              <w:right w:w="95" w:type="dxa"/>
            </w:tcMar>
            <w:shd w:fill="FFFFFF"/>
          </w:tcPr>
          <w:p>
            <w:pPr>
              <w:spacing w:after="0" w:line="250" w:lineRule="auto"/>
            </w:pPr>
            <w:r>
              <w:rPr>
                <w:b w:val="0"/>
                <w:color w:val="000000"/>
                <w:sz w:val="18"/>
              </w:rPr>
              <w:t>S2</w:t>
            </w:r>
          </w:p>
        </w:tc>
        <w:tc>
          <w:tcPr>
            <w:tcW w:type="dxa" w:w="7416"/>
            <w:vAlign w:val="center"/>
            <w:tcMar>
              <w:top w:w="80" w:type="dxa"/>
              <w:bottom w:w="80" w:type="dxa"/>
              <w:left w:w="95" w:type="dxa"/>
              <w:right w:w="95" w:type="dxa"/>
            </w:tcMar>
            <w:shd w:fill="FFFFFF"/>
          </w:tcPr>
          <w:p>
            <w:pPr>
              <w:spacing w:after="0" w:line="250" w:lineRule="auto"/>
            </w:pPr>
            <w:r>
              <w:rPr>
                <w:b w:val="0"/>
                <w:color w:val="000000"/>
                <w:sz w:val="18"/>
              </w:rPr>
              <w:t>Original CSV; reports/eda/eda_report.md, eda_summary.json, categorical/incident statistics and source hash</w:t>
            </w:r>
          </w:p>
        </w:tc>
      </w:tr>
      <w:tr>
        <w:trPr>
          <w:cantSplit/>
        </w:trPr>
        <w:tc>
          <w:tcPr>
            <w:tcW w:type="dxa" w:w="2477"/>
            <w:vAlign w:val="center"/>
            <w:tcMar>
              <w:top w:w="80" w:type="dxa"/>
              <w:bottom w:w="80" w:type="dxa"/>
              <w:left w:w="95" w:type="dxa"/>
              <w:right w:w="95" w:type="dxa"/>
            </w:tcMar>
            <w:shd w:fill="F2F5F7"/>
          </w:tcPr>
          <w:p>
            <w:pPr>
              <w:spacing w:after="0" w:line="250" w:lineRule="auto"/>
            </w:pPr>
            <w:r>
              <w:rPr>
                <w:b w:val="0"/>
                <w:color w:val="000000"/>
                <w:sz w:val="18"/>
              </w:rPr>
              <w:t>S3</w:t>
            </w:r>
          </w:p>
        </w:tc>
        <w:tc>
          <w:tcPr>
            <w:tcW w:type="dxa" w:w="7416"/>
            <w:vAlign w:val="center"/>
            <w:tcMar>
              <w:top w:w="80" w:type="dxa"/>
              <w:bottom w:w="80" w:type="dxa"/>
              <w:left w:w="95" w:type="dxa"/>
              <w:right w:w="95" w:type="dxa"/>
            </w:tcMar>
            <w:shd w:fill="F2F5F7"/>
          </w:tcPr>
          <w:p>
            <w:pPr>
              <w:spacing w:after="0" w:line="250" w:lineRule="auto"/>
            </w:pPr>
            <w:r>
              <w:rPr>
                <w:b w:val="0"/>
                <w:color w:val="000000"/>
                <w:sz w:val="18"/>
              </w:rPr>
              <w:t>reports/evaluation/synthetic_results.json, synthetic_scenario_metrics.csv, paired_intervention_results.csv, synthetic_uncertainty.json and preserved exploratory_pilot</w:t>
            </w:r>
          </w:p>
        </w:tc>
      </w:tr>
    </w:tbl>
    <w:p>
      <w:pPr>
        <w:spacing w:after="20" w:before="0" w:line="96" w:lineRule="auto"/>
      </w:pPr>
      <w:r>
        <w:rPr>
          <w:sz w:val="4"/>
        </w:rPr>
      </w:r>
    </w:p>
    <w:p>
      <w:pPr>
        <w:pStyle w:val="Heading2"/>
      </w:pPr>
      <w:r>
        <w:rPr>
          <w:b w:val="0"/>
        </w:rPr>
        <w:t>Official technical references checked on 20 October 2026</w:t>
      </w:r>
    </w:p>
    <w:p>
      <w:r>
        <w:rPr>
          <w:b w:val="0"/>
          <w:sz w:val="18"/>
        </w:rPr>
        <w:t>[S4] OpenAI Agents SDK overview: https://developers.openai.com/api/docs/guides/agents/sdk</w:t>
      </w:r>
    </w:p>
    <w:p>
      <w:r>
        <w:rPr>
          <w:b w:val="0"/>
          <w:sz w:val="18"/>
        </w:rPr>
        <w:t>[S5] OpenAI guardrails and human review: https://developers.openai.com/api/docs/guides/agents/guardrails-approvals</w:t>
      </w:r>
    </w:p>
    <w:p>
      <w:r>
        <w:rPr>
          <w:b w:val="0"/>
          <w:sz w:val="18"/>
        </w:rPr>
        <w:t>[S6] Pub/Sub exactly-once delivery: https://docs.cloud.google.com/pubsub/docs/exactly-once-delivery</w:t>
      </w:r>
    </w:p>
    <w:p>
      <w:r>
        <w:rPr>
          <w:b w:val="0"/>
          <w:sz w:val="18"/>
        </w:rPr>
        <w:t>[S7] Cloud Run billing settings and CPU allocation: https://docs.cloud.google.com/run/docs/configuring/billing-settings</w:t>
      </w:r>
    </w:p>
    <w:p>
      <w:r>
        <w:rPr>
          <w:b w:val="0"/>
          <w:sz w:val="18"/>
        </w:rPr>
        <w:t>[S8] Model capabilities and pricing: https://developers.openai.com/api/docs/models/gpt-5.4-mini</w:t>
      </w:r>
    </w:p>
    <w:p>
      <w:r>
        <w:rPr>
          <w:b w:val="0"/>
        </w:rPr>
        <w:t>The source plans' external market/outage figures, model-retirement assertions, blanket geographic latency rankings and AUC claims are not used as verified facts in this final plan. Precise libraries/models/region must pass current account smoke tests. Evidence-grounded architecture recommendations do not imply account access or implementation.</w:t>
      </w:r>
    </w:p>
    <w:p>
      <w:r>
        <w:rPr>
          <w:b w:val="0"/>
        </w:rPr>
        <w:t>The reproducible analysis notebook is notebooks/ps02_eda.ipynb. Existing utilities are src/eda.py, src/scenarios.py and src/validate_artifacts.py. Raw input remains unchanged; generator and ground truth are separate under data/scenarios and data/processed. Future benchmark outputs must record version/partition metadata. This document is the single final decision record; the source plans remain available as historical background.</w:t>
      </w:r>
    </w:p>
    <w:sectPr w:rsidR="00FC693F" w:rsidRPr="0006063C" w:rsidSect="00034616">
      <w:footerReference w:type="default" r:id="rId9"/>
      <w:pgSz w:w="11909" w:h="16834"/>
      <w:pgMar w:top="893" w:right="1008" w:bottom="893" w:left="1008" w:header="288"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64646"/>
        <w:sz w:val="16"/>
      </w:rPr>
      <w:t xml:space="preserve">Foresight final plan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lvlJc w:val="left"/>
      <w:suff w:val="space"/>
      <w:pPr>
        <w:ind w:left="300" w:hanging="300"/>
      </w:pPr>
    </w:lvl>
  </w:abstractNum>
  <w:num w:numId="10">
    <w:abstractNumId w:val="9"/>
    <w:lvlOverride w:ilvl="0">
      <w:startOverride w:val="1"/>
    </w:lvlOverride>
  </w:num>
  <w:num w:numId="1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6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line="264"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40" w:after="80" w:line="264" w:lineRule="auto"/>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10" w:line="264" w:lineRule="auto"/>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64"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10" w:line="264" w:lineRule="auto"/>
    </w:pPr>
    <w:rPr>
      <w:rFonts w:asciiTheme="majorHAnsi" w:eastAsiaTheme="majorEastAsia" w:hAnsiTheme="majorHAnsi" w:cstheme="majorBidi" w:ascii="Arial" w:hAnsi="Arial"/>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10" w:line="264"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10" w:line="264" w:lineRule="auto"/>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10" w:line="264" w:lineRule="auto"/>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10"/>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Foresight Payment Reliability Final Plan</dc:title>
  <dc:subject>PS 02 consolidated product architecture evaluation and delivery plan</dc:subject>
  <dc:creator>NovaPay project team</dc:creator>
  <cp:keywords>PS-02, Foresight, final plan, payment reliability</cp:keywords>
  <dc:description>generated by python-docx</dc:description>
  <cp:lastModifiedBy/>
  <cp:revision>1</cp:revision>
  <dcterms:created xsi:type="dcterms:W3CDTF">2013-12-23T23:15:00Z</dcterms:created>
  <dcterms:modified xsi:type="dcterms:W3CDTF">2013-12-23T23:15:00Z</dcterms:modified>
  <cp:category/>
</cp:coreProperties>
</file>