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875AE" w14:textId="7978A79C" w:rsidR="00681A52" w:rsidRDefault="00961F36">
      <w:pPr>
        <w:pStyle w:val="Heading2"/>
        <w:jc w:val="center"/>
      </w:pPr>
      <w:r>
        <w:t>Explaining and Predicting Spatial Variation in Wetland N</w:t>
      </w:r>
      <w:r w:rsidRPr="00961F36">
        <w:rPr>
          <w:vertAlign w:val="subscript"/>
        </w:rPr>
        <w:t>2</w:t>
      </w:r>
      <w:r>
        <w:t xml:space="preserve">O Emissions Through Microbial Functional Gene Associations </w:t>
      </w:r>
    </w:p>
    <w:p w14:paraId="514875B0" w14:textId="77777777" w:rsidR="00681A52" w:rsidRDefault="00516F85">
      <w:pPr>
        <w:pStyle w:val="Heading3"/>
      </w:pPr>
      <w:r>
        <w:t xml:space="preserve">Overview </w:t>
      </w:r>
    </w:p>
    <w:p w14:paraId="0F9FEE50" w14:textId="77777777" w:rsidR="00981628" w:rsidRDefault="00981628" w:rsidP="00981628"/>
    <w:p w14:paraId="2199C9A7" w14:textId="77777777" w:rsidR="00981628" w:rsidRPr="00981628" w:rsidRDefault="00981628" w:rsidP="004E4014">
      <w:pPr>
        <w:pBdr>
          <w:top w:val="single" w:sz="4" w:space="1" w:color="auto"/>
          <w:bottom w:val="single" w:sz="4" w:space="1" w:color="auto"/>
        </w:pBdr>
        <w:rPr>
          <w:i/>
          <w:iCs/>
        </w:rPr>
      </w:pPr>
      <w:r w:rsidRPr="00981628">
        <w:rPr>
          <w:i/>
          <w:iCs/>
        </w:rPr>
        <w:t xml:space="preserve">This section should provide a brief background description of the current knowledge gaps, limitations of  the current state-of-the-art, and potential technological societal impacts that are the motivation for the proposed effort. This section should also describe the merits of the approach being used and how the team is uniquely positioned to address these challenges, recent technological/social advances that make the effort timely, and any other broader impacts that may benefit from these advances.  </w:t>
      </w:r>
    </w:p>
    <w:p w14:paraId="0713E736" w14:textId="77777777" w:rsidR="00981628" w:rsidRPr="00981628" w:rsidRDefault="00981628" w:rsidP="00981628"/>
    <w:p w14:paraId="003DEF0C" w14:textId="6BE4FCAC" w:rsidR="000502AE" w:rsidRPr="00311C59" w:rsidRDefault="00EB26F2" w:rsidP="00311C59">
      <w:pPr>
        <w:spacing w:line="360" w:lineRule="auto"/>
        <w:rPr>
          <w:sz w:val="22"/>
          <w:szCs w:val="22"/>
        </w:rPr>
      </w:pPr>
      <w:r w:rsidRPr="00311C59">
        <w:rPr>
          <w:sz w:val="22"/>
          <w:szCs w:val="22"/>
        </w:rPr>
        <w:t xml:space="preserve">Wetlands are a </w:t>
      </w:r>
      <w:r w:rsidR="00FA6201" w:rsidRPr="00311C59">
        <w:rPr>
          <w:sz w:val="22"/>
          <w:szCs w:val="22"/>
        </w:rPr>
        <w:t>widely</w:t>
      </w:r>
      <w:r w:rsidRPr="00311C59">
        <w:rPr>
          <w:sz w:val="22"/>
          <w:szCs w:val="22"/>
        </w:rPr>
        <w:t xml:space="preserve"> recognized </w:t>
      </w:r>
      <w:r w:rsidR="00FA6201" w:rsidRPr="00311C59">
        <w:rPr>
          <w:sz w:val="22"/>
          <w:szCs w:val="22"/>
        </w:rPr>
        <w:t>organic carbon (C) sink</w:t>
      </w:r>
      <w:r w:rsidR="00DC094A" w:rsidRPr="00311C59">
        <w:rPr>
          <w:sz w:val="22"/>
          <w:szCs w:val="22"/>
        </w:rPr>
        <w:t>, however recent attention has shifted</w:t>
      </w:r>
      <w:r w:rsidR="006F22A6" w:rsidRPr="00311C59">
        <w:rPr>
          <w:sz w:val="22"/>
          <w:szCs w:val="22"/>
        </w:rPr>
        <w:t xml:space="preserve"> toward the increases in atmospheric concentration of greenhouse gases like nitrous oxide (N</w:t>
      </w:r>
      <w:r w:rsidR="006F22A6" w:rsidRPr="000E1911">
        <w:rPr>
          <w:sz w:val="22"/>
          <w:szCs w:val="22"/>
          <w:vertAlign w:val="subscript"/>
        </w:rPr>
        <w:t>2</w:t>
      </w:r>
      <w:r w:rsidR="006F22A6" w:rsidRPr="00311C59">
        <w:rPr>
          <w:sz w:val="22"/>
          <w:szCs w:val="22"/>
        </w:rPr>
        <w:t>)</w:t>
      </w:r>
      <w:r w:rsidR="009643FE" w:rsidRPr="00311C59">
        <w:rPr>
          <w:sz w:val="22"/>
          <w:szCs w:val="22"/>
        </w:rPr>
        <w:t xml:space="preserve"> leading toward the steady warming of the earth’s climate</w:t>
      </w:r>
      <w:r w:rsidR="006F22A6" w:rsidRPr="00311C59">
        <w:rPr>
          <w:sz w:val="22"/>
          <w:szCs w:val="22"/>
        </w:rPr>
        <w:t>, and the potential contribut</w:t>
      </w:r>
      <w:r w:rsidR="00A77261">
        <w:rPr>
          <w:sz w:val="22"/>
          <w:szCs w:val="22"/>
        </w:rPr>
        <w:t>ion</w:t>
      </w:r>
      <w:r w:rsidR="006F22A6" w:rsidRPr="00311C59">
        <w:rPr>
          <w:sz w:val="22"/>
          <w:szCs w:val="22"/>
        </w:rPr>
        <w:t xml:space="preserve"> from wetlands. </w:t>
      </w:r>
      <w:r w:rsidR="00AF5399" w:rsidRPr="00311C59">
        <w:rPr>
          <w:sz w:val="22"/>
          <w:szCs w:val="22"/>
        </w:rPr>
        <w:t>Since 1970, the total area of natural wetlands has declined by approximately 0.52% annually due to intensive</w:t>
      </w:r>
      <w:r w:rsidR="007B6622" w:rsidRPr="00311C59">
        <w:rPr>
          <w:sz w:val="22"/>
          <w:szCs w:val="22"/>
        </w:rPr>
        <w:t xml:space="preserve"> land-use changes, including </w:t>
      </w:r>
      <w:r w:rsidR="009C6E9C" w:rsidRPr="00311C59">
        <w:rPr>
          <w:sz w:val="22"/>
          <w:szCs w:val="22"/>
        </w:rPr>
        <w:t>drainage</w:t>
      </w:r>
      <w:r w:rsidR="007B6622" w:rsidRPr="00311C59">
        <w:rPr>
          <w:sz w:val="22"/>
          <w:szCs w:val="22"/>
        </w:rPr>
        <w:t xml:space="preserve"> and conversion to agriculture </w:t>
      </w:r>
      <w:r w:rsidR="009C6E9C" w:rsidRPr="00311C59">
        <w:rPr>
          <w:sz w:val="22"/>
          <w:szCs w:val="22"/>
        </w:rPr>
        <w:t>or urban areas, with significant consequences for N</w:t>
      </w:r>
      <w:r w:rsidR="009C6E9C" w:rsidRPr="000E1911">
        <w:rPr>
          <w:sz w:val="22"/>
          <w:szCs w:val="22"/>
          <w:vertAlign w:val="subscript"/>
        </w:rPr>
        <w:t>2</w:t>
      </w:r>
      <w:r w:rsidR="009C6E9C" w:rsidRPr="00311C59">
        <w:rPr>
          <w:sz w:val="22"/>
          <w:szCs w:val="22"/>
        </w:rPr>
        <w:t>O emissions (R</w:t>
      </w:r>
      <w:r w:rsidR="00F05AF2">
        <w:rPr>
          <w:sz w:val="22"/>
          <w:szCs w:val="22"/>
        </w:rPr>
        <w:t>obertson et al.</w:t>
      </w:r>
      <w:r w:rsidR="009C6E9C" w:rsidRPr="00311C59">
        <w:rPr>
          <w:sz w:val="22"/>
          <w:szCs w:val="22"/>
        </w:rPr>
        <w:t xml:space="preserve"> 2025).</w:t>
      </w:r>
      <w:r w:rsidR="00EB009E" w:rsidRPr="00311C59">
        <w:rPr>
          <w:sz w:val="22"/>
          <w:szCs w:val="22"/>
        </w:rPr>
        <w:t xml:space="preserve"> While environmental drivers such as temperature, soil chemistry, and land-use have been </w:t>
      </w:r>
      <w:r w:rsidR="00CE3099" w:rsidRPr="00311C59">
        <w:rPr>
          <w:sz w:val="22"/>
          <w:szCs w:val="22"/>
        </w:rPr>
        <w:t xml:space="preserve">well </w:t>
      </w:r>
      <w:r w:rsidR="00EB009E" w:rsidRPr="00311C59">
        <w:rPr>
          <w:sz w:val="22"/>
          <w:szCs w:val="22"/>
        </w:rPr>
        <w:t>studied</w:t>
      </w:r>
      <w:r w:rsidR="00CE3099" w:rsidRPr="00311C59">
        <w:rPr>
          <w:sz w:val="22"/>
          <w:szCs w:val="22"/>
        </w:rPr>
        <w:t xml:space="preserve">, </w:t>
      </w:r>
      <w:r w:rsidR="00EB009E" w:rsidRPr="00311C59">
        <w:rPr>
          <w:sz w:val="22"/>
          <w:szCs w:val="22"/>
        </w:rPr>
        <w:t xml:space="preserve">the functional role of microbial </w:t>
      </w:r>
      <w:r w:rsidR="00885FA9" w:rsidRPr="00311C59">
        <w:rPr>
          <w:sz w:val="22"/>
          <w:szCs w:val="22"/>
        </w:rPr>
        <w:t xml:space="preserve">communities in </w:t>
      </w:r>
      <w:r w:rsidR="008725C6" w:rsidRPr="00311C59">
        <w:rPr>
          <w:sz w:val="22"/>
          <w:szCs w:val="22"/>
        </w:rPr>
        <w:t xml:space="preserve">regulating </w:t>
      </w:r>
      <w:r w:rsidR="00C40FCC" w:rsidRPr="00311C59">
        <w:rPr>
          <w:sz w:val="22"/>
          <w:szCs w:val="22"/>
        </w:rPr>
        <w:t xml:space="preserve">global </w:t>
      </w:r>
      <w:r w:rsidR="008725C6" w:rsidRPr="00311C59">
        <w:rPr>
          <w:sz w:val="22"/>
          <w:szCs w:val="22"/>
        </w:rPr>
        <w:t>N</w:t>
      </w:r>
      <w:r w:rsidR="008725C6" w:rsidRPr="000E1911">
        <w:rPr>
          <w:sz w:val="22"/>
          <w:szCs w:val="22"/>
          <w:vertAlign w:val="subscript"/>
        </w:rPr>
        <w:t>2</w:t>
      </w:r>
      <w:r w:rsidR="008725C6" w:rsidRPr="00311C59">
        <w:rPr>
          <w:sz w:val="22"/>
          <w:szCs w:val="22"/>
        </w:rPr>
        <w:t>O fluxes</w:t>
      </w:r>
      <w:r w:rsidR="00E40C19" w:rsidRPr="00311C59">
        <w:rPr>
          <w:sz w:val="22"/>
          <w:szCs w:val="22"/>
        </w:rPr>
        <w:t xml:space="preserve">, and </w:t>
      </w:r>
      <w:r w:rsidR="00C40FCC" w:rsidRPr="00311C59">
        <w:rPr>
          <w:sz w:val="22"/>
          <w:szCs w:val="22"/>
        </w:rPr>
        <w:t>how these contributions vary across space, remain poorly understood</w:t>
      </w:r>
      <w:r w:rsidR="00CE3099" w:rsidRPr="00311C59">
        <w:rPr>
          <w:sz w:val="22"/>
          <w:szCs w:val="22"/>
        </w:rPr>
        <w:t>.</w:t>
      </w:r>
    </w:p>
    <w:p w14:paraId="3483BE7D" w14:textId="77777777" w:rsidR="00543FA0" w:rsidRPr="00311C59" w:rsidRDefault="00543FA0" w:rsidP="00311C59">
      <w:pPr>
        <w:spacing w:line="360" w:lineRule="auto"/>
        <w:rPr>
          <w:sz w:val="22"/>
          <w:szCs w:val="22"/>
        </w:rPr>
      </w:pPr>
    </w:p>
    <w:p w14:paraId="16A3B9BF" w14:textId="70A347D8" w:rsidR="00D62B66" w:rsidRPr="00311C59" w:rsidRDefault="00543FA0" w:rsidP="00311C59">
      <w:pPr>
        <w:spacing w:line="360" w:lineRule="auto"/>
        <w:rPr>
          <w:sz w:val="22"/>
          <w:szCs w:val="22"/>
        </w:rPr>
      </w:pPr>
      <w:r w:rsidRPr="00311C59">
        <w:rPr>
          <w:sz w:val="22"/>
          <w:szCs w:val="22"/>
        </w:rPr>
        <w:t>Recent technological advances, including high-throughput metagenomics and quant</w:t>
      </w:r>
      <w:r w:rsidR="001B7482" w:rsidRPr="00311C59">
        <w:rPr>
          <w:sz w:val="22"/>
          <w:szCs w:val="22"/>
        </w:rPr>
        <w:t>itative polymerase chain reaction (qPCR)</w:t>
      </w:r>
      <w:r w:rsidR="008561FB" w:rsidRPr="00311C59">
        <w:rPr>
          <w:sz w:val="22"/>
          <w:szCs w:val="22"/>
        </w:rPr>
        <w:t xml:space="preserve"> for functional genes</w:t>
      </w:r>
      <w:r w:rsidR="00357BCB" w:rsidRPr="00311C59">
        <w:rPr>
          <w:sz w:val="22"/>
          <w:szCs w:val="22"/>
        </w:rPr>
        <w:t xml:space="preserve"> have enabled </w:t>
      </w:r>
      <w:r w:rsidR="0080636D" w:rsidRPr="00311C59">
        <w:rPr>
          <w:sz w:val="22"/>
          <w:szCs w:val="22"/>
        </w:rPr>
        <w:t>scientists like Brahram et al. to quantify microbial drivers of N</w:t>
      </w:r>
      <w:r w:rsidR="0080636D" w:rsidRPr="000E1911">
        <w:rPr>
          <w:sz w:val="22"/>
          <w:szCs w:val="22"/>
          <w:vertAlign w:val="subscript"/>
        </w:rPr>
        <w:t>2</w:t>
      </w:r>
      <w:r w:rsidR="0080636D" w:rsidRPr="00311C59">
        <w:rPr>
          <w:sz w:val="22"/>
          <w:szCs w:val="22"/>
        </w:rPr>
        <w:t xml:space="preserve">O emissions across </w:t>
      </w:r>
      <w:r w:rsidR="00E34AA8" w:rsidRPr="00311C59">
        <w:rPr>
          <w:sz w:val="22"/>
          <w:szCs w:val="22"/>
        </w:rPr>
        <w:t xml:space="preserve">wetlands </w:t>
      </w:r>
      <w:r w:rsidR="0080636D" w:rsidRPr="00311C59">
        <w:rPr>
          <w:sz w:val="22"/>
          <w:szCs w:val="22"/>
        </w:rPr>
        <w:t>a</w:t>
      </w:r>
      <w:r w:rsidR="00E34AA8" w:rsidRPr="00311C59">
        <w:rPr>
          <w:sz w:val="22"/>
          <w:szCs w:val="22"/>
        </w:rPr>
        <w:t>t a</w:t>
      </w:r>
      <w:r w:rsidR="0080636D" w:rsidRPr="00311C59">
        <w:rPr>
          <w:sz w:val="22"/>
          <w:szCs w:val="22"/>
        </w:rPr>
        <w:t xml:space="preserve"> global-scale</w:t>
      </w:r>
      <w:r w:rsidR="00E34AA8" w:rsidRPr="00311C59">
        <w:rPr>
          <w:sz w:val="22"/>
          <w:szCs w:val="22"/>
        </w:rPr>
        <w:t xml:space="preserve"> in their study </w:t>
      </w:r>
      <w:r w:rsidR="00E34AA8" w:rsidRPr="00311C59">
        <w:rPr>
          <w:i/>
          <w:iCs/>
          <w:sz w:val="22"/>
          <w:szCs w:val="22"/>
        </w:rPr>
        <w:t>Structure and Function of the Soil Microbiome Underlying N</w:t>
      </w:r>
      <w:r w:rsidR="00E34AA8" w:rsidRPr="00311C59">
        <w:rPr>
          <w:rFonts w:ascii="Cambria Math" w:hAnsi="Cambria Math" w:cs="Cambria Math"/>
          <w:i/>
          <w:iCs/>
          <w:sz w:val="22"/>
          <w:szCs w:val="22"/>
        </w:rPr>
        <w:t>₂</w:t>
      </w:r>
      <w:r w:rsidR="00E34AA8" w:rsidRPr="00311C59">
        <w:rPr>
          <w:i/>
          <w:iCs/>
          <w:sz w:val="22"/>
          <w:szCs w:val="22"/>
        </w:rPr>
        <w:t>O Emissions from Global Wetlands</w:t>
      </w:r>
      <w:r w:rsidR="00554629" w:rsidRPr="00311C59">
        <w:rPr>
          <w:i/>
          <w:iCs/>
          <w:sz w:val="22"/>
          <w:szCs w:val="22"/>
        </w:rPr>
        <w:t xml:space="preserve"> </w:t>
      </w:r>
      <w:r w:rsidR="00554629" w:rsidRPr="00311C59">
        <w:rPr>
          <w:sz w:val="22"/>
          <w:szCs w:val="22"/>
        </w:rPr>
        <w:t xml:space="preserve">(2022). </w:t>
      </w:r>
      <w:r w:rsidR="00152FC3" w:rsidRPr="00311C59">
        <w:rPr>
          <w:sz w:val="22"/>
          <w:szCs w:val="22"/>
        </w:rPr>
        <w:t>Using statistical</w:t>
      </w:r>
      <w:r w:rsidR="00CF6C63" w:rsidRPr="00311C59">
        <w:rPr>
          <w:sz w:val="22"/>
          <w:szCs w:val="22"/>
        </w:rPr>
        <w:t xml:space="preserve"> </w:t>
      </w:r>
      <w:r w:rsidR="00152FC3" w:rsidRPr="00311C59">
        <w:rPr>
          <w:sz w:val="22"/>
          <w:szCs w:val="22"/>
        </w:rPr>
        <w:t xml:space="preserve">models and machine learning approaches, they </w:t>
      </w:r>
      <w:r w:rsidR="002B24CA" w:rsidRPr="00311C59">
        <w:rPr>
          <w:sz w:val="22"/>
          <w:szCs w:val="22"/>
        </w:rPr>
        <w:t>link</w:t>
      </w:r>
      <w:r w:rsidR="00152FC3" w:rsidRPr="00311C59">
        <w:rPr>
          <w:sz w:val="22"/>
          <w:szCs w:val="22"/>
        </w:rPr>
        <w:t xml:space="preserve"> microbial </w:t>
      </w:r>
      <w:r w:rsidR="000F3278" w:rsidRPr="00311C59">
        <w:rPr>
          <w:sz w:val="22"/>
          <w:szCs w:val="22"/>
        </w:rPr>
        <w:t>functional genes</w:t>
      </w:r>
      <w:r w:rsidR="00152FC3" w:rsidRPr="00311C59">
        <w:rPr>
          <w:sz w:val="22"/>
          <w:szCs w:val="22"/>
        </w:rPr>
        <w:t xml:space="preserve"> </w:t>
      </w:r>
      <w:r w:rsidR="007A2A91" w:rsidRPr="00311C59">
        <w:rPr>
          <w:sz w:val="22"/>
          <w:szCs w:val="22"/>
        </w:rPr>
        <w:t xml:space="preserve">to </w:t>
      </w:r>
      <w:r w:rsidR="002B24CA" w:rsidRPr="00311C59">
        <w:rPr>
          <w:sz w:val="22"/>
          <w:szCs w:val="22"/>
        </w:rPr>
        <w:t>observed</w:t>
      </w:r>
      <w:r w:rsidR="007A2A91" w:rsidRPr="00311C59">
        <w:rPr>
          <w:sz w:val="22"/>
          <w:szCs w:val="22"/>
        </w:rPr>
        <w:t xml:space="preserve"> N</w:t>
      </w:r>
      <w:r w:rsidR="007A2A91" w:rsidRPr="0078212A">
        <w:rPr>
          <w:i/>
          <w:iCs/>
          <w:sz w:val="22"/>
          <w:szCs w:val="22"/>
          <w:vertAlign w:val="subscript"/>
        </w:rPr>
        <w:t>2</w:t>
      </w:r>
      <w:r w:rsidR="007A2A91" w:rsidRPr="00311C59">
        <w:rPr>
          <w:sz w:val="22"/>
          <w:szCs w:val="22"/>
        </w:rPr>
        <w:t xml:space="preserve">O fluxes across a range of </w:t>
      </w:r>
      <w:r w:rsidR="00DA6481" w:rsidRPr="00311C59">
        <w:rPr>
          <w:sz w:val="22"/>
          <w:szCs w:val="22"/>
        </w:rPr>
        <w:t xml:space="preserve">environmental </w:t>
      </w:r>
      <w:r w:rsidR="00287D78" w:rsidRPr="00311C59">
        <w:rPr>
          <w:sz w:val="22"/>
          <w:szCs w:val="22"/>
        </w:rPr>
        <w:t xml:space="preserve">variables such as </w:t>
      </w:r>
      <w:r w:rsidR="00CF6C63" w:rsidRPr="00311C59">
        <w:rPr>
          <w:sz w:val="22"/>
          <w:szCs w:val="22"/>
        </w:rPr>
        <w:t xml:space="preserve">climate, soil chemistry, and land-use, </w:t>
      </w:r>
      <w:r w:rsidR="000F3278" w:rsidRPr="00311C59">
        <w:rPr>
          <w:sz w:val="22"/>
          <w:szCs w:val="22"/>
        </w:rPr>
        <w:t>highlighting</w:t>
      </w:r>
      <w:r w:rsidR="00CF6C63" w:rsidRPr="00311C59">
        <w:rPr>
          <w:sz w:val="22"/>
          <w:szCs w:val="22"/>
        </w:rPr>
        <w:t xml:space="preserve"> the </w:t>
      </w:r>
      <w:r w:rsidR="002B24CA" w:rsidRPr="00311C59">
        <w:rPr>
          <w:sz w:val="22"/>
          <w:szCs w:val="22"/>
        </w:rPr>
        <w:t>potential use</w:t>
      </w:r>
      <w:r w:rsidR="00CF6C63" w:rsidRPr="00311C59">
        <w:rPr>
          <w:sz w:val="22"/>
          <w:szCs w:val="22"/>
        </w:rPr>
        <w:t xml:space="preserve"> of ammonia-</w:t>
      </w:r>
      <w:r w:rsidR="000F3278" w:rsidRPr="00311C59">
        <w:rPr>
          <w:sz w:val="22"/>
          <w:szCs w:val="22"/>
        </w:rPr>
        <w:t>oxidizing</w:t>
      </w:r>
      <w:r w:rsidR="00CF6C63" w:rsidRPr="00311C59">
        <w:rPr>
          <w:sz w:val="22"/>
          <w:szCs w:val="22"/>
        </w:rPr>
        <w:t xml:space="preserve"> archaea (AOA) </w:t>
      </w:r>
      <w:r w:rsidR="000F3278" w:rsidRPr="00311C59">
        <w:rPr>
          <w:sz w:val="22"/>
          <w:szCs w:val="22"/>
        </w:rPr>
        <w:t xml:space="preserve">and </w:t>
      </w:r>
      <w:r w:rsidR="002B24CA" w:rsidRPr="00311C59">
        <w:rPr>
          <w:sz w:val="22"/>
          <w:szCs w:val="22"/>
        </w:rPr>
        <w:t>diversity</w:t>
      </w:r>
      <w:r w:rsidR="000F3278" w:rsidRPr="00311C59">
        <w:rPr>
          <w:sz w:val="22"/>
          <w:szCs w:val="22"/>
        </w:rPr>
        <w:t xml:space="preserve"> of N-cycle genes (</w:t>
      </w:r>
      <w:r w:rsidR="002B24CA" w:rsidRPr="00311C59">
        <w:rPr>
          <w:i/>
          <w:iCs/>
          <w:sz w:val="22"/>
          <w:szCs w:val="22"/>
        </w:rPr>
        <w:t>amo</w:t>
      </w:r>
      <w:r w:rsidR="00690FB2">
        <w:rPr>
          <w:i/>
          <w:iCs/>
          <w:sz w:val="22"/>
          <w:szCs w:val="22"/>
        </w:rPr>
        <w:t>A</w:t>
      </w:r>
      <w:r w:rsidR="002B24CA" w:rsidRPr="00311C59">
        <w:rPr>
          <w:i/>
          <w:iCs/>
          <w:sz w:val="22"/>
          <w:szCs w:val="22"/>
        </w:rPr>
        <w:t>, nosZ</w:t>
      </w:r>
      <w:r w:rsidR="002B24CA" w:rsidRPr="00311C59">
        <w:rPr>
          <w:sz w:val="22"/>
          <w:szCs w:val="22"/>
        </w:rPr>
        <w:t>) in predicting N</w:t>
      </w:r>
      <w:r w:rsidR="002B24CA" w:rsidRPr="000E1911">
        <w:rPr>
          <w:sz w:val="22"/>
          <w:szCs w:val="22"/>
          <w:vertAlign w:val="subscript"/>
        </w:rPr>
        <w:t>2</w:t>
      </w:r>
      <w:r w:rsidR="002B24CA" w:rsidRPr="00311C59">
        <w:rPr>
          <w:sz w:val="22"/>
          <w:szCs w:val="22"/>
        </w:rPr>
        <w:t xml:space="preserve">O emissions. </w:t>
      </w:r>
      <w:r w:rsidR="009176B8" w:rsidRPr="00311C59">
        <w:rPr>
          <w:sz w:val="22"/>
          <w:szCs w:val="22"/>
        </w:rPr>
        <w:t xml:space="preserve">Despite the comprehensive scope of Bahram et al.’s study, </w:t>
      </w:r>
      <w:r w:rsidR="00B163D3" w:rsidRPr="00311C59">
        <w:rPr>
          <w:sz w:val="22"/>
          <w:szCs w:val="22"/>
        </w:rPr>
        <w:t xml:space="preserve">questions pertaining to </w:t>
      </w:r>
      <w:r w:rsidR="003730B5" w:rsidRPr="00311C59">
        <w:rPr>
          <w:sz w:val="22"/>
          <w:szCs w:val="22"/>
        </w:rPr>
        <w:t>the unique contribution of microbial functional genes to spatial variation in N</w:t>
      </w:r>
      <w:r w:rsidR="003730B5" w:rsidRPr="00311C59">
        <w:rPr>
          <w:rFonts w:ascii="Cambria Math" w:hAnsi="Cambria Math" w:cs="Cambria Math"/>
          <w:sz w:val="22"/>
          <w:szCs w:val="22"/>
        </w:rPr>
        <w:t>₂</w:t>
      </w:r>
      <w:r w:rsidR="003730B5" w:rsidRPr="00311C59">
        <w:rPr>
          <w:sz w:val="22"/>
          <w:szCs w:val="22"/>
        </w:rPr>
        <w:t>O emissions</w:t>
      </w:r>
      <w:r w:rsidR="00D42093" w:rsidRPr="00311C59">
        <w:rPr>
          <w:sz w:val="22"/>
          <w:szCs w:val="22"/>
        </w:rPr>
        <w:t xml:space="preserve"> and </w:t>
      </w:r>
      <w:r w:rsidR="003730B5" w:rsidRPr="00311C59">
        <w:rPr>
          <w:sz w:val="22"/>
          <w:szCs w:val="22"/>
        </w:rPr>
        <w:t>the</w:t>
      </w:r>
      <w:r w:rsidR="00853476" w:rsidRPr="00311C59">
        <w:rPr>
          <w:sz w:val="22"/>
          <w:szCs w:val="22"/>
        </w:rPr>
        <w:t xml:space="preserve"> degree of</w:t>
      </w:r>
      <w:r w:rsidR="003730B5" w:rsidRPr="00311C59">
        <w:rPr>
          <w:sz w:val="22"/>
          <w:szCs w:val="22"/>
        </w:rPr>
        <w:t xml:space="preserve"> </w:t>
      </w:r>
      <w:r w:rsidR="00306457" w:rsidRPr="00311C59">
        <w:rPr>
          <w:sz w:val="22"/>
          <w:szCs w:val="22"/>
        </w:rPr>
        <w:t>functional complementarity</w:t>
      </w:r>
      <w:r w:rsidR="00D26D91">
        <w:rPr>
          <w:sz w:val="22"/>
          <w:szCs w:val="22"/>
        </w:rPr>
        <w:t xml:space="preserve"> (</w:t>
      </w:r>
      <w:r w:rsidR="00D26D91" w:rsidRPr="005355AA">
        <w:rPr>
          <w:i/>
          <w:iCs/>
          <w:sz w:val="22"/>
          <w:szCs w:val="22"/>
        </w:rPr>
        <w:t>i.e</w:t>
      </w:r>
      <w:r w:rsidR="00D26D91">
        <w:rPr>
          <w:sz w:val="22"/>
          <w:szCs w:val="22"/>
        </w:rPr>
        <w:t xml:space="preserve">. </w:t>
      </w:r>
      <w:r w:rsidR="00696919">
        <w:rPr>
          <w:sz w:val="22"/>
          <w:szCs w:val="22"/>
        </w:rPr>
        <w:t xml:space="preserve">co-existence </w:t>
      </w:r>
      <w:r w:rsidR="005A2E9D">
        <w:rPr>
          <w:sz w:val="22"/>
          <w:szCs w:val="22"/>
        </w:rPr>
        <w:t xml:space="preserve">of multiple species resulting </w:t>
      </w:r>
      <w:r w:rsidR="001D3A3B">
        <w:rPr>
          <w:sz w:val="22"/>
          <w:szCs w:val="22"/>
        </w:rPr>
        <w:t>in a</w:t>
      </w:r>
      <w:r w:rsidR="00F71458">
        <w:rPr>
          <w:sz w:val="22"/>
          <w:szCs w:val="22"/>
        </w:rPr>
        <w:t xml:space="preserve"> larger</w:t>
      </w:r>
      <w:r w:rsidR="005A2E9D">
        <w:rPr>
          <w:sz w:val="22"/>
          <w:szCs w:val="22"/>
        </w:rPr>
        <w:t xml:space="preserve"> overall functional performance</w:t>
      </w:r>
      <w:r w:rsidR="00B97504" w:rsidRPr="00B97504">
        <w:rPr>
          <w:rFonts w:ascii="Cambria Math" w:hAnsi="Cambria Math"/>
          <w:i/>
          <w:sz w:val="22"/>
          <w:szCs w:val="22"/>
        </w:rPr>
        <w:t xml:space="preserve"> </w:t>
      </w:r>
      <m:oMath>
        <m:r>
          <w:rPr>
            <w:rFonts w:ascii="Cambria Math" w:hAnsi="Cambria Math"/>
            <w:sz w:val="22"/>
            <w:szCs w:val="22"/>
          </w:rPr>
          <m:t>f</m:t>
        </m:r>
      </m:oMath>
      <w:r w:rsidR="00F71458" w:rsidRPr="00B97504">
        <w:rPr>
          <w:sz w:val="22"/>
          <w:szCs w:val="22"/>
        </w:rPr>
        <w:t xml:space="preserve"> </w:t>
      </w:r>
      <w:r w:rsidR="00F71458">
        <w:rPr>
          <w:sz w:val="22"/>
          <w:szCs w:val="22"/>
        </w:rPr>
        <w:t>than that of individual performance</w:t>
      </w:r>
      <w:r w:rsidR="001D3A3B">
        <w:rPr>
          <w:sz w:val="22"/>
          <w:szCs w:val="22"/>
        </w:rPr>
        <w:t>)</w:t>
      </w:r>
      <w:r w:rsidR="00D26D91">
        <w:rPr>
          <w:sz w:val="22"/>
          <w:szCs w:val="22"/>
        </w:rPr>
        <w:t xml:space="preserve"> </w:t>
      </w:r>
      <w:r w:rsidR="003730B5" w:rsidRPr="00311C59">
        <w:rPr>
          <w:sz w:val="22"/>
          <w:szCs w:val="22"/>
        </w:rPr>
        <w:t>between nitrifiers and denitrifiers across environmental gradients</w:t>
      </w:r>
      <w:r w:rsidR="00D42093" w:rsidRPr="00311C59">
        <w:rPr>
          <w:sz w:val="22"/>
          <w:szCs w:val="22"/>
        </w:rPr>
        <w:t xml:space="preserve"> </w:t>
      </w:r>
      <w:r w:rsidR="003730B5" w:rsidRPr="00311C59">
        <w:rPr>
          <w:sz w:val="22"/>
          <w:szCs w:val="22"/>
        </w:rPr>
        <w:t>remain unanswered.</w:t>
      </w:r>
      <w:r w:rsidR="00853476" w:rsidRPr="00311C59">
        <w:rPr>
          <w:sz w:val="22"/>
          <w:szCs w:val="22"/>
        </w:rPr>
        <w:t xml:space="preserve"> </w:t>
      </w:r>
    </w:p>
    <w:p w14:paraId="4BFED29B" w14:textId="5994278D" w:rsidR="00D62B66" w:rsidRPr="005355AA" w:rsidRDefault="00671144" w:rsidP="00311C59">
      <w:pPr>
        <w:spacing w:line="360" w:lineRule="auto"/>
        <w:rPr>
          <w:i/>
          <w:iCs/>
          <w:sz w:val="22"/>
          <w:szCs w:val="22"/>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A+B</m:t>
            </m:r>
          </m:e>
        </m:d>
        <m:r>
          <w:rPr>
            <w:rFonts w:ascii="Cambria Math" w:hAnsi="Cambria Math"/>
            <w:sz w:val="22"/>
            <w:szCs w:val="22"/>
          </w:rPr>
          <m:t>&gt;</m:t>
        </m:r>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A</m:t>
            </m:r>
          </m:e>
        </m:d>
        <m:r>
          <w:rPr>
            <w:rFonts w:ascii="Cambria Math" w:hAnsi="Cambria Math"/>
            <w:sz w:val="22"/>
            <w:szCs w:val="22"/>
          </w:rPr>
          <m:t xml:space="preserve"> </m:t>
        </m:r>
        <m:r>
          <w:rPr>
            <w:rFonts w:ascii="Cambria Math" w:hAnsi="Cambria Math"/>
            <w:sz w:val="22"/>
            <w:szCs w:val="22"/>
          </w:rPr>
          <m:t>|</m:t>
        </m:r>
        <m:r>
          <w:rPr>
            <w:rFonts w:ascii="Cambria Math" w:hAnsi="Cambria Math"/>
            <w:sz w:val="22"/>
            <w:szCs w:val="22"/>
          </w:rPr>
          <m:t xml:space="preserve"> f</m:t>
        </m:r>
        <m:d>
          <m:dPr>
            <m:ctrlPr>
              <w:rPr>
                <w:rFonts w:ascii="Cambria Math" w:hAnsi="Cambria Math"/>
                <w:i/>
                <w:sz w:val="22"/>
                <w:szCs w:val="22"/>
              </w:rPr>
            </m:ctrlPr>
          </m:dPr>
          <m:e>
            <m:r>
              <w:rPr>
                <w:rFonts w:ascii="Cambria Math" w:hAnsi="Cambria Math"/>
                <w:sz w:val="22"/>
                <w:szCs w:val="22"/>
              </w:rPr>
              <m:t>A+B</m:t>
            </m:r>
          </m:e>
        </m:d>
        <m:r>
          <w:rPr>
            <w:rFonts w:ascii="Cambria Math" w:hAnsi="Cambria Math"/>
            <w:sz w:val="22"/>
            <w:szCs w:val="22"/>
          </w:rPr>
          <m:t>&gt;f(B)</m:t>
        </m:r>
      </m:oMath>
      <w:r w:rsidR="00B97504">
        <w:rPr>
          <w:sz w:val="22"/>
          <w:szCs w:val="22"/>
        </w:rPr>
        <w:tab/>
      </w:r>
      <w:r w:rsidR="00B97504">
        <w:rPr>
          <w:sz w:val="22"/>
          <w:szCs w:val="22"/>
        </w:rPr>
        <w:tab/>
      </w:r>
      <w:r w:rsidR="00B97504">
        <w:rPr>
          <w:sz w:val="22"/>
          <w:szCs w:val="22"/>
        </w:rPr>
        <w:tab/>
      </w:r>
      <w:r w:rsidR="00B97504">
        <w:rPr>
          <w:sz w:val="22"/>
          <w:szCs w:val="22"/>
        </w:rPr>
        <w:tab/>
      </w:r>
      <w:r w:rsidR="00B97504">
        <w:rPr>
          <w:sz w:val="22"/>
          <w:szCs w:val="22"/>
        </w:rPr>
        <w:tab/>
      </w:r>
      <w:r w:rsidR="00B97504" w:rsidRPr="005355AA">
        <w:rPr>
          <w:i/>
          <w:iCs/>
          <w:sz w:val="22"/>
          <w:szCs w:val="22"/>
        </w:rPr>
        <w:t>(</w:t>
      </w:r>
      <w:bookmarkStart w:id="0" w:name="baep-author-id4-profile"/>
      <w:r w:rsidR="005355AA" w:rsidRPr="005355AA">
        <w:rPr>
          <w:i/>
          <w:iCs/>
          <w:sz w:val="22"/>
          <w:szCs w:val="22"/>
        </w:rPr>
        <w:t>Blüthgen</w:t>
      </w:r>
      <w:bookmarkEnd w:id="0"/>
      <w:r w:rsidR="005355AA" w:rsidRPr="005355AA">
        <w:rPr>
          <w:i/>
          <w:iCs/>
          <w:sz w:val="22"/>
          <w:szCs w:val="22"/>
        </w:rPr>
        <w:t xml:space="preserve"> &amp; Klein 2011)</w:t>
      </w:r>
    </w:p>
    <w:p w14:paraId="514875B2" w14:textId="6ED5F932" w:rsidR="00681A52" w:rsidRPr="00311C59" w:rsidRDefault="00EA3484" w:rsidP="00311C59">
      <w:pPr>
        <w:spacing w:line="360" w:lineRule="auto"/>
        <w:rPr>
          <w:sz w:val="22"/>
          <w:szCs w:val="22"/>
        </w:rPr>
      </w:pPr>
      <w:r w:rsidRPr="00311C59">
        <w:rPr>
          <w:sz w:val="22"/>
          <w:szCs w:val="22"/>
        </w:rPr>
        <w:t xml:space="preserve">The global-scale </w:t>
      </w:r>
      <w:r w:rsidR="00FF48AC" w:rsidRPr="00311C59">
        <w:rPr>
          <w:sz w:val="22"/>
          <w:szCs w:val="22"/>
        </w:rPr>
        <w:t>dataset</w:t>
      </w:r>
      <w:r w:rsidR="00BC4C6C" w:rsidRPr="00311C59">
        <w:rPr>
          <w:sz w:val="22"/>
          <w:szCs w:val="22"/>
        </w:rPr>
        <w:t xml:space="preserve"> </w:t>
      </w:r>
      <w:r w:rsidR="00632658" w:rsidRPr="00311C59">
        <w:rPr>
          <w:sz w:val="22"/>
          <w:szCs w:val="22"/>
        </w:rPr>
        <w:t xml:space="preserve">from </w:t>
      </w:r>
      <w:r w:rsidR="00BC4C6C" w:rsidRPr="00311C59">
        <w:rPr>
          <w:sz w:val="22"/>
          <w:szCs w:val="22"/>
        </w:rPr>
        <w:t>by Bahram et al (2022)</w:t>
      </w:r>
      <w:r w:rsidR="00362775" w:rsidRPr="00311C59">
        <w:rPr>
          <w:sz w:val="22"/>
          <w:szCs w:val="22"/>
        </w:rPr>
        <w:t>, which</w:t>
      </w:r>
      <w:r w:rsidRPr="00311C59">
        <w:rPr>
          <w:sz w:val="22"/>
          <w:szCs w:val="22"/>
        </w:rPr>
        <w:t xml:space="preserve"> </w:t>
      </w:r>
      <w:r w:rsidR="0025155A" w:rsidRPr="00311C59">
        <w:rPr>
          <w:sz w:val="22"/>
          <w:szCs w:val="22"/>
        </w:rPr>
        <w:t>includes</w:t>
      </w:r>
      <w:r w:rsidR="007B2B23" w:rsidRPr="00311C59">
        <w:rPr>
          <w:sz w:val="22"/>
          <w:szCs w:val="22"/>
        </w:rPr>
        <w:t xml:space="preserve"> </w:t>
      </w:r>
      <w:r w:rsidR="00BB65EC" w:rsidRPr="00311C59">
        <w:rPr>
          <w:sz w:val="22"/>
          <w:szCs w:val="22"/>
        </w:rPr>
        <w:t xml:space="preserve">absolute quantification of N-cycle </w:t>
      </w:r>
      <w:r w:rsidR="007B2B23" w:rsidRPr="00311C59">
        <w:rPr>
          <w:sz w:val="22"/>
          <w:szCs w:val="22"/>
        </w:rPr>
        <w:t xml:space="preserve">functional </w:t>
      </w:r>
      <w:r w:rsidR="00BB65EC" w:rsidRPr="00311C59">
        <w:rPr>
          <w:sz w:val="22"/>
          <w:szCs w:val="22"/>
        </w:rPr>
        <w:t>gene abundances</w:t>
      </w:r>
      <w:r w:rsidR="007B2B23" w:rsidRPr="00311C59">
        <w:rPr>
          <w:sz w:val="22"/>
          <w:szCs w:val="22"/>
        </w:rPr>
        <w:t xml:space="preserve"> and </w:t>
      </w:r>
      <w:r w:rsidR="00FF48AC" w:rsidRPr="00311C59">
        <w:rPr>
          <w:sz w:val="22"/>
          <w:szCs w:val="22"/>
        </w:rPr>
        <w:t xml:space="preserve">in-situ </w:t>
      </w:r>
      <w:r w:rsidR="00BB65EC" w:rsidRPr="00311C59">
        <w:rPr>
          <w:sz w:val="22"/>
          <w:szCs w:val="22"/>
        </w:rPr>
        <w:t>N</w:t>
      </w:r>
      <w:r w:rsidR="00BB65EC" w:rsidRPr="000E1911">
        <w:rPr>
          <w:sz w:val="22"/>
          <w:szCs w:val="22"/>
          <w:vertAlign w:val="subscript"/>
        </w:rPr>
        <w:t>2</w:t>
      </w:r>
      <w:r w:rsidR="00BB65EC" w:rsidRPr="00311C59">
        <w:rPr>
          <w:sz w:val="22"/>
          <w:szCs w:val="22"/>
        </w:rPr>
        <w:t>O flux</w:t>
      </w:r>
      <w:r w:rsidR="00FF48AC" w:rsidRPr="00311C59">
        <w:rPr>
          <w:sz w:val="22"/>
          <w:szCs w:val="22"/>
        </w:rPr>
        <w:t xml:space="preserve">es </w:t>
      </w:r>
      <w:r w:rsidR="00CB0F2E" w:rsidRPr="00311C59">
        <w:rPr>
          <w:sz w:val="22"/>
          <w:szCs w:val="22"/>
        </w:rPr>
        <w:t xml:space="preserve">across associated environmental covariates </w:t>
      </w:r>
      <w:r w:rsidR="00FF48AC" w:rsidRPr="00311C59">
        <w:rPr>
          <w:sz w:val="22"/>
          <w:szCs w:val="22"/>
        </w:rPr>
        <w:t>from 645 wetland sites worldwide</w:t>
      </w:r>
      <w:r w:rsidR="00362775" w:rsidRPr="00311C59">
        <w:rPr>
          <w:sz w:val="22"/>
          <w:szCs w:val="22"/>
        </w:rPr>
        <w:t xml:space="preserve"> </w:t>
      </w:r>
      <w:r w:rsidR="00632658" w:rsidRPr="00311C59">
        <w:rPr>
          <w:sz w:val="22"/>
          <w:szCs w:val="22"/>
        </w:rPr>
        <w:t>provides a foundation for addressing these gaps</w:t>
      </w:r>
      <w:r w:rsidR="00991003" w:rsidRPr="00311C59">
        <w:rPr>
          <w:sz w:val="22"/>
          <w:szCs w:val="22"/>
        </w:rPr>
        <w:t xml:space="preserve">. </w:t>
      </w:r>
      <w:r w:rsidR="00991003" w:rsidRPr="00311C59">
        <w:rPr>
          <w:sz w:val="22"/>
          <w:szCs w:val="22"/>
        </w:rPr>
        <w:lastRenderedPageBreak/>
        <w:t>This project aims to build on these findings by</w:t>
      </w:r>
      <w:r w:rsidR="00B16B69" w:rsidRPr="00311C59">
        <w:rPr>
          <w:sz w:val="22"/>
          <w:szCs w:val="22"/>
        </w:rPr>
        <w:t xml:space="preserve"> leveraging spatial analytic techniques</w:t>
      </w:r>
      <w:r w:rsidR="002076E1" w:rsidRPr="00311C59">
        <w:rPr>
          <w:sz w:val="22"/>
          <w:szCs w:val="22"/>
        </w:rPr>
        <w:t xml:space="preserve"> to </w:t>
      </w:r>
      <w:r w:rsidR="00D178B7" w:rsidRPr="00311C59">
        <w:rPr>
          <w:sz w:val="22"/>
          <w:szCs w:val="22"/>
        </w:rPr>
        <w:t xml:space="preserve">assess </w:t>
      </w:r>
      <w:r w:rsidR="000A1496" w:rsidRPr="00311C59">
        <w:rPr>
          <w:sz w:val="22"/>
          <w:szCs w:val="22"/>
        </w:rPr>
        <w:t>the relative influence of</w:t>
      </w:r>
      <w:r w:rsidR="00D178B7" w:rsidRPr="00311C59">
        <w:rPr>
          <w:sz w:val="22"/>
          <w:szCs w:val="22"/>
        </w:rPr>
        <w:t xml:space="preserve"> microbial functional genes </w:t>
      </w:r>
      <w:r w:rsidR="00781839" w:rsidRPr="00311C59">
        <w:rPr>
          <w:sz w:val="22"/>
          <w:szCs w:val="22"/>
        </w:rPr>
        <w:t xml:space="preserve">on </w:t>
      </w:r>
      <w:r w:rsidR="00D178B7" w:rsidRPr="00311C59">
        <w:rPr>
          <w:sz w:val="22"/>
          <w:szCs w:val="22"/>
        </w:rPr>
        <w:t>N</w:t>
      </w:r>
      <w:r w:rsidR="00D178B7" w:rsidRPr="00311C59">
        <w:rPr>
          <w:rFonts w:ascii="Cambria Math" w:hAnsi="Cambria Math" w:cs="Cambria Math"/>
          <w:sz w:val="22"/>
          <w:szCs w:val="22"/>
        </w:rPr>
        <w:t>₂</w:t>
      </w:r>
      <w:r w:rsidR="00D178B7" w:rsidRPr="00311C59">
        <w:rPr>
          <w:sz w:val="22"/>
          <w:szCs w:val="22"/>
        </w:rPr>
        <w:t>O emissions beyond environmental factors</w:t>
      </w:r>
      <w:r w:rsidR="00AD4117" w:rsidRPr="00311C59">
        <w:rPr>
          <w:sz w:val="22"/>
          <w:szCs w:val="22"/>
        </w:rPr>
        <w:t xml:space="preserve">, and to explore </w:t>
      </w:r>
      <w:r w:rsidR="00781839" w:rsidRPr="00311C59">
        <w:rPr>
          <w:sz w:val="22"/>
          <w:szCs w:val="22"/>
        </w:rPr>
        <w:t xml:space="preserve">how </w:t>
      </w:r>
      <w:r w:rsidR="00AD4117" w:rsidRPr="00311C59">
        <w:rPr>
          <w:sz w:val="22"/>
          <w:szCs w:val="22"/>
        </w:rPr>
        <w:t xml:space="preserve">the functional complementarity between nitrifiers and denitrifiers </w:t>
      </w:r>
      <w:r w:rsidR="00186422" w:rsidRPr="00311C59">
        <w:rPr>
          <w:sz w:val="22"/>
          <w:szCs w:val="22"/>
        </w:rPr>
        <w:t>drives</w:t>
      </w:r>
      <w:r w:rsidR="00B64352" w:rsidRPr="00311C59">
        <w:rPr>
          <w:sz w:val="22"/>
          <w:szCs w:val="22"/>
        </w:rPr>
        <w:t xml:space="preserve"> </w:t>
      </w:r>
      <w:r w:rsidR="000A1496" w:rsidRPr="00311C59">
        <w:rPr>
          <w:sz w:val="22"/>
          <w:szCs w:val="22"/>
        </w:rPr>
        <w:t>spatial</w:t>
      </w:r>
      <w:r w:rsidR="00B64352" w:rsidRPr="00311C59">
        <w:rPr>
          <w:sz w:val="22"/>
          <w:szCs w:val="22"/>
        </w:rPr>
        <w:t xml:space="preserve"> variation </w:t>
      </w:r>
      <w:r w:rsidR="00186422" w:rsidRPr="00311C59">
        <w:rPr>
          <w:sz w:val="22"/>
          <w:szCs w:val="22"/>
        </w:rPr>
        <w:t>in</w:t>
      </w:r>
      <w:r w:rsidR="00B64352" w:rsidRPr="00311C59">
        <w:rPr>
          <w:sz w:val="22"/>
          <w:szCs w:val="22"/>
        </w:rPr>
        <w:t xml:space="preserve"> N</w:t>
      </w:r>
      <w:r w:rsidR="00B64352" w:rsidRPr="000E1911">
        <w:rPr>
          <w:sz w:val="22"/>
          <w:szCs w:val="22"/>
          <w:vertAlign w:val="subscript"/>
        </w:rPr>
        <w:t>2</w:t>
      </w:r>
      <w:r w:rsidR="00B64352" w:rsidRPr="00311C59">
        <w:rPr>
          <w:sz w:val="22"/>
          <w:szCs w:val="22"/>
        </w:rPr>
        <w:t xml:space="preserve">O emissions </w:t>
      </w:r>
      <w:r w:rsidR="000A1496" w:rsidRPr="00311C59">
        <w:rPr>
          <w:sz w:val="22"/>
          <w:szCs w:val="22"/>
        </w:rPr>
        <w:t>across</w:t>
      </w:r>
      <w:r w:rsidR="00B64352" w:rsidRPr="00311C59">
        <w:rPr>
          <w:sz w:val="22"/>
          <w:szCs w:val="22"/>
        </w:rPr>
        <w:t xml:space="preserve"> wetlands.</w:t>
      </w:r>
    </w:p>
    <w:p w14:paraId="514875B3" w14:textId="77777777" w:rsidR="00681A52" w:rsidRDefault="00516F85">
      <w:pPr>
        <w:pStyle w:val="Heading3"/>
      </w:pPr>
      <w:r>
        <w:t xml:space="preserve">Goals and Objectives </w:t>
      </w:r>
    </w:p>
    <w:p w14:paraId="514875B4" w14:textId="77777777" w:rsidR="00681A52" w:rsidRPr="00690FB2" w:rsidRDefault="00516F85" w:rsidP="00690FB2">
      <w:pPr>
        <w:pBdr>
          <w:top w:val="single" w:sz="4" w:space="1" w:color="auto"/>
          <w:bottom w:val="single" w:sz="4" w:space="1" w:color="auto"/>
        </w:pBdr>
        <w:rPr>
          <w:i/>
          <w:iCs/>
        </w:rPr>
      </w:pPr>
      <w:r w:rsidRPr="00690FB2">
        <w:rPr>
          <w:i/>
          <w:iCs/>
        </w:rPr>
        <w:t>This section should briefly describe the overall goal(s) of the project and the subsequent objectives that will enable them to be achieved.  Goals and objectives should be directly connectable to the tasks outlined in the research and collaboration plan.</w:t>
      </w:r>
    </w:p>
    <w:p w14:paraId="514875B5" w14:textId="77777777" w:rsidR="00681A52" w:rsidRDefault="00681A52"/>
    <w:p w14:paraId="29918C64" w14:textId="44C8F6D7" w:rsidR="00517EF2" w:rsidRPr="000E1911" w:rsidRDefault="001762A8" w:rsidP="000E1911">
      <w:pPr>
        <w:spacing w:line="360" w:lineRule="auto"/>
        <w:rPr>
          <w:sz w:val="22"/>
          <w:szCs w:val="22"/>
        </w:rPr>
      </w:pPr>
      <w:r w:rsidRPr="000E1911">
        <w:rPr>
          <w:sz w:val="22"/>
          <w:szCs w:val="22"/>
        </w:rPr>
        <w:t>This project aims to further assess the role of microbial functional genes in driving spatial variation of N</w:t>
      </w:r>
      <w:r w:rsidRPr="00484A3C">
        <w:rPr>
          <w:sz w:val="22"/>
          <w:szCs w:val="22"/>
          <w:vertAlign w:val="subscript"/>
        </w:rPr>
        <w:t>2</w:t>
      </w:r>
      <w:r w:rsidRPr="000E1911">
        <w:rPr>
          <w:sz w:val="22"/>
          <w:szCs w:val="22"/>
        </w:rPr>
        <w:t>O emissions across wetlands</w:t>
      </w:r>
      <w:r w:rsidR="000E793C" w:rsidRPr="000E1911">
        <w:rPr>
          <w:sz w:val="22"/>
          <w:szCs w:val="22"/>
        </w:rPr>
        <w:t xml:space="preserve">, beyond the influence of environmental factors such as climate, soil, and land-use. By integrating </w:t>
      </w:r>
      <w:r w:rsidR="002A0E85" w:rsidRPr="000E1911">
        <w:rPr>
          <w:sz w:val="22"/>
          <w:szCs w:val="22"/>
        </w:rPr>
        <w:t>microbial and environmental data within a spatial framework, th</w:t>
      </w:r>
      <w:r w:rsidR="00AD504F">
        <w:rPr>
          <w:sz w:val="22"/>
          <w:szCs w:val="22"/>
        </w:rPr>
        <w:t>is</w:t>
      </w:r>
      <w:r w:rsidR="002A0E85" w:rsidRPr="000E1911">
        <w:rPr>
          <w:sz w:val="22"/>
          <w:szCs w:val="22"/>
        </w:rPr>
        <w:t xml:space="preserve"> study seeks to better understand how microbial composition</w:t>
      </w:r>
      <w:r w:rsidR="000E1911" w:rsidRPr="000E1911">
        <w:rPr>
          <w:sz w:val="22"/>
          <w:szCs w:val="22"/>
        </w:rPr>
        <w:t xml:space="preserve"> and interactions shape patterns of N</w:t>
      </w:r>
      <w:r w:rsidR="000E1911" w:rsidRPr="00484A3C">
        <w:rPr>
          <w:sz w:val="22"/>
          <w:szCs w:val="22"/>
          <w:vertAlign w:val="subscript"/>
        </w:rPr>
        <w:t>2</w:t>
      </w:r>
      <w:r w:rsidR="000E1911" w:rsidRPr="000E1911">
        <w:rPr>
          <w:sz w:val="22"/>
          <w:szCs w:val="22"/>
        </w:rPr>
        <w:t xml:space="preserve">O fluxes across landscapes. </w:t>
      </w:r>
      <w:r w:rsidR="00517EF2" w:rsidRPr="000E1911">
        <w:rPr>
          <w:sz w:val="22"/>
          <w:szCs w:val="22"/>
        </w:rPr>
        <w:t xml:space="preserve">Our </w:t>
      </w:r>
      <w:r w:rsidR="00517EF2" w:rsidRPr="00C803C2">
        <w:rPr>
          <w:sz w:val="22"/>
          <w:szCs w:val="22"/>
          <w:u w:val="single"/>
        </w:rPr>
        <w:t>two specific and measurable objectives include</w:t>
      </w:r>
      <w:r w:rsidR="00517EF2" w:rsidRPr="000E1911">
        <w:rPr>
          <w:sz w:val="22"/>
          <w:szCs w:val="22"/>
        </w:rPr>
        <w:t>:</w:t>
      </w:r>
    </w:p>
    <w:p w14:paraId="52265A5E" w14:textId="3FB81A61" w:rsidR="00F05AF2" w:rsidRPr="000E1911" w:rsidRDefault="00517EF2" w:rsidP="000E1911">
      <w:pPr>
        <w:pStyle w:val="ListParagraph"/>
        <w:numPr>
          <w:ilvl w:val="0"/>
          <w:numId w:val="6"/>
        </w:numPr>
        <w:tabs>
          <w:tab w:val="left" w:pos="1674"/>
        </w:tabs>
        <w:spacing w:line="360" w:lineRule="auto"/>
        <w:rPr>
          <w:sz w:val="22"/>
          <w:szCs w:val="22"/>
        </w:rPr>
      </w:pPr>
      <w:r w:rsidRPr="00C803C2">
        <w:rPr>
          <w:b/>
          <w:bCs/>
          <w:sz w:val="22"/>
          <w:szCs w:val="22"/>
        </w:rPr>
        <w:t xml:space="preserve">Quantify </w:t>
      </w:r>
      <w:r w:rsidRPr="00AD504F">
        <w:rPr>
          <w:b/>
          <w:bCs/>
          <w:sz w:val="22"/>
          <w:szCs w:val="22"/>
        </w:rPr>
        <w:t>the contribution of</w:t>
      </w:r>
      <w:r w:rsidRPr="000E1911">
        <w:rPr>
          <w:sz w:val="22"/>
          <w:szCs w:val="22"/>
        </w:rPr>
        <w:t xml:space="preserve"> </w:t>
      </w:r>
      <w:r w:rsidRPr="00C803C2">
        <w:rPr>
          <w:b/>
          <w:bCs/>
          <w:sz w:val="22"/>
          <w:szCs w:val="22"/>
        </w:rPr>
        <w:t>microbial functional genes</w:t>
      </w:r>
      <w:r w:rsidRPr="000E1911">
        <w:rPr>
          <w:sz w:val="22"/>
          <w:szCs w:val="22"/>
        </w:rPr>
        <w:t>—including archaeal</w:t>
      </w:r>
      <w:r w:rsidR="00096730" w:rsidRPr="000E1911">
        <w:rPr>
          <w:sz w:val="22"/>
          <w:szCs w:val="22"/>
        </w:rPr>
        <w:t xml:space="preserve"> </w:t>
      </w:r>
      <w:r w:rsidR="00096730" w:rsidRPr="00484A3C">
        <w:rPr>
          <w:i/>
          <w:iCs/>
          <w:sz w:val="22"/>
          <w:szCs w:val="22"/>
        </w:rPr>
        <w:t>amoA</w:t>
      </w:r>
      <w:r w:rsidR="00096730" w:rsidRPr="000E1911">
        <w:rPr>
          <w:sz w:val="22"/>
          <w:szCs w:val="22"/>
        </w:rPr>
        <w:t xml:space="preserve">, bacterial </w:t>
      </w:r>
      <w:r w:rsidR="00096730" w:rsidRPr="00484A3C">
        <w:rPr>
          <w:i/>
          <w:iCs/>
          <w:sz w:val="22"/>
          <w:szCs w:val="22"/>
        </w:rPr>
        <w:t>amoA</w:t>
      </w:r>
      <w:r w:rsidR="00096730" w:rsidRPr="000E1911">
        <w:rPr>
          <w:sz w:val="22"/>
          <w:szCs w:val="22"/>
        </w:rPr>
        <w:t xml:space="preserve">, and </w:t>
      </w:r>
      <w:r w:rsidR="00096730" w:rsidRPr="00484A3C">
        <w:rPr>
          <w:i/>
          <w:iCs/>
          <w:sz w:val="22"/>
          <w:szCs w:val="22"/>
        </w:rPr>
        <w:t>nosZ</w:t>
      </w:r>
      <w:r w:rsidR="00096730" w:rsidRPr="000E1911">
        <w:rPr>
          <w:sz w:val="22"/>
          <w:szCs w:val="22"/>
        </w:rPr>
        <w:t>, and overall N-cycle gene diversity—</w:t>
      </w:r>
      <w:r w:rsidR="00096730" w:rsidRPr="006D1717">
        <w:rPr>
          <w:b/>
          <w:bCs/>
          <w:sz w:val="22"/>
          <w:szCs w:val="22"/>
        </w:rPr>
        <w:t>to</w:t>
      </w:r>
      <w:r w:rsidR="00096730" w:rsidRPr="00C803C2">
        <w:rPr>
          <w:b/>
          <w:bCs/>
          <w:sz w:val="22"/>
          <w:szCs w:val="22"/>
        </w:rPr>
        <w:t xml:space="preserve"> spatial variation in N</w:t>
      </w:r>
      <w:r w:rsidR="00096730" w:rsidRPr="00C803C2">
        <w:rPr>
          <w:b/>
          <w:bCs/>
          <w:sz w:val="22"/>
          <w:szCs w:val="22"/>
          <w:vertAlign w:val="subscript"/>
        </w:rPr>
        <w:t>2</w:t>
      </w:r>
      <w:r w:rsidR="00096730" w:rsidRPr="00C803C2">
        <w:rPr>
          <w:b/>
          <w:bCs/>
          <w:sz w:val="22"/>
          <w:szCs w:val="22"/>
        </w:rPr>
        <w:t>O emissions</w:t>
      </w:r>
      <w:r w:rsidR="00096730" w:rsidRPr="000E1911">
        <w:rPr>
          <w:sz w:val="22"/>
          <w:szCs w:val="22"/>
        </w:rPr>
        <w:t>, assessing</w:t>
      </w:r>
      <w:r w:rsidR="00416F49" w:rsidRPr="000E1911">
        <w:rPr>
          <w:sz w:val="22"/>
          <w:szCs w:val="22"/>
        </w:rPr>
        <w:t xml:space="preserve"> the </w:t>
      </w:r>
      <w:r w:rsidR="00416F49" w:rsidRPr="00C803C2">
        <w:rPr>
          <w:b/>
          <w:bCs/>
          <w:sz w:val="22"/>
          <w:szCs w:val="22"/>
        </w:rPr>
        <w:t>explanatory power</w:t>
      </w:r>
      <w:r w:rsidR="00416F49" w:rsidRPr="000E1911">
        <w:rPr>
          <w:sz w:val="22"/>
          <w:szCs w:val="22"/>
        </w:rPr>
        <w:t xml:space="preserve"> provided by microbial factors beyond environmental variables.</w:t>
      </w:r>
      <w:r w:rsidR="007E405D" w:rsidRPr="000E1911">
        <w:rPr>
          <w:sz w:val="22"/>
          <w:szCs w:val="22"/>
        </w:rPr>
        <w:tab/>
      </w:r>
    </w:p>
    <w:p w14:paraId="6DCA0D20" w14:textId="61228F49" w:rsidR="00F05AF2" w:rsidRPr="00822AFA" w:rsidRDefault="00416F49" w:rsidP="00822AFA">
      <w:pPr>
        <w:pStyle w:val="ListParagraph"/>
        <w:numPr>
          <w:ilvl w:val="0"/>
          <w:numId w:val="6"/>
        </w:numPr>
        <w:tabs>
          <w:tab w:val="left" w:pos="1674"/>
        </w:tabs>
        <w:spacing w:line="360" w:lineRule="auto"/>
        <w:rPr>
          <w:sz w:val="22"/>
          <w:szCs w:val="22"/>
        </w:rPr>
      </w:pPr>
      <w:r w:rsidRPr="00C803C2">
        <w:rPr>
          <w:b/>
          <w:bCs/>
          <w:sz w:val="22"/>
          <w:szCs w:val="22"/>
        </w:rPr>
        <w:t>Investigate the functional complementarity</w:t>
      </w:r>
      <w:r w:rsidRPr="000E1911">
        <w:rPr>
          <w:sz w:val="22"/>
          <w:szCs w:val="22"/>
        </w:rPr>
        <w:t xml:space="preserve"> between nitrifiers </w:t>
      </w:r>
      <w:r w:rsidR="00D764F1" w:rsidRPr="000E1911">
        <w:rPr>
          <w:sz w:val="22"/>
          <w:szCs w:val="22"/>
        </w:rPr>
        <w:t>(</w:t>
      </w:r>
      <w:r w:rsidR="00D764F1" w:rsidRPr="00484A3C">
        <w:rPr>
          <w:i/>
          <w:iCs/>
          <w:sz w:val="22"/>
          <w:szCs w:val="22"/>
        </w:rPr>
        <w:t>amoA</w:t>
      </w:r>
      <w:r w:rsidR="00D764F1" w:rsidRPr="000E1911">
        <w:rPr>
          <w:sz w:val="22"/>
          <w:szCs w:val="22"/>
        </w:rPr>
        <w:t xml:space="preserve">) </w:t>
      </w:r>
      <w:r w:rsidRPr="000E1911">
        <w:rPr>
          <w:sz w:val="22"/>
          <w:szCs w:val="22"/>
        </w:rPr>
        <w:t xml:space="preserve">and denitrifiers </w:t>
      </w:r>
      <w:r w:rsidR="00D764F1" w:rsidRPr="000E1911">
        <w:rPr>
          <w:sz w:val="22"/>
          <w:szCs w:val="22"/>
        </w:rPr>
        <w:t>(</w:t>
      </w:r>
      <w:r w:rsidR="00D764F1" w:rsidRPr="00484A3C">
        <w:rPr>
          <w:i/>
          <w:iCs/>
          <w:sz w:val="22"/>
          <w:szCs w:val="22"/>
        </w:rPr>
        <w:t>nosZ</w:t>
      </w:r>
      <w:r w:rsidR="00D764F1" w:rsidRPr="000E1911">
        <w:rPr>
          <w:sz w:val="22"/>
          <w:szCs w:val="22"/>
        </w:rPr>
        <w:t xml:space="preserve">) </w:t>
      </w:r>
      <w:r w:rsidRPr="000E1911">
        <w:rPr>
          <w:sz w:val="22"/>
          <w:szCs w:val="22"/>
        </w:rPr>
        <w:t xml:space="preserve">across space, examining how the </w:t>
      </w:r>
      <w:r w:rsidRPr="00C803C2">
        <w:rPr>
          <w:b/>
          <w:bCs/>
          <w:sz w:val="22"/>
          <w:szCs w:val="22"/>
        </w:rPr>
        <w:t>balance</w:t>
      </w:r>
      <w:r w:rsidRPr="000E1911">
        <w:rPr>
          <w:sz w:val="22"/>
          <w:szCs w:val="22"/>
        </w:rPr>
        <w:t xml:space="preserve"> between these microbial groups</w:t>
      </w:r>
      <w:r w:rsidR="00D764F1" w:rsidRPr="000E1911">
        <w:rPr>
          <w:sz w:val="22"/>
          <w:szCs w:val="22"/>
        </w:rPr>
        <w:t xml:space="preserve"> relate to spatial patterns of N</w:t>
      </w:r>
      <w:r w:rsidR="00D764F1" w:rsidRPr="00484A3C">
        <w:rPr>
          <w:sz w:val="22"/>
          <w:szCs w:val="22"/>
          <w:vertAlign w:val="subscript"/>
        </w:rPr>
        <w:t>2</w:t>
      </w:r>
      <w:r w:rsidR="00D764F1" w:rsidRPr="000E1911">
        <w:rPr>
          <w:sz w:val="22"/>
          <w:szCs w:val="22"/>
        </w:rPr>
        <w:t>O emissions.</w:t>
      </w:r>
    </w:p>
    <w:p w14:paraId="514875B6" w14:textId="77777777" w:rsidR="00681A52" w:rsidRDefault="00516F85">
      <w:pPr>
        <w:pStyle w:val="Heading3"/>
      </w:pPr>
      <w:r>
        <w:t>Research Plan (task-based with timeline)</w:t>
      </w:r>
    </w:p>
    <w:p w14:paraId="514875B8" w14:textId="4859392F" w:rsidR="00681A52" w:rsidRPr="00690FB2" w:rsidRDefault="00516F85" w:rsidP="00690FB2">
      <w:pPr>
        <w:pBdr>
          <w:top w:val="single" w:sz="4" w:space="1" w:color="auto"/>
          <w:bottom w:val="single" w:sz="4" w:space="1" w:color="auto"/>
        </w:pBdr>
        <w:rPr>
          <w:b/>
          <w:i/>
          <w:iCs/>
        </w:rPr>
      </w:pPr>
      <w:r w:rsidRPr="00690FB2">
        <w:rPr>
          <w:i/>
          <w:iCs/>
        </w:rPr>
        <w:t>Outline the proposed research plan into logical tasks with an emphasis in each task, breaking down the work into logical tasks. Each paragraph that follows could be for a separate task as shown below. The focus should be on describing the tasks, the reasons for completing the task, how the tasks will be completed, how and which of the learnings from course modules would be leveraged in each task, and the likely outcomes of the proposed work. Take care to define a scope of work appropriate for the amount of effort required for coursework equivalent credit hours.</w:t>
      </w:r>
    </w:p>
    <w:p w14:paraId="0F781371" w14:textId="77777777" w:rsidR="00822AFA" w:rsidRPr="00AF3FC6" w:rsidRDefault="00516F85" w:rsidP="00822AFA">
      <w:pPr>
        <w:rPr>
          <w:b/>
          <w:bCs/>
        </w:rPr>
      </w:pPr>
      <w:r>
        <w:rPr>
          <w:b/>
          <w:i/>
        </w:rPr>
        <w:t>Task 1:</w:t>
      </w:r>
      <w:r w:rsidR="00822AFA">
        <w:rPr>
          <w:b/>
          <w:i/>
        </w:rPr>
        <w:t xml:space="preserve"> </w:t>
      </w:r>
      <w:r w:rsidR="00822AFA" w:rsidRPr="00822AFA">
        <w:rPr>
          <w:b/>
          <w:iCs/>
        </w:rPr>
        <w:t>Quantify the added explanatory power of microbial genes</w:t>
      </w:r>
    </w:p>
    <w:p w14:paraId="514875B9" w14:textId="0C8E9897" w:rsidR="00681A52" w:rsidRDefault="00681A52"/>
    <w:p w14:paraId="514875BA" w14:textId="77777777" w:rsidR="00681A52" w:rsidRDefault="00681A52">
      <w:pPr>
        <w:rPr>
          <w:b/>
        </w:rPr>
      </w:pPr>
    </w:p>
    <w:p w14:paraId="514875BB" w14:textId="77777777" w:rsidR="00681A52" w:rsidRDefault="00516F85">
      <w:pPr>
        <w:rPr>
          <w:i/>
        </w:rPr>
      </w:pPr>
      <w:r>
        <w:rPr>
          <w:b/>
          <w:i/>
        </w:rPr>
        <w:t>Task 2:</w:t>
      </w:r>
      <w:r>
        <w:rPr>
          <w:i/>
        </w:rPr>
        <w:t xml:space="preserve">  </w:t>
      </w:r>
    </w:p>
    <w:p w14:paraId="514875BC" w14:textId="77777777" w:rsidR="00681A52" w:rsidRDefault="00681A52"/>
    <w:p w14:paraId="514875BD" w14:textId="77777777" w:rsidR="00681A52" w:rsidRDefault="00516F85">
      <w:r>
        <w:t xml:space="preserve">Linkages between tasks are encouraged.  </w:t>
      </w:r>
    </w:p>
    <w:p w14:paraId="514875BE" w14:textId="77777777" w:rsidR="00681A52" w:rsidRDefault="00681A52"/>
    <w:p w14:paraId="514875BF" w14:textId="77777777" w:rsidR="00681A52" w:rsidRDefault="00516F85">
      <w:pPr>
        <w:pStyle w:val="Heading3"/>
      </w:pPr>
      <w:r>
        <w:t>Evaluation Metrics</w:t>
      </w:r>
    </w:p>
    <w:p w14:paraId="514875C1" w14:textId="29FFED45" w:rsidR="00681A52" w:rsidRPr="00690FB2" w:rsidRDefault="00516F85" w:rsidP="00690FB2">
      <w:pPr>
        <w:pBdr>
          <w:top w:val="single" w:sz="4" w:space="1" w:color="auto"/>
          <w:bottom w:val="single" w:sz="4" w:space="1" w:color="auto"/>
        </w:pBdr>
        <w:rPr>
          <w:i/>
          <w:iCs/>
        </w:rPr>
      </w:pPr>
      <w:r w:rsidRPr="00690FB2">
        <w:rPr>
          <w:i/>
          <w:iCs/>
        </w:rPr>
        <w:t>Briefly describe the quantitative and/or qualitative metrics that will be used to determine the progress and success of each task, progress towards objectives, and the overall project goal.  These metrics will be used to determine how your project outputs will be evaluated for course credit.</w:t>
      </w:r>
    </w:p>
    <w:p w14:paraId="514875C2" w14:textId="77777777" w:rsidR="00681A52" w:rsidRDefault="00516F85">
      <w:pPr>
        <w:pStyle w:val="Heading3"/>
      </w:pPr>
      <w:r>
        <w:lastRenderedPageBreak/>
        <w:t>Anticipated Outcomes &amp; Impacts</w:t>
      </w:r>
    </w:p>
    <w:p w14:paraId="514875C3" w14:textId="77777777" w:rsidR="00681A52" w:rsidRPr="00690FB2" w:rsidRDefault="00516F85" w:rsidP="00690FB2">
      <w:pPr>
        <w:pBdr>
          <w:top w:val="single" w:sz="4" w:space="1" w:color="auto"/>
          <w:bottom w:val="single" w:sz="4" w:space="1" w:color="auto"/>
        </w:pBdr>
        <w:rPr>
          <w:i/>
          <w:iCs/>
        </w:rPr>
      </w:pPr>
      <w:r w:rsidRPr="00690FB2">
        <w:rPr>
          <w:i/>
          <w:iCs/>
        </w:rPr>
        <w:t xml:space="preserve">Describe anticipated outcomes and experiences relevant to the topical area.  These can include, but are not limited to, technical deliverables, science/engineering advances, education impacts, or policy changes. </w:t>
      </w:r>
    </w:p>
    <w:p w14:paraId="514875C4" w14:textId="77777777" w:rsidR="00681A52" w:rsidRDefault="00681A52"/>
    <w:p w14:paraId="514875C5" w14:textId="77777777" w:rsidR="00681A52" w:rsidRDefault="00516F85">
      <w:pPr>
        <w:pStyle w:val="Heading3"/>
      </w:pPr>
      <w:r>
        <w:t>Follow-up Funding/Follow-up Research/Growth Plan</w:t>
      </w:r>
    </w:p>
    <w:p w14:paraId="514875C7" w14:textId="2DDF4C74" w:rsidR="00681A52" w:rsidRPr="00690FB2" w:rsidRDefault="00516F85" w:rsidP="00690FB2">
      <w:pPr>
        <w:pBdr>
          <w:top w:val="single" w:sz="4" w:space="1" w:color="auto"/>
          <w:bottom w:val="single" w:sz="4" w:space="1" w:color="auto"/>
        </w:pBdr>
        <w:rPr>
          <w:i/>
          <w:iCs/>
        </w:rPr>
      </w:pPr>
      <w:r w:rsidRPr="00690FB2">
        <w:rPr>
          <w:i/>
          <w:iCs/>
        </w:rPr>
        <w:t>Expectations for this effort is that the proposer will use the initial works that was for coursework to develop their own  research initiative that can become self-sustaining and has the potential to grow into a larger research initiative after course completion. The proposer should briefly lay out a plan for achieving self-driven subsequent research, and potential sources of funding and the timing for their pursuit.</w:t>
      </w:r>
    </w:p>
    <w:p w14:paraId="514875C8" w14:textId="77777777" w:rsidR="00681A52" w:rsidRDefault="00516F85">
      <w:r>
        <w:br w:type="page"/>
      </w:r>
    </w:p>
    <w:p w14:paraId="514875C9" w14:textId="77777777" w:rsidR="00681A52" w:rsidRDefault="00516F85">
      <w:pPr>
        <w:pStyle w:val="Heading2"/>
      </w:pPr>
      <w:bookmarkStart w:id="1" w:name="_30j0zll" w:colFirst="0" w:colLast="0"/>
      <w:bookmarkEnd w:id="1"/>
      <w:r>
        <w:lastRenderedPageBreak/>
        <w:t>References</w:t>
      </w:r>
    </w:p>
    <w:p w14:paraId="4D3DAB7C" w14:textId="7A6D0EA8" w:rsidR="008F2B8E" w:rsidRDefault="008F2B8E">
      <w:pPr>
        <w:rPr>
          <w:sz w:val="22"/>
          <w:szCs w:val="22"/>
        </w:rPr>
      </w:pPr>
      <w:r w:rsidRPr="008F2B8E">
        <w:rPr>
          <w:sz w:val="22"/>
          <w:szCs w:val="22"/>
        </w:rPr>
        <w:t>Bahram, M., Espenberg, M., Pärn, J. </w:t>
      </w:r>
      <w:r w:rsidRPr="008F2B8E">
        <w:rPr>
          <w:i/>
          <w:iCs/>
          <w:sz w:val="22"/>
          <w:szCs w:val="22"/>
        </w:rPr>
        <w:t>et al.</w:t>
      </w:r>
      <w:r w:rsidRPr="008F2B8E">
        <w:rPr>
          <w:sz w:val="22"/>
          <w:szCs w:val="22"/>
        </w:rPr>
        <w:t> </w:t>
      </w:r>
      <w:r>
        <w:rPr>
          <w:sz w:val="22"/>
          <w:szCs w:val="22"/>
        </w:rPr>
        <w:t xml:space="preserve">2022. </w:t>
      </w:r>
      <w:r w:rsidRPr="008F2B8E">
        <w:rPr>
          <w:sz w:val="22"/>
          <w:szCs w:val="22"/>
        </w:rPr>
        <w:t xml:space="preserve">Structure and function of the soil microbiome </w:t>
      </w:r>
    </w:p>
    <w:p w14:paraId="28B7D595" w14:textId="761401AE" w:rsidR="008F2B8E" w:rsidRDefault="008F2B8E" w:rsidP="008F2B8E">
      <w:pPr>
        <w:ind w:left="720"/>
        <w:rPr>
          <w:sz w:val="22"/>
          <w:szCs w:val="22"/>
        </w:rPr>
      </w:pPr>
      <w:r w:rsidRPr="008F2B8E">
        <w:rPr>
          <w:sz w:val="22"/>
          <w:szCs w:val="22"/>
        </w:rPr>
        <w:t>underlying N</w:t>
      </w:r>
      <w:r w:rsidRPr="008F2B8E">
        <w:rPr>
          <w:sz w:val="22"/>
          <w:szCs w:val="22"/>
          <w:vertAlign w:val="subscript"/>
        </w:rPr>
        <w:t>2</w:t>
      </w:r>
      <w:r w:rsidRPr="008F2B8E">
        <w:rPr>
          <w:sz w:val="22"/>
          <w:szCs w:val="22"/>
        </w:rPr>
        <w:t>O emissions from global wetlands. </w:t>
      </w:r>
      <w:r w:rsidRPr="008F2B8E">
        <w:rPr>
          <w:i/>
          <w:iCs/>
          <w:sz w:val="22"/>
          <w:szCs w:val="22"/>
        </w:rPr>
        <w:t>Nat Commun</w:t>
      </w:r>
      <w:r w:rsidRPr="008F2B8E">
        <w:rPr>
          <w:sz w:val="22"/>
          <w:szCs w:val="22"/>
        </w:rPr>
        <w:t> </w:t>
      </w:r>
      <w:r w:rsidRPr="008F2B8E">
        <w:rPr>
          <w:b/>
          <w:bCs/>
          <w:sz w:val="22"/>
          <w:szCs w:val="22"/>
        </w:rPr>
        <w:t>13</w:t>
      </w:r>
      <w:r w:rsidRPr="008F2B8E">
        <w:rPr>
          <w:sz w:val="22"/>
          <w:szCs w:val="22"/>
        </w:rPr>
        <w:t xml:space="preserve">, 1430 </w:t>
      </w:r>
      <w:hyperlink r:id="rId7" w:history="1">
        <w:r w:rsidR="005355AA" w:rsidRPr="00E624CD">
          <w:rPr>
            <w:rStyle w:val="Hyperlink"/>
            <w:sz w:val="22"/>
            <w:szCs w:val="22"/>
          </w:rPr>
          <w:t>https://doi.org/10.1038/s41467-022-29161-3</w:t>
        </w:r>
      </w:hyperlink>
    </w:p>
    <w:p w14:paraId="60C91872" w14:textId="77777777" w:rsidR="008F2B8E" w:rsidRDefault="008F2B8E" w:rsidP="008F2B8E">
      <w:pPr>
        <w:ind w:left="720"/>
        <w:rPr>
          <w:sz w:val="22"/>
          <w:szCs w:val="22"/>
        </w:rPr>
      </w:pPr>
    </w:p>
    <w:p w14:paraId="2FEBD17E" w14:textId="4C610C34" w:rsidR="00673AA9" w:rsidRDefault="00C81C4C">
      <w:pPr>
        <w:rPr>
          <w:sz w:val="22"/>
          <w:szCs w:val="22"/>
        </w:rPr>
      </w:pPr>
      <w:r>
        <w:rPr>
          <w:sz w:val="22"/>
          <w:szCs w:val="22"/>
        </w:rPr>
        <w:t>Robertson, H.</w:t>
      </w:r>
      <w:r w:rsidR="00F05AF2">
        <w:rPr>
          <w:sz w:val="22"/>
          <w:szCs w:val="22"/>
        </w:rPr>
        <w:t>, et al.</w:t>
      </w:r>
      <w:r w:rsidR="009115F1">
        <w:rPr>
          <w:sz w:val="22"/>
          <w:szCs w:val="22"/>
        </w:rPr>
        <w:t xml:space="preserve"> </w:t>
      </w:r>
      <w:r w:rsidR="00673AA9" w:rsidRPr="00673AA9">
        <w:rPr>
          <w:sz w:val="22"/>
          <w:szCs w:val="22"/>
        </w:rPr>
        <w:t>2025</w:t>
      </w:r>
      <w:r w:rsidR="009115F1">
        <w:rPr>
          <w:sz w:val="22"/>
          <w:szCs w:val="22"/>
        </w:rPr>
        <w:t>.</w:t>
      </w:r>
      <w:r w:rsidR="00673AA9" w:rsidRPr="00673AA9">
        <w:rPr>
          <w:sz w:val="22"/>
          <w:szCs w:val="22"/>
        </w:rPr>
        <w:t xml:space="preserve"> Global Wetland Outlook 2025: Valuing, conserving, restoring </w:t>
      </w:r>
    </w:p>
    <w:p w14:paraId="77DE1AC4" w14:textId="5F877C8C" w:rsidR="008F2B8E" w:rsidRDefault="00673AA9" w:rsidP="008F2B8E">
      <w:pPr>
        <w:ind w:left="360"/>
        <w:rPr>
          <w:sz w:val="22"/>
          <w:szCs w:val="22"/>
        </w:rPr>
      </w:pPr>
      <w:r w:rsidRPr="00673AA9">
        <w:rPr>
          <w:sz w:val="22"/>
          <w:szCs w:val="22"/>
        </w:rPr>
        <w:t>and financing wetlands. Gland, Switzerland: Secretariat of the Convention on Wetlands. DOI: 10.69556/GWO-2025-eng.</w:t>
      </w:r>
    </w:p>
    <w:p w14:paraId="49429489" w14:textId="77777777" w:rsidR="00AB427F" w:rsidRDefault="00AB427F" w:rsidP="00673AA9">
      <w:pPr>
        <w:ind w:left="360"/>
        <w:rPr>
          <w:sz w:val="22"/>
          <w:szCs w:val="22"/>
        </w:rPr>
      </w:pPr>
    </w:p>
    <w:p w14:paraId="02C48864" w14:textId="77777777" w:rsidR="00AB427F" w:rsidRPr="00673AA9" w:rsidRDefault="00AB427F" w:rsidP="00673AA9">
      <w:pPr>
        <w:ind w:left="360"/>
        <w:rPr>
          <w:sz w:val="22"/>
          <w:szCs w:val="22"/>
        </w:rPr>
      </w:pPr>
    </w:p>
    <w:p w14:paraId="1B7C6694" w14:textId="3FEC9B7B" w:rsidR="00797CF5" w:rsidRPr="00797CF5" w:rsidRDefault="00797CF5" w:rsidP="00E026B2">
      <w:pPr>
        <w:pStyle w:val="ListParagraph"/>
        <w:numPr>
          <w:ilvl w:val="0"/>
          <w:numId w:val="3"/>
        </w:numPr>
      </w:pPr>
      <w:r w:rsidRPr="00797CF5">
        <w:t>To what extent do microbial functional genes explain spatial variation in N</w:t>
      </w:r>
      <w:r w:rsidRPr="00E026B2">
        <w:rPr>
          <w:rFonts w:ascii="Cambria Math" w:hAnsi="Cambria Math" w:cs="Cambria Math"/>
        </w:rPr>
        <w:t>₂</w:t>
      </w:r>
      <w:r w:rsidRPr="00797CF5">
        <w:t>O emissions beyond climate, soil, and land-use factors?</w:t>
      </w:r>
    </w:p>
    <w:p w14:paraId="0E77F863" w14:textId="77777777" w:rsidR="00797CF5" w:rsidRPr="00797CF5" w:rsidRDefault="00797CF5" w:rsidP="00797CF5">
      <w:pPr>
        <w:numPr>
          <w:ilvl w:val="0"/>
          <w:numId w:val="2"/>
        </w:numPr>
      </w:pPr>
      <w:r w:rsidRPr="00797CF5">
        <w:t>H</w:t>
      </w:r>
      <w:r w:rsidRPr="00797CF5">
        <w:rPr>
          <w:rFonts w:ascii="Cambria Math" w:hAnsi="Cambria Math" w:cs="Cambria Math"/>
        </w:rPr>
        <w:t>₀</w:t>
      </w:r>
      <w:r w:rsidRPr="00797CF5">
        <w:t>: Microbial functional genes explain no additional spatial variance in N</w:t>
      </w:r>
      <w:r w:rsidRPr="00797CF5">
        <w:rPr>
          <w:rFonts w:ascii="Cambria Math" w:hAnsi="Cambria Math" w:cs="Cambria Math"/>
        </w:rPr>
        <w:t>₂</w:t>
      </w:r>
      <w:r w:rsidRPr="00797CF5">
        <w:t>O flux once climate, soil, and land use are considered.</w:t>
      </w:r>
    </w:p>
    <w:p w14:paraId="2B809F6B" w14:textId="77777777" w:rsidR="00797CF5" w:rsidRPr="00797CF5" w:rsidRDefault="00797CF5" w:rsidP="00797CF5">
      <w:pPr>
        <w:numPr>
          <w:ilvl w:val="0"/>
          <w:numId w:val="2"/>
        </w:numPr>
      </w:pPr>
      <w:r w:rsidRPr="00797CF5">
        <w:t>H</w:t>
      </w:r>
      <w:r w:rsidRPr="00797CF5">
        <w:rPr>
          <w:rFonts w:ascii="Cambria Math" w:hAnsi="Cambria Math" w:cs="Cambria Math"/>
        </w:rPr>
        <w:t>₁</w:t>
      </w:r>
      <w:r w:rsidRPr="00797CF5">
        <w:t>: Microbial functional genes uniquely explain a significant portion of N</w:t>
      </w:r>
      <w:r w:rsidRPr="00797CF5">
        <w:rPr>
          <w:rFonts w:ascii="Cambria Math" w:hAnsi="Cambria Math" w:cs="Cambria Math"/>
        </w:rPr>
        <w:t>₂</w:t>
      </w:r>
      <w:r w:rsidRPr="00797CF5">
        <w:t>O spatial variance.</w:t>
      </w:r>
    </w:p>
    <w:p w14:paraId="514875CB" w14:textId="77777777" w:rsidR="00681A52" w:rsidRPr="00797CF5" w:rsidRDefault="00681A52"/>
    <w:p w14:paraId="514875CC" w14:textId="309FF361" w:rsidR="00681A52" w:rsidRPr="00E026B2" w:rsidRDefault="006B79A4" w:rsidP="00E026B2">
      <w:pPr>
        <w:pStyle w:val="ListParagraph"/>
        <w:numPr>
          <w:ilvl w:val="0"/>
          <w:numId w:val="3"/>
        </w:numPr>
        <w:rPr>
          <w:bCs/>
        </w:rPr>
      </w:pPr>
      <w:r w:rsidRPr="00E026B2">
        <w:rPr>
          <w:bCs/>
        </w:rPr>
        <w:t>Cross-scale variance partitioning: how much of spatial variation in N</w:t>
      </w:r>
      <w:r w:rsidRPr="00E026B2">
        <w:rPr>
          <w:rFonts w:ascii="Cambria Math" w:hAnsi="Cambria Math" w:cs="Cambria Math"/>
          <w:bCs/>
        </w:rPr>
        <w:t>₂</w:t>
      </w:r>
      <w:r w:rsidRPr="00E026B2">
        <w:rPr>
          <w:bCs/>
        </w:rPr>
        <w:t>O is explained by climate, soil, land-use, vs microbial genes?</w:t>
      </w:r>
    </w:p>
    <w:p w14:paraId="71A56B06" w14:textId="10A2E4CC" w:rsidR="006B79A4" w:rsidRDefault="006B79A4" w:rsidP="00F57813">
      <w:pPr>
        <w:rPr>
          <w:bCs/>
        </w:rPr>
      </w:pPr>
      <w:r w:rsidRPr="006B79A4">
        <w:rPr>
          <w:bCs/>
        </w:rPr>
        <w:t>Hypothesis: A large fraction of spatial variance in N</w:t>
      </w:r>
      <w:r w:rsidRPr="006B79A4">
        <w:rPr>
          <w:rFonts w:ascii="Cambria Math" w:hAnsi="Cambria Math" w:cs="Cambria Math"/>
          <w:bCs/>
        </w:rPr>
        <w:t>₂</w:t>
      </w:r>
      <w:r w:rsidRPr="006B79A4">
        <w:rPr>
          <w:bCs/>
        </w:rPr>
        <w:t>O is explained by microbial functional gene metrics beyond climate/soil/land-use.</w:t>
      </w:r>
      <w:r w:rsidRPr="006B79A4">
        <w:rPr>
          <w:bCs/>
        </w:rPr>
        <w:br/>
        <w:t>Variables: sets of predictors grouped: climate (temp, precipitation), soil (pH, C/N, moisture, NO</w:t>
      </w:r>
      <w:r w:rsidRPr="006B79A4">
        <w:rPr>
          <w:rFonts w:ascii="Cambria Math" w:hAnsi="Cambria Math" w:cs="Cambria Math"/>
          <w:bCs/>
        </w:rPr>
        <w:t>₃⁻</w:t>
      </w:r>
      <w:r w:rsidRPr="006B79A4">
        <w:rPr>
          <w:bCs/>
        </w:rPr>
        <w:t>), land use, microbial (amoA, nir, nosZ, gene diversity).</w:t>
      </w:r>
    </w:p>
    <w:p w14:paraId="4839E683" w14:textId="77777777" w:rsidR="00D52E96" w:rsidRDefault="00D52E96" w:rsidP="00F57813">
      <w:pPr>
        <w:rPr>
          <w:bCs/>
        </w:rPr>
      </w:pPr>
    </w:p>
    <w:p w14:paraId="56458808" w14:textId="60C71CEC" w:rsidR="00D52E96" w:rsidRPr="00D52E96" w:rsidRDefault="00D52E96" w:rsidP="00E026B2">
      <w:pPr>
        <w:pStyle w:val="ListParagraph"/>
        <w:numPr>
          <w:ilvl w:val="0"/>
          <w:numId w:val="3"/>
        </w:numPr>
      </w:pPr>
      <w:r w:rsidRPr="00D52E96">
        <w:t xml:space="preserve">are high amoA sites </w:t>
      </w:r>
      <w:r w:rsidR="00E026B2">
        <w:t>associate with</w:t>
      </w:r>
      <w:r w:rsidRPr="00D52E96">
        <w:t xml:space="preserve"> high nosZ sites? (neighborhood effects)</w:t>
      </w:r>
    </w:p>
    <w:p w14:paraId="448090FE" w14:textId="77777777" w:rsidR="00D52E96" w:rsidRPr="00D52E96" w:rsidRDefault="00D52E96" w:rsidP="00D52E96">
      <w:r w:rsidRPr="00D52E96">
        <w:t>Hypothesis: High archaeal amoA sites are spatially followed by neighboring sites with higher nosZ (N</w:t>
      </w:r>
      <w:r w:rsidRPr="00D52E96">
        <w:rPr>
          <w:rFonts w:ascii="Cambria Math" w:hAnsi="Cambria Math" w:cs="Cambria Math"/>
        </w:rPr>
        <w:t>₂</w:t>
      </w:r>
      <w:r w:rsidRPr="00D52E96">
        <w:t>O sink), indicating spatial complementarity of nitrification and consumption.</w:t>
      </w:r>
    </w:p>
    <w:p w14:paraId="590A74A1" w14:textId="77777777" w:rsidR="00D52E96" w:rsidRDefault="00D52E96" w:rsidP="00F57813">
      <w:pPr>
        <w:rPr>
          <w:bCs/>
        </w:rPr>
      </w:pPr>
    </w:p>
    <w:p w14:paraId="5338ADD6" w14:textId="77777777" w:rsidR="006B79A4" w:rsidRDefault="006B79A4" w:rsidP="00F57813">
      <w:pPr>
        <w:rPr>
          <w:bCs/>
        </w:rPr>
      </w:pPr>
    </w:p>
    <w:p w14:paraId="6A8637A8" w14:textId="0DCC6F24" w:rsidR="006B79A4" w:rsidRPr="00E026B2" w:rsidRDefault="00676690" w:rsidP="00E026B2">
      <w:pPr>
        <w:pStyle w:val="ListParagraph"/>
        <w:numPr>
          <w:ilvl w:val="0"/>
          <w:numId w:val="3"/>
        </w:numPr>
        <w:rPr>
          <w:bCs/>
        </w:rPr>
      </w:pPr>
      <w:r w:rsidRPr="00E026B2">
        <w:rPr>
          <w:bCs/>
        </w:rPr>
        <w:t>Does the balance between nitrifiers and denitrifiers, measured as the ratio of archaeal amoA to nosZ gene abundance, improve prediction of N</w:t>
      </w:r>
      <w:r w:rsidRPr="00E026B2">
        <w:rPr>
          <w:rFonts w:ascii="Cambria Math" w:hAnsi="Cambria Math" w:cs="Cambria Math"/>
          <w:bCs/>
        </w:rPr>
        <w:t>₂</w:t>
      </w:r>
      <w:r w:rsidRPr="00E026B2">
        <w:rPr>
          <w:bCs/>
        </w:rPr>
        <w:t>O emissions across global wetland soils when combined with climate, soil, and land-use factors?</w:t>
      </w:r>
    </w:p>
    <w:p w14:paraId="29AE9E28" w14:textId="77777777" w:rsidR="003C06B1" w:rsidRDefault="003C06B1" w:rsidP="00F57813">
      <w:pPr>
        <w:rPr>
          <w:bCs/>
        </w:rPr>
      </w:pPr>
    </w:p>
    <w:p w14:paraId="27DF4662" w14:textId="080A51FC" w:rsidR="00E64B42" w:rsidRPr="00170C00" w:rsidRDefault="00E64B42" w:rsidP="00170C00">
      <w:pPr>
        <w:pStyle w:val="ListParagraph"/>
        <w:numPr>
          <w:ilvl w:val="0"/>
          <w:numId w:val="3"/>
        </w:numPr>
        <w:rPr>
          <w:bCs/>
          <w:i/>
          <w:iCs/>
        </w:rPr>
      </w:pPr>
      <w:r w:rsidRPr="00170C00">
        <w:rPr>
          <w:bCs/>
          <w:i/>
          <w:iCs/>
        </w:rPr>
        <w:t>Does the predictive power of the amoA:nosZ ratio vary across spatial or environmental gradients (e.g., latitude, temperature, or land-use intensity)?</w:t>
      </w:r>
    </w:p>
    <w:p w14:paraId="3B9BDFD7" w14:textId="77777777" w:rsidR="00E64B42" w:rsidRPr="00E64B42" w:rsidRDefault="00E64B42" w:rsidP="00E64B42">
      <w:pPr>
        <w:numPr>
          <w:ilvl w:val="0"/>
          <w:numId w:val="1"/>
        </w:numPr>
        <w:rPr>
          <w:bCs/>
        </w:rPr>
      </w:pPr>
      <w:r w:rsidRPr="00E64B42">
        <w:rPr>
          <w:b/>
          <w:bCs/>
        </w:rPr>
        <w:t>H</w:t>
      </w:r>
      <w:r w:rsidRPr="00E64B42">
        <w:rPr>
          <w:rFonts w:ascii="Cambria Math" w:hAnsi="Cambria Math" w:cs="Cambria Math"/>
          <w:b/>
          <w:bCs/>
        </w:rPr>
        <w:t>₀</w:t>
      </w:r>
      <w:r w:rsidRPr="00E64B42">
        <w:rPr>
          <w:b/>
          <w:bCs/>
        </w:rPr>
        <w:t xml:space="preserve"> (Null):</w:t>
      </w:r>
      <w:r w:rsidRPr="00E64B42">
        <w:rPr>
          <w:bCs/>
        </w:rPr>
        <w:t xml:space="preserve"> The relationship between the amoA:nosZ ratio and N</w:t>
      </w:r>
      <w:r w:rsidRPr="00E64B42">
        <w:rPr>
          <w:rFonts w:ascii="Cambria Math" w:hAnsi="Cambria Math" w:cs="Cambria Math"/>
          <w:bCs/>
        </w:rPr>
        <w:t>₂</w:t>
      </w:r>
      <w:r w:rsidRPr="00E64B42">
        <w:rPr>
          <w:bCs/>
        </w:rPr>
        <w:t>O emissions is consistent across spatial and environmental contexts.</w:t>
      </w:r>
    </w:p>
    <w:p w14:paraId="65E70475" w14:textId="77777777" w:rsidR="00E64B42" w:rsidRPr="00E64B42" w:rsidRDefault="00E64B42" w:rsidP="00E64B42">
      <w:pPr>
        <w:numPr>
          <w:ilvl w:val="0"/>
          <w:numId w:val="1"/>
        </w:numPr>
        <w:rPr>
          <w:bCs/>
        </w:rPr>
      </w:pPr>
      <w:r w:rsidRPr="00E64B42">
        <w:rPr>
          <w:b/>
          <w:bCs/>
        </w:rPr>
        <w:t>H</w:t>
      </w:r>
      <w:r w:rsidRPr="00E64B42">
        <w:rPr>
          <w:rFonts w:ascii="Cambria Math" w:hAnsi="Cambria Math" w:cs="Cambria Math"/>
          <w:b/>
          <w:bCs/>
        </w:rPr>
        <w:t>₁</w:t>
      </w:r>
      <w:r w:rsidRPr="00E64B42">
        <w:rPr>
          <w:b/>
          <w:bCs/>
        </w:rPr>
        <w:t xml:space="preserve"> (Alternative):</w:t>
      </w:r>
      <w:r w:rsidRPr="00E64B42">
        <w:rPr>
          <w:bCs/>
        </w:rPr>
        <w:t xml:space="preserve"> The strength and direction of the amoA:nosZ–N</w:t>
      </w:r>
      <w:r w:rsidRPr="00E64B42">
        <w:rPr>
          <w:rFonts w:ascii="Cambria Math" w:hAnsi="Cambria Math" w:cs="Cambria Math"/>
          <w:bCs/>
        </w:rPr>
        <w:t>₂</w:t>
      </w:r>
      <w:r w:rsidRPr="00E64B42">
        <w:rPr>
          <w:bCs/>
        </w:rPr>
        <w:t>O relationship vary spatially, with stronger effects in warmer, drained, or intensively used wetlands.</w:t>
      </w:r>
    </w:p>
    <w:p w14:paraId="24603D8A" w14:textId="77777777" w:rsidR="00AF3FC6" w:rsidRPr="00AF3FC6" w:rsidRDefault="00AF3FC6" w:rsidP="00AF3FC6">
      <w:pPr>
        <w:rPr>
          <w:b/>
          <w:bCs/>
        </w:rPr>
      </w:pPr>
      <w:r w:rsidRPr="00AF3FC6">
        <w:rPr>
          <w:b/>
          <w:bCs/>
        </w:rPr>
        <w:t>Task 1 — Quantify the added explanatory power of microbial genes</w:t>
      </w:r>
    </w:p>
    <w:p w14:paraId="1B25AA88" w14:textId="77777777" w:rsidR="00AF3FC6" w:rsidRPr="00AF3FC6" w:rsidRDefault="00AF3FC6" w:rsidP="00AF3FC6">
      <w:pPr>
        <w:rPr>
          <w:bCs/>
        </w:rPr>
      </w:pPr>
      <w:r w:rsidRPr="00AF3FC6">
        <w:rPr>
          <w:b/>
          <w:bCs/>
        </w:rPr>
        <w:t>Objective:</w:t>
      </w:r>
      <w:r w:rsidRPr="00AF3FC6">
        <w:rPr>
          <w:bCs/>
        </w:rPr>
        <w:t xml:space="preserve"> Assess how much spatial variation in N</w:t>
      </w:r>
      <w:r w:rsidRPr="00AF3FC6">
        <w:rPr>
          <w:rFonts w:ascii="Cambria Math" w:hAnsi="Cambria Math" w:cs="Cambria Math"/>
          <w:bCs/>
        </w:rPr>
        <w:t>₂</w:t>
      </w:r>
      <w:r w:rsidRPr="00AF3FC6">
        <w:rPr>
          <w:bCs/>
        </w:rPr>
        <w:t>O emissions is explained by microbial functional genes (amoA, nir, nosZ, and gene diversity) beyond climate, soil, and land-use factors.</w:t>
      </w:r>
    </w:p>
    <w:p w14:paraId="0F0BDD41" w14:textId="77777777" w:rsidR="00AF3FC6" w:rsidRPr="00AF3FC6" w:rsidRDefault="00AF3FC6" w:rsidP="00AF3FC6">
      <w:pPr>
        <w:numPr>
          <w:ilvl w:val="0"/>
          <w:numId w:val="4"/>
        </w:numPr>
        <w:rPr>
          <w:bCs/>
        </w:rPr>
      </w:pPr>
      <w:r w:rsidRPr="00AF3FC6">
        <w:rPr>
          <w:b/>
          <w:bCs/>
        </w:rPr>
        <w:t>Hypothesis:</w:t>
      </w:r>
      <w:r w:rsidRPr="00AF3FC6">
        <w:rPr>
          <w:bCs/>
        </w:rPr>
        <w:t xml:space="preserve"> Microbial functional genes uniquely explain a significant portion of N</w:t>
      </w:r>
      <w:r w:rsidRPr="00AF3FC6">
        <w:rPr>
          <w:rFonts w:ascii="Cambria Math" w:hAnsi="Cambria Math" w:cs="Cambria Math"/>
          <w:bCs/>
        </w:rPr>
        <w:t>₂</w:t>
      </w:r>
      <w:r w:rsidRPr="00AF3FC6">
        <w:rPr>
          <w:bCs/>
        </w:rPr>
        <w:t>O spatial variance not captured by environmental factors alone.</w:t>
      </w:r>
    </w:p>
    <w:p w14:paraId="5533C2C8" w14:textId="77777777" w:rsidR="00AF3FC6" w:rsidRPr="00AF3FC6" w:rsidRDefault="00AF3FC6" w:rsidP="00AF3FC6">
      <w:pPr>
        <w:numPr>
          <w:ilvl w:val="0"/>
          <w:numId w:val="4"/>
        </w:numPr>
        <w:rPr>
          <w:bCs/>
        </w:rPr>
      </w:pPr>
      <w:r w:rsidRPr="00AF3FC6">
        <w:rPr>
          <w:b/>
          <w:bCs/>
        </w:rPr>
        <w:t>Approach:</w:t>
      </w:r>
      <w:r w:rsidRPr="00AF3FC6">
        <w:rPr>
          <w:bCs/>
        </w:rPr>
        <w:t xml:space="preserve"> Variance partitioning (e.g., hierarchical regression, spatial R² decomposition, or Moran’s Eigenvector Maps) to quantify unique vs shared contributions.</w:t>
      </w:r>
    </w:p>
    <w:p w14:paraId="4284828A" w14:textId="77777777" w:rsidR="003C06B1" w:rsidRPr="006B79A4" w:rsidRDefault="003C06B1" w:rsidP="00F57813">
      <w:pPr>
        <w:rPr>
          <w:bCs/>
        </w:rPr>
      </w:pPr>
    </w:p>
    <w:sectPr w:rsidR="003C06B1" w:rsidRPr="006B79A4">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C1D68" w14:textId="77777777" w:rsidR="004E2F96" w:rsidRDefault="004E2F96">
      <w:r>
        <w:separator/>
      </w:r>
    </w:p>
  </w:endnote>
  <w:endnote w:type="continuationSeparator" w:id="0">
    <w:p w14:paraId="5246C5B6" w14:textId="77777777" w:rsidR="004E2F96" w:rsidRDefault="004E2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875D3" w14:textId="77777777" w:rsidR="00681A52" w:rsidRDefault="00516F8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14875D4" w14:textId="77777777" w:rsidR="00681A52" w:rsidRDefault="00681A5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875D5" w14:textId="77777777" w:rsidR="00681A52" w:rsidRDefault="00516F8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14875D6" w14:textId="77777777" w:rsidR="00681A52" w:rsidRDefault="00681A5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19CAC" w14:textId="77777777" w:rsidR="004E2F96" w:rsidRDefault="004E2F96">
      <w:r>
        <w:separator/>
      </w:r>
    </w:p>
  </w:footnote>
  <w:footnote w:type="continuationSeparator" w:id="0">
    <w:p w14:paraId="54706BD9" w14:textId="77777777" w:rsidR="004E2F96" w:rsidRDefault="004E2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875D2" w14:textId="5696B11D" w:rsidR="00681A52" w:rsidRDefault="00BA685D">
    <w:pPr>
      <w:pBdr>
        <w:top w:val="nil"/>
        <w:left w:val="nil"/>
        <w:bottom w:val="nil"/>
        <w:right w:val="nil"/>
        <w:between w:val="nil"/>
      </w:pBdr>
      <w:tabs>
        <w:tab w:val="center" w:pos="4680"/>
        <w:tab w:val="right" w:pos="9360"/>
      </w:tabs>
      <w:rPr>
        <w:color w:val="000000"/>
      </w:rPr>
    </w:pPr>
    <w:r>
      <w:t>Hope Dermott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E7F7C"/>
    <w:multiLevelType w:val="hybridMultilevel"/>
    <w:tmpl w:val="65304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172AC"/>
    <w:multiLevelType w:val="multilevel"/>
    <w:tmpl w:val="2686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F1AE9"/>
    <w:multiLevelType w:val="multilevel"/>
    <w:tmpl w:val="0E8A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D6536"/>
    <w:multiLevelType w:val="multilevel"/>
    <w:tmpl w:val="0D1E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822C9"/>
    <w:multiLevelType w:val="hybridMultilevel"/>
    <w:tmpl w:val="D2324442"/>
    <w:lvl w:ilvl="0" w:tplc="9B048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23E36"/>
    <w:multiLevelType w:val="multilevel"/>
    <w:tmpl w:val="CB7A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448877">
    <w:abstractNumId w:val="5"/>
  </w:num>
  <w:num w:numId="2" w16cid:durableId="1806773047">
    <w:abstractNumId w:val="2"/>
  </w:num>
  <w:num w:numId="3" w16cid:durableId="101462540">
    <w:abstractNumId w:val="0"/>
  </w:num>
  <w:num w:numId="4" w16cid:durableId="686492880">
    <w:abstractNumId w:val="3"/>
  </w:num>
  <w:num w:numId="5" w16cid:durableId="314459824">
    <w:abstractNumId w:val="1"/>
  </w:num>
  <w:num w:numId="6" w16cid:durableId="13783533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A52"/>
    <w:rsid w:val="00001942"/>
    <w:rsid w:val="00046872"/>
    <w:rsid w:val="000502AE"/>
    <w:rsid w:val="00074AA4"/>
    <w:rsid w:val="00096730"/>
    <w:rsid w:val="000A1496"/>
    <w:rsid w:val="000D6717"/>
    <w:rsid w:val="000E1911"/>
    <w:rsid w:val="000E793C"/>
    <w:rsid w:val="000F3278"/>
    <w:rsid w:val="0012122E"/>
    <w:rsid w:val="00152FC3"/>
    <w:rsid w:val="00170C00"/>
    <w:rsid w:val="001762A8"/>
    <w:rsid w:val="00186422"/>
    <w:rsid w:val="001B7482"/>
    <w:rsid w:val="001D3A3B"/>
    <w:rsid w:val="001E3103"/>
    <w:rsid w:val="002076E1"/>
    <w:rsid w:val="00235BBC"/>
    <w:rsid w:val="00250F19"/>
    <w:rsid w:val="0025155A"/>
    <w:rsid w:val="00277472"/>
    <w:rsid w:val="00287D78"/>
    <w:rsid w:val="002A0E85"/>
    <w:rsid w:val="002A3039"/>
    <w:rsid w:val="002B24CA"/>
    <w:rsid w:val="002C0115"/>
    <w:rsid w:val="002D338A"/>
    <w:rsid w:val="002E6C1B"/>
    <w:rsid w:val="00306457"/>
    <w:rsid w:val="00311C59"/>
    <w:rsid w:val="00320A15"/>
    <w:rsid w:val="00357BCB"/>
    <w:rsid w:val="00362775"/>
    <w:rsid w:val="003730B5"/>
    <w:rsid w:val="00383D2D"/>
    <w:rsid w:val="003C06B1"/>
    <w:rsid w:val="003D0310"/>
    <w:rsid w:val="00416F49"/>
    <w:rsid w:val="00427888"/>
    <w:rsid w:val="0045476E"/>
    <w:rsid w:val="00465D3D"/>
    <w:rsid w:val="00466FF0"/>
    <w:rsid w:val="00484A3C"/>
    <w:rsid w:val="00490B66"/>
    <w:rsid w:val="004E2F96"/>
    <w:rsid w:val="004E3183"/>
    <w:rsid w:val="004E4014"/>
    <w:rsid w:val="004F19A3"/>
    <w:rsid w:val="00516F85"/>
    <w:rsid w:val="00517EF2"/>
    <w:rsid w:val="005355AA"/>
    <w:rsid w:val="005427FF"/>
    <w:rsid w:val="00543FA0"/>
    <w:rsid w:val="00554629"/>
    <w:rsid w:val="0055798A"/>
    <w:rsid w:val="005A2E9D"/>
    <w:rsid w:val="005C25D4"/>
    <w:rsid w:val="005D46BF"/>
    <w:rsid w:val="00632658"/>
    <w:rsid w:val="00671144"/>
    <w:rsid w:val="00673AA9"/>
    <w:rsid w:val="00676690"/>
    <w:rsid w:val="00681A52"/>
    <w:rsid w:val="00690FB2"/>
    <w:rsid w:val="00696919"/>
    <w:rsid w:val="006B79A4"/>
    <w:rsid w:val="006C1B73"/>
    <w:rsid w:val="006C2439"/>
    <w:rsid w:val="006D1717"/>
    <w:rsid w:val="006E0734"/>
    <w:rsid w:val="006E6A9F"/>
    <w:rsid w:val="006F22A6"/>
    <w:rsid w:val="007112CA"/>
    <w:rsid w:val="00730965"/>
    <w:rsid w:val="007602B0"/>
    <w:rsid w:val="00781839"/>
    <w:rsid w:val="0078212A"/>
    <w:rsid w:val="00797CF5"/>
    <w:rsid w:val="007A2A91"/>
    <w:rsid w:val="007B2B23"/>
    <w:rsid w:val="007B6622"/>
    <w:rsid w:val="007C0C60"/>
    <w:rsid w:val="007E405D"/>
    <w:rsid w:val="0080636D"/>
    <w:rsid w:val="00820DE9"/>
    <w:rsid w:val="00822AFA"/>
    <w:rsid w:val="008309EF"/>
    <w:rsid w:val="00853476"/>
    <w:rsid w:val="008561FB"/>
    <w:rsid w:val="0086677B"/>
    <w:rsid w:val="008725C6"/>
    <w:rsid w:val="00885FA9"/>
    <w:rsid w:val="008F2B8E"/>
    <w:rsid w:val="009066F6"/>
    <w:rsid w:val="009115F1"/>
    <w:rsid w:val="009176B8"/>
    <w:rsid w:val="00961F36"/>
    <w:rsid w:val="009643FE"/>
    <w:rsid w:val="00981628"/>
    <w:rsid w:val="00991003"/>
    <w:rsid w:val="009C6E9C"/>
    <w:rsid w:val="009F6EC8"/>
    <w:rsid w:val="00A654E3"/>
    <w:rsid w:val="00A77261"/>
    <w:rsid w:val="00AB427F"/>
    <w:rsid w:val="00AD4117"/>
    <w:rsid w:val="00AD504F"/>
    <w:rsid w:val="00AF2214"/>
    <w:rsid w:val="00AF3FC6"/>
    <w:rsid w:val="00AF5399"/>
    <w:rsid w:val="00B163D3"/>
    <w:rsid w:val="00B16B69"/>
    <w:rsid w:val="00B50F5A"/>
    <w:rsid w:val="00B62737"/>
    <w:rsid w:val="00B63086"/>
    <w:rsid w:val="00B64352"/>
    <w:rsid w:val="00B75974"/>
    <w:rsid w:val="00B8367B"/>
    <w:rsid w:val="00B961E7"/>
    <w:rsid w:val="00B97504"/>
    <w:rsid w:val="00BA685D"/>
    <w:rsid w:val="00BB65EC"/>
    <w:rsid w:val="00BB6A5B"/>
    <w:rsid w:val="00BC4C6C"/>
    <w:rsid w:val="00BD4A66"/>
    <w:rsid w:val="00C2330E"/>
    <w:rsid w:val="00C40FCC"/>
    <w:rsid w:val="00C803C2"/>
    <w:rsid w:val="00C81C4C"/>
    <w:rsid w:val="00CA7E66"/>
    <w:rsid w:val="00CB0F2E"/>
    <w:rsid w:val="00CB1810"/>
    <w:rsid w:val="00CE3099"/>
    <w:rsid w:val="00CF6C63"/>
    <w:rsid w:val="00D178B7"/>
    <w:rsid w:val="00D26D91"/>
    <w:rsid w:val="00D42093"/>
    <w:rsid w:val="00D42C41"/>
    <w:rsid w:val="00D473C1"/>
    <w:rsid w:val="00D52E96"/>
    <w:rsid w:val="00D57453"/>
    <w:rsid w:val="00D62B66"/>
    <w:rsid w:val="00D707C2"/>
    <w:rsid w:val="00D764F1"/>
    <w:rsid w:val="00DA5780"/>
    <w:rsid w:val="00DA6481"/>
    <w:rsid w:val="00DC094A"/>
    <w:rsid w:val="00DE35CD"/>
    <w:rsid w:val="00E026B2"/>
    <w:rsid w:val="00E07D84"/>
    <w:rsid w:val="00E34AA8"/>
    <w:rsid w:val="00E40C19"/>
    <w:rsid w:val="00E63036"/>
    <w:rsid w:val="00E64B42"/>
    <w:rsid w:val="00E849CF"/>
    <w:rsid w:val="00EA3484"/>
    <w:rsid w:val="00EB009E"/>
    <w:rsid w:val="00EB26F2"/>
    <w:rsid w:val="00ED0AAF"/>
    <w:rsid w:val="00F05AF2"/>
    <w:rsid w:val="00F57813"/>
    <w:rsid w:val="00F614DF"/>
    <w:rsid w:val="00F71458"/>
    <w:rsid w:val="00F76EEC"/>
    <w:rsid w:val="00F87AB1"/>
    <w:rsid w:val="00FA6201"/>
    <w:rsid w:val="00FC784E"/>
    <w:rsid w:val="00FF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75AE"/>
  <w15:docId w15:val="{CCFF3C65-925D-478D-B884-F6DD8BB4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jc w:val="center"/>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after="60"/>
      <w:outlineLvl w:val="1"/>
    </w:pPr>
    <w:rPr>
      <w:b/>
      <w:smallCaps/>
      <w:sz w:val="26"/>
      <w:szCs w:val="26"/>
    </w:rPr>
  </w:style>
  <w:style w:type="paragraph" w:styleId="Heading3">
    <w:name w:val="heading 3"/>
    <w:basedOn w:val="Normal"/>
    <w:next w:val="Normal"/>
    <w:uiPriority w:val="9"/>
    <w:unhideWhenUsed/>
    <w:qFormat/>
    <w:pPr>
      <w:keepNext/>
      <w:keepLines/>
      <w:spacing w:before="40"/>
      <w:outlineLvl w:val="2"/>
    </w:pPr>
    <w:rPr>
      <w:b/>
      <w:i/>
      <w:sz w:val="24"/>
      <w:szCs w:val="24"/>
    </w:rPr>
  </w:style>
  <w:style w:type="paragraph" w:styleId="Heading4">
    <w:name w:val="heading 4"/>
    <w:basedOn w:val="Normal"/>
    <w:next w:val="Normal"/>
    <w:uiPriority w:val="9"/>
    <w:semiHidden/>
    <w:unhideWhenUsed/>
    <w:qFormat/>
    <w:pPr>
      <w:keepNext/>
      <w:keepLines/>
      <w:spacing w:before="40"/>
      <w:outlineLvl w:val="3"/>
    </w:pPr>
    <w:rPr>
      <w:u w:val="singl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26B2"/>
    <w:pPr>
      <w:ind w:left="720"/>
      <w:contextualSpacing/>
    </w:pPr>
  </w:style>
  <w:style w:type="paragraph" w:styleId="Header">
    <w:name w:val="header"/>
    <w:basedOn w:val="Normal"/>
    <w:link w:val="HeaderChar"/>
    <w:uiPriority w:val="99"/>
    <w:unhideWhenUsed/>
    <w:rsid w:val="00BA685D"/>
    <w:pPr>
      <w:tabs>
        <w:tab w:val="center" w:pos="4680"/>
        <w:tab w:val="right" w:pos="9360"/>
      </w:tabs>
    </w:pPr>
  </w:style>
  <w:style w:type="character" w:customStyle="1" w:styleId="HeaderChar">
    <w:name w:val="Header Char"/>
    <w:basedOn w:val="DefaultParagraphFont"/>
    <w:link w:val="Header"/>
    <w:uiPriority w:val="99"/>
    <w:rsid w:val="00BA685D"/>
  </w:style>
  <w:style w:type="paragraph" w:styleId="Footer">
    <w:name w:val="footer"/>
    <w:basedOn w:val="Normal"/>
    <w:link w:val="FooterChar"/>
    <w:uiPriority w:val="99"/>
    <w:unhideWhenUsed/>
    <w:rsid w:val="00BA685D"/>
    <w:pPr>
      <w:tabs>
        <w:tab w:val="center" w:pos="4680"/>
        <w:tab w:val="right" w:pos="9360"/>
      </w:tabs>
    </w:pPr>
  </w:style>
  <w:style w:type="character" w:customStyle="1" w:styleId="FooterChar">
    <w:name w:val="Footer Char"/>
    <w:basedOn w:val="DefaultParagraphFont"/>
    <w:link w:val="Footer"/>
    <w:uiPriority w:val="99"/>
    <w:rsid w:val="00BA685D"/>
  </w:style>
  <w:style w:type="character" w:styleId="Hyperlink">
    <w:name w:val="Hyperlink"/>
    <w:basedOn w:val="DefaultParagraphFont"/>
    <w:uiPriority w:val="99"/>
    <w:unhideWhenUsed/>
    <w:rsid w:val="008F2B8E"/>
    <w:rPr>
      <w:color w:val="0000FF" w:themeColor="hyperlink"/>
      <w:u w:val="single"/>
    </w:rPr>
  </w:style>
  <w:style w:type="character" w:styleId="UnresolvedMention">
    <w:name w:val="Unresolved Mention"/>
    <w:basedOn w:val="DefaultParagraphFont"/>
    <w:uiPriority w:val="99"/>
    <w:semiHidden/>
    <w:unhideWhenUsed/>
    <w:rsid w:val="008F2B8E"/>
    <w:rPr>
      <w:color w:val="605E5C"/>
      <w:shd w:val="clear" w:color="auto" w:fill="E1DFDD"/>
    </w:rPr>
  </w:style>
  <w:style w:type="character" w:styleId="PlaceholderText">
    <w:name w:val="Placeholder Text"/>
    <w:basedOn w:val="DefaultParagraphFont"/>
    <w:uiPriority w:val="99"/>
    <w:semiHidden/>
    <w:rsid w:val="006711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38/s41467-022-2916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4</Pages>
  <Words>1353</Words>
  <Characters>7715</Characters>
  <Application>Microsoft Office Word</Application>
  <DocSecurity>0</DocSecurity>
  <Lines>64</Lines>
  <Paragraphs>18</Paragraphs>
  <ScaleCrop>false</ScaleCrop>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Dermott, Hope</dc:creator>
  <cp:lastModifiedBy>Dermott, Hope</cp:lastModifiedBy>
  <cp:revision>165</cp:revision>
  <dcterms:created xsi:type="dcterms:W3CDTF">2025-08-28T22:58:00Z</dcterms:created>
  <dcterms:modified xsi:type="dcterms:W3CDTF">2025-09-14T19:14:00Z</dcterms:modified>
</cp:coreProperties>
</file>