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好的，作为专业的报告撰写专家，我已根据您提供的素材，整合并撰写了以下《2024Q4市场分析报告》。</w:t>
      </w:r>
    </w:p>
    <w:p>
      <w:r>
        <w:t>---</w:t>
      </w:r>
    </w:p>
    <w:p>
      <w:pPr>
        <w:pStyle w:val="Heading1"/>
      </w:pPr>
      <w:r>
        <w:t>2024年第四季度市场分析报告</w:t>
      </w:r>
    </w:p>
    <w:p>
      <w:pPr>
        <w:pStyle w:val="Heading2"/>
      </w:pPr>
      <w:r>
        <w:t>摘要</w:t>
      </w:r>
    </w:p>
    <w:p>
      <w:r>
        <w:t>本报告基于2024年第四季度的市场动态，从宏观经济、关键行业及区域市场三个维度进行分析。全球经济增长呈现分化态势，主要央行货币政策转向宽松。在科技领域，人工智能从基础设施投入向应用变现的转折期特点尤为突出，半导体行业则受益于AI需求而结构性复苏。能源市场在需求疲软与地缘政治风险之间博弈。与此同时，中国正通过密集的政策组合拳寻求经济“破局”，其效果是Q4市场关注的核心。本报告旨在为决策者提供一个清晰、客观的市场环境概览。</w:t>
      </w:r>
    </w:p>
    <w:p>
      <w:pPr>
        <w:pStyle w:val="Heading2"/>
      </w:pPr>
      <w:r>
        <w:t>一、宏观经济总览：增长分化与政策转向</w:t>
      </w:r>
    </w:p>
    <w:p>
      <w:r>
        <w:t>2024年第四季度，全球经济延续了增长分化的格局，主要经济体表现不一。同时，货币政策出现关键转折，全球流动性环境边际改善。</w:t>
      </w:r>
    </w:p>
    <w:p>
      <w:r>
        <w:t>| 经济体 | 经济表现 | 政策动向 |</w:t>
      </w:r>
    </w:p>
    <w:p>
      <w:r>
        <w:t>| :--- | :--- | :--- |</w:t>
      </w:r>
    </w:p>
    <w:p>
      <w:r>
        <w:t>| **美国** | 受强劲消费支出支撑，经济表现超预期韧性。 | 美联储于9月降息50个基点后，市场预期Q4继续降息，但节奏趋于温和，政策焦点从“抗通胀”转向“稳就业”。 |</w:t>
      </w:r>
    </w:p>
    <w:p>
      <w:r>
        <w:t>| **欧元区** | 制造业持续疲软，能源成本高企，经济增长近乎停滞。 | 欧央行10月继续降息，并暗示可能加快宽松步伐。 |</w:t>
      </w:r>
    </w:p>
    <w:p>
      <w:r>
        <w:t>| **中国** | 政策刺激下显现企稳迹象，但房地产调整和内需不足仍是主要拖累。 | 推出超预期宽松政策组合拳，旨在扭转通缩预期，提振市场信心。 |</w:t>
      </w:r>
    </w:p>
    <w:p>
      <w:r>
        <w:t>*   **数据来源**：IMF 2024年10月《世界经济展望》、OECD 2024年9月中期经济展望、美联储2024年9月议息会议纪要、欧央行2024年10月货币政策声明。</w:t>
      </w:r>
    </w:p>
    <w:p>
      <w:pPr>
        <w:pStyle w:val="Heading2"/>
      </w:pPr>
      <w:r>
        <w:t>二、关键行业洞察：技术、制造与能源</w:t>
      </w:r>
    </w:p>
    <w:p>
      <w:pPr>
        <w:pStyle w:val="Heading3"/>
      </w:pPr>
      <w:r>
        <w:t>2.1 人工智能：从基础设施到应用落地的关键转折期</w:t>
      </w:r>
    </w:p>
    <w:p>
      <w:r>
        <w:t>人工智能行业在Q4呈现出“资本支出持续飙升”与“变现能力成为核心考核”的双重特征。</w:t>
      </w:r>
    </w:p>
    <w:p>
      <w:r>
        <w:t>*   **资本支出持续飙升**：微软、谷歌、亚马逊等科技巨头在AI云基础设施上的资本支出合计预计突破600亿美元，同比增长超50%。英伟达Blackwell GPU的量产交付成为市场焦点。</w:t>
      </w:r>
    </w:p>
    <w:p>
      <w:r>
        <w:t>*   **应用落地成为核心考核**：市场关注点从模型训练转向应用变现。AI助手（如Microsoft 365 Copilot）的用户增长与付费转化率，以及AI对云业务收入的拉动作用，成为评估科技公司价值的关键指标。</w:t>
      </w:r>
    </w:p>
    <w:p>
      <w:r>
        <w:t>*   **大模型市场格局**：</w:t>
      </w:r>
    </w:p>
    <w:p>
      <w:r>
        <w:t>*   **规模**：2024年全球大模型市场规模预计突破200亿美元，季度环比增长约15%。</w:t>
      </w:r>
    </w:p>
    <w:p>
      <w:r>
        <w:t>*   **驱动**：企业级AI应用加速落地，推理成本下降推动规模化部署。</w:t>
      </w:r>
    </w:p>
    <w:p>
      <w:r>
        <w:t>*   **区域**：北美占主导（约55%份额），亚太地区增速最快（QoQ +20%）。</w:t>
      </w:r>
    </w:p>
    <w:p>
      <w:r>
        <w:t>*   **竞争**：OpenAI、Google、Anthropic、Meta等头部玩家格局稳定。开源模型（如Llama系列）份额提升，国内百度文心、字节豆包、阿里通义千问、腾讯混元等竞相发展。</w:t>
      </w:r>
    </w:p>
    <w:p>
      <w:r>
        <w:t>*   **关键变量**：多模态能力、长上下文窗口（200k+ tokens）、Agent协作框架成为技术突破方向。欧盟《AI法案》正式生效，中国发布相关标识办法，政策法规环境日趋完善。</w:t>
      </w:r>
    </w:p>
    <w:p>
      <w:r>
        <w:t>*   **数据来源**：高盛2024年10月《AI：基础设施阶段持续》、IDC全球AI支出指南。</w:t>
      </w:r>
    </w:p>
    <w:p>
      <w:pPr>
        <w:pStyle w:val="Heading3"/>
      </w:pPr>
      <w:r>
        <w:t>2.2 全球半导体行业延续结构性复苏</w:t>
      </w:r>
    </w:p>
    <w:p>
      <w:r>
        <w:t>半导体行业复苏呈现结构性分化态势，AI需求是核心驱动力。</w:t>
      </w:r>
    </w:p>
    <w:p>
      <w:r>
        <w:t>*   **内存芯片景气度最高**：AI服务器对高带宽内存（HBM）的需求呈爆炸性增长，预计三星、SK海力士Q4利润创新高。传统NAND/DRAM的复苏则相对温和。</w:t>
      </w:r>
    </w:p>
    <w:p>
      <w:r>
        <w:t>*   **汽车与工业芯片库存调整近尾声**：模拟芯片、功率半导体（如德州仪器、英飞凌）订单逐步回暖，但下游终端需求的强度仍存在不确定性。</w:t>
      </w:r>
    </w:p>
    <w:p>
      <w:r>
        <w:t>*   **数据来源**：WSTS 2024年秋季预测、TrendForce存储芯片分析。</w:t>
      </w:r>
    </w:p>
    <w:p>
      <w:pPr>
        <w:pStyle w:val="Heading3"/>
      </w:pPr>
      <w:r>
        <w:t>2.3 能源市场聚焦能源安全与结构性紧张</w:t>
      </w:r>
    </w:p>
    <w:p>
      <w:r>
        <w:t>能源市场在Q4呈现出油价承压与清洁能源结构性增长并存的局面。</w:t>
      </w:r>
    </w:p>
    <w:p>
      <w:r>
        <w:t>*   **油价：承压但地缘政治溢价犹存**。需求侧（尤其中国）增长乏力，OPEC+减产已被消化，布伦特油价预计维持在75-85美元/桶区间。然而，中东局势持续推升上行风险。</w:t>
      </w:r>
    </w:p>
    <w:p>
      <w:r>
        <w:t>*   **清洁能源：投资增速放缓但结构性优势不变**。高利率环境下部分项目融资成本上升，但电动汽车、电池储能系统（BESS）等领域的商业经济性持续增强。</w:t>
      </w:r>
    </w:p>
    <w:p>
      <w:r>
        <w:t>*   **数据来源**：IEA 2024年10月《世界能源展望》、EIA 2024年10月短期能源展望。</w:t>
      </w:r>
    </w:p>
    <w:p>
      <w:pPr>
        <w:pStyle w:val="Heading2"/>
      </w:pPr>
      <w:r>
        <w:t>三、区域与市场焦点：中国寻求“破局”之道</w:t>
      </w:r>
    </w:p>
    <w:p>
      <w:r>
        <w:t>2024年第四季度，中国成为全球市场关注的焦点，其政策组合拳的效果备受瞩目。</w:t>
      </w:r>
    </w:p>
    <w:p>
      <w:r>
        <w:t>*   **政策密集发力**：自2024年9月底以来，央行、金融监管总局等部委出台了一系列超预期的货币宽松、房地产支持及资本市场稳定政策，旨在扭转通缩预期，提振市场信心。</w:t>
      </w:r>
    </w:p>
    <w:p>
      <w:r>
        <w:t>*   **市场反应与持续性观察**：受此影响，A股和港股市场经历了短暂的脉冲式反弹，但随后进入震荡盘整。Q4的关键在于，这些政策能否有效传导至实体经济，带来信贷需求、消费意愿和房地产销售数据的实质性改善。</w:t>
      </w:r>
    </w:p>
    <w:p>
      <w:r>
        <w:t>*   **数据来源**：中国人民银行2024年9月24日新闻发布会、国家统计局Q3数据。</w:t>
      </w:r>
    </w:p>
    <w:p>
      <w:pPr>
        <w:pStyle w:val="Heading2"/>
      </w:pPr>
      <w:r>
        <w:t>四、结论与展望</w:t>
      </w:r>
    </w:p>
    <w:p>
      <w:r>
        <w:t>2024年第四季度，市场正处于一个多重因素交织的复杂节点。全球宏观经济在增长分化和政策转向中寻找新的平衡。</w:t>
      </w:r>
    </w:p>
    <w:p>
      <w:r>
        <w:t>1.  **科技领域是主战场**：以AI为代表的科技行业正从“烧钱基建”阶段转向“商业变现”的关键考期，其成败将深刻影响未来市场估值和投资方向。半导体行业的复苏则高度依赖AI需求的持续性。</w:t>
      </w:r>
    </w:p>
    <w:p>
      <w:r>
        <w:t>2.  **宏观政策是催化剂**：全球主要央行的降息周期为市场提供了流动性支撑，但其效果在不同地区表现不一。中国能否通过积极的政策组合拳成功“破局”，将是影响新兴市场和全球风险偏好的关键变量。</w:t>
      </w:r>
    </w:p>
    <w:p>
      <w:r>
        <w:t>3.  **能源市场是风险源**：地缘政治冲突带来的能源供应风险持续存在，为全球经济复苏笼罩了一层不确定性。</w:t>
      </w:r>
    </w:p>
    <w:p>
      <w:r>
        <w:t>展望2025年第一季度，市场将密切关注AI应用商业化进展、各国政策效果的验证以及地缘政治局势的演变。企业需在把握技术趋势的同时，做好风险管控，以应对充满变数的市场环境。</w:t>
      </w:r>
    </w:p>
    <w:p>
      <w:r>
        <w:t>---</w:t>
      </w:r>
    </w:p>
    <w:p>
      <w:r>
        <w:t>*报告结束*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