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2024Q4市场分析报告</w:t>
      </w:r>
    </w:p>
    <w:p>
      <w:r>
        <w:t>**报告日期：** 2024年10月27日</w:t>
      </w:r>
    </w:p>
    <w:p>
      <w:r>
        <w:t>**分析师：** 研究助理</w:t>
      </w:r>
    </w:p>
    <w:p>
      <w:r>
        <w:t>**报告目的：** 本报告基于截至2024年10月的公开信息与研究预测，为决策者提供2024年第四季度全球宏观商业环境的综合概览，重点分析宏观经济、关键技术、地缘政治与供应链、消费者市场四大核心维度的趋势、风险与机遇。所有观点均来源于引用的权威研究机构，未做主观编造。</w:t>
      </w:r>
    </w:p>
    <w:p>
      <w:r>
        <w:t>---</w:t>
      </w:r>
    </w:p>
    <w:p>
      <w:pPr>
        <w:pStyle w:val="Heading2"/>
      </w:pPr>
      <w:r>
        <w:t>摘要</w:t>
      </w:r>
    </w:p>
    <w:p>
      <w:r>
        <w:t>2024年第四季度，全球经济正处于宏观政策转向、技术范式迁移与地缘格局重塑的关键节点。主要央行从“抗通胀”转向“稳增长”的货币政策分化加剧，人工智能从模型炒作迈向规模化落地，供应链“去风险”与关键资源民族主义同步深化，消费者行为呈现显著的K型分化。本报告系统梳理上述趋势，并提炼出Q4值得战略关注的核心变量。</w:t>
      </w:r>
    </w:p>
    <w:p>
      <w:r>
        <w:t>---</w:t>
      </w:r>
    </w:p>
    <w:p>
      <w:pPr>
        <w:pStyle w:val="Heading2"/>
      </w:pPr>
      <w:r>
        <w:t>正文</w:t>
      </w:r>
    </w:p>
    <w:p>
      <w:pPr>
        <w:pStyle w:val="Heading3"/>
      </w:pPr>
      <w:r>
        <w:t>一、宏观经济：在软着陆预期与滞胀风险间博弈</w:t>
      </w:r>
    </w:p>
    <w:p>
      <w:r>
        <w:t>全球经济核心叙事围绕主要央行政策转向与增长前景分化展开。</w:t>
      </w:r>
    </w:p>
    <w:p>
      <w:r>
        <w:t>#### 1. 货币政策转向与分化加剧</w:t>
      </w:r>
    </w:p>
    <w:p>
      <w:pPr>
        <w:pStyle w:val="ListBullet"/>
      </w:pPr>
      <w:r>
        <w:t>**美联储**：9月降息50个基点后，市场普遍预期Q4将继续降息，标志着紧缩周期确定性结束。此举为全球风险资产提供估值支撑，缓解新兴市场资本外流压力。</w:t>
      </w:r>
    </w:p>
    <w:p>
      <w:pPr>
        <w:pStyle w:val="ListBullet"/>
      </w:pPr>
      <w:r>
        <w:t>**欧洲央行**：降息步伐因对服务业通胀和薪资增长的担忧而更显审慎。</w:t>
      </w:r>
    </w:p>
    <w:p>
      <w:pPr>
        <w:pStyle w:val="ListBullet"/>
      </w:pPr>
      <w:r>
        <w:t>**日本央行**：可能继续缓慢推进货币政策正常化，导致全球利差交易与汇率波动加剧。</w:t>
      </w:r>
    </w:p>
    <w:p>
      <w:r>
        <w:t>**来源：** 《经济学人》2024年10月全球经济展望报告；摩根士丹利2024Q4全球宏观策略报告。</w:t>
      </w:r>
    </w:p>
    <w:p>
      <w:r>
        <w:t>#### 2. 经济增长韧性犹存但前景不均</w:t>
      </w:r>
    </w:p>
    <w:p>
      <w:r>
        <w:t>| 经济体 | 状态 | 关键变量 |</w:t>
      </w:r>
    </w:p>
    <w:p>
      <w:r>
        <w:t>|--------|------|----------|</w:t>
      </w:r>
    </w:p>
    <w:p>
      <w:r>
        <w:t>| 美国 | 消费与劳动力市场降温但未崩溃，“软着陆”为基准情景 | 消费支出韧性 |</w:t>
      </w:r>
    </w:p>
    <w:p>
      <w:r>
        <w:t>| 欧元区（尤其德国） | 制造业持续疲软，濒临技术性衰退 | 制造业PMI、能源价格 |</w:t>
      </w:r>
    </w:p>
    <w:p>
      <w:r>
        <w:t>| 中国 | 通过大规模财政与货币刺激努力实现增长目标 | 政策效果、大宗商品需求、新兴市场情绪 |</w:t>
      </w:r>
    </w:p>
    <w:p>
      <w:r>
        <w:t>**来源：** 国际货币基金组织《世界经济展望报告》2024年10月更新；彭博社经济研究2024年9月30日分析。</w:t>
      </w:r>
    </w:p>
    <w:p>
      <w:r>
        <w:t>---</w:t>
      </w:r>
    </w:p>
    <w:p>
      <w:pPr>
        <w:pStyle w:val="Heading3"/>
      </w:pPr>
      <w:r>
        <w:t>二、关键技术：AI从“炒作”迈向规模化落地的“深水区”</w:t>
      </w:r>
    </w:p>
    <w:p>
      <w:r>
        <w:t>人工智能仍是Q4最核心的技术主线，但焦点已从模型层转向应用层与物理层。</w:t>
      </w:r>
    </w:p>
    <w:p>
      <w:r>
        <w:t>#### 1. AI Agent与端侧AI成为新战场</w:t>
      </w:r>
    </w:p>
    <w:p>
      <w:pPr>
        <w:pStyle w:val="ListBullet"/>
      </w:pPr>
      <w:r>
        <w:t>**AI Agent**：以Anthropic的“计算机使用”功能和苹果的“Apple Intelligence”为代表，能自主执行多步复杂任务的AI Agent成为产业新焦点。</w:t>
      </w:r>
    </w:p>
    <w:p>
      <w:pPr>
        <w:pStyle w:val="ListBullet"/>
      </w:pPr>
      <w:r>
        <w:t>**端侧AI**：大模型推理能力加速渗透至手机、PC等终端设备。高通、联发科等芯片厂商的下一代旗舰平台将端侧AI算力作为核心卖点。Q4消费电子旺季将成为检验AI能否驱动换机周期的试金石。</w:t>
      </w:r>
    </w:p>
    <w:p>
      <w:r>
        <w:t>**来源：** Gartner 2024年10月《2025年十大战略技术趋势》；Counterpoint Research 2024Q3全球智能手机市场报告。</w:t>
      </w:r>
    </w:p>
    <w:p>
      <w:r>
        <w:t>#### 2. 实体AI与人形机器人商业化前夜</w:t>
      </w:r>
    </w:p>
    <w:p>
      <w:pPr>
        <w:pStyle w:val="ListBullet"/>
      </w:pPr>
      <w:r>
        <w:t>**战略方向**：英伟达等公司提出“实体AI”作为下一波浪潮。</w:t>
      </w:r>
    </w:p>
    <w:p>
      <w:pPr>
        <w:pStyle w:val="ListBullet"/>
      </w:pPr>
      <w:r>
        <w:t>**应用进展**：人形机器人领域融资与技术进步加速，开始从实验室走向仓储物流、简单装配等场景试点。</w:t>
      </w:r>
    </w:p>
    <w:p>
      <w:pPr>
        <w:pStyle w:val="ListBullet"/>
      </w:pPr>
      <w:r>
        <w:t>**先行指标**：Q4上游核心零部件（传感器、灵巧手、执行器）订单与投融资热度值得关注。</w:t>
      </w:r>
    </w:p>
    <w:p>
      <w:r>
        <w:t>**来源：** 高盛集团2024年10月《人形机器人：AI的下一波浪潮》研究报告；特斯拉2024Q3财报电话会议纪要。</w:t>
      </w:r>
    </w:p>
    <w:p>
      <w:r>
        <w:t>---</w:t>
      </w:r>
    </w:p>
    <w:p>
      <w:pPr>
        <w:pStyle w:val="Heading3"/>
      </w:pPr>
      <w:r>
        <w:t>三、地缘政治与供应链：碎片化格局下的重构与对冲</w:t>
      </w:r>
    </w:p>
    <w:p>
      <w:r>
        <w:t>地缘政治紧张已成为企业设计供应链与市场进入战略的永久性变量。</w:t>
      </w:r>
    </w:p>
    <w:p>
      <w:r>
        <w:t>#### 1. “去风险”加速推动供应链多元化</w:t>
      </w:r>
    </w:p>
    <w:p>
      <w:pPr>
        <w:pStyle w:val="ListBullet"/>
      </w:pPr>
      <w:r>
        <w:t>**驱动因素**：美国大选结果的不确定性，尤其是共和党候选人提出的普遍性关税提议。</w:t>
      </w:r>
    </w:p>
    <w:p>
      <w:pPr>
        <w:pStyle w:val="ListBullet"/>
      </w:pPr>
      <w:r>
        <w:t>**布局趋势**：跨国企业加速“中国+1”或“中国+N”布局，墨西哥、越南、印度主要受益。企业开始警惕这些地区可能出现的“继发性”关税风险。</w:t>
      </w:r>
    </w:p>
    <w:p>
      <w:pPr>
        <w:pStyle w:val="ListBullet"/>
      </w:pPr>
      <w:r>
        <w:t>**关键窗口**：Q4是规划下一年度预算与供应链网络的关键时期，该趋势将更加明显。</w:t>
      </w:r>
    </w:p>
    <w:p>
      <w:r>
        <w:t>**来源：** 《金融时报》2024年10月系列报道《全球供应链的第二次大迁徙》；麦肯锡全球研究院2024年8月报告《地缘政治与全球贸易的未来》。</w:t>
      </w:r>
    </w:p>
    <w:p>
      <w:r>
        <w:t>#### 2. 关键资源民族主义抬头</w:t>
      </w:r>
    </w:p>
    <w:p>
      <w:pPr>
        <w:pStyle w:val="ListBullet"/>
      </w:pPr>
      <w:r>
        <w:t>**管制范围**：针对稀土、锂、镍等能源转型关键矿物，以及先进芯片制造设备，各国出口管制与投资审查日趋严格。</w:t>
      </w:r>
    </w:p>
    <w:p>
      <w:pPr>
        <w:pStyle w:val="ListBullet"/>
      </w:pPr>
      <w:r>
        <w:t>**应对策略**：相关企业需在Q4制定“双供应链”策略，分割不同市场，确保技术与资源可获得性及极端情况下的业务连续性。</w:t>
      </w:r>
    </w:p>
    <w:p>
      <w:r>
        <w:t>**来源：** 荣鼎咨询2024年9月关于中国镓、锗出口管制的分析报告；标普全球2024Q4大宗商品市场展望。</w:t>
      </w:r>
    </w:p>
    <w:p>
      <w:r>
        <w:t>---</w:t>
      </w:r>
    </w:p>
    <w:p>
      <w:pPr>
        <w:pStyle w:val="Heading3"/>
      </w:pPr>
      <w:r>
        <w:t>四、消费者与市场动态：两极分化与体验为王</w:t>
      </w:r>
    </w:p>
    <w:p>
      <w:r>
        <w:t>后通胀时代，消费者行为呈现显著K型分化，对品牌价值主张提出更高要求。</w:t>
      </w:r>
    </w:p>
    <w:p>
      <w:r>
        <w:t>#### 1. 平价消费与高端体验并行不悖</w:t>
      </w:r>
    </w:p>
    <w:p>
      <w:pPr>
        <w:pStyle w:val="ListBullet"/>
      </w:pPr>
      <w:r>
        <w:t>**平价消费**：累积通胀侵蚀购买力，消费者对生活必需品和高频消费品价格敏感度高，折扣零售与自有品牌持续抢占份额。</w:t>
      </w:r>
    </w:p>
    <w:p>
      <w:pPr>
        <w:pStyle w:val="ListBullet"/>
      </w:pPr>
      <w:r>
        <w:t>**高端体验**：消费者削减非必需品实物支出，愿意为旅行、餐饮、线下娱乐等“情绪价值”付费。Q4节假日购物季，能精准定位“精明买家”与“体验追求者”的品牌将胜出。</w:t>
      </w:r>
    </w:p>
    <w:p>
      <w:r>
        <w:t>**来源：** 麦肯锡2024年10月全球消费者信心调查；万事达卡 SpendingPulse 2024年假日季零售预测。</w:t>
      </w:r>
    </w:p>
    <w:p>
      <w:r>
        <w:t>#### 2. 可持续性与AI伦理成为品牌价值核心</w:t>
      </w:r>
    </w:p>
    <w:p>
      <w:pPr>
        <w:pStyle w:val="ListBullet"/>
      </w:pPr>
      <w:r>
        <w:t>**消费群体**：Z世代与Alpha世代更倾向通过消费实践社会与环保价值观。</w:t>
      </w:r>
    </w:p>
    <w:p>
      <w:pPr>
        <w:pStyle w:val="ListBullet"/>
      </w:pPr>
      <w:r>
        <w:t>**要求升级**：不仅要求产品本身的可持续性，也开始关注企业使用AI时的数据隐私与伦理边界。</w:t>
      </w:r>
    </w:p>
    <w:p>
      <w:pPr>
        <w:pStyle w:val="ListBullet"/>
      </w:pPr>
      <w:r>
        <w:t>**营销启示**：将可持续性与负责任AI创新融入品牌叙事，已从“加分项”变为“必选项”。</w:t>
      </w:r>
    </w:p>
    <w:p>
      <w:r>
        <w:t>**来源：** 德勤《2024年Z世代与千禧一代调研报告》；埃森哲2024年技术愿景报告。</w:t>
      </w:r>
    </w:p>
    <w:p>
      <w:r>
        <w:t>---</w:t>
      </w:r>
    </w:p>
    <w:p>
      <w:pPr>
        <w:pStyle w:val="Heading2"/>
      </w:pPr>
      <w:r>
        <w:t>结论</w:t>
      </w:r>
    </w:p>
    <w:p>
      <w:r>
        <w:t>2024年第四季度市场环境呈现以下核心特征：</w:t>
      </w:r>
    </w:p>
    <w:p>
      <w:r>
        <w:t>1. **宏观政策分化**：全球货币政策从同步紧缩转向差异化宽松，美国软着陆、欧洲承压、中国刺激并存。</w:t>
      </w:r>
    </w:p>
    <w:p>
      <w:r>
        <w:t>2. **技术落地加速**：AI从大模型竞争转向Agent应用与端侧渗透，实体机器人进入商业化前夜。</w:t>
      </w:r>
    </w:p>
    <w:p>
      <w:r>
        <w:t>3. **供应链重构深化**：地缘政治与选举不确定性推动供应链多元化，关键资源民族主义要求企业建立双供应链。</w:t>
      </w:r>
    </w:p>
    <w:p>
      <w:r>
        <w:t>4. **消费两极分化**：平价与高端体验并行，可持续性与AI伦理成为品牌核心差异化要素。</w:t>
      </w:r>
    </w:p>
    <w:p>
      <w:r>
        <w:t>**战略建议：**</w:t>
      </w:r>
    </w:p>
    <w:p>
      <w:pPr>
        <w:pStyle w:val="ListBullet"/>
      </w:pPr>
      <w:r>
        <w:t>关注Q4美联储降息路径对资产估值与汇率的影响。</w:t>
      </w:r>
    </w:p>
    <w:p>
      <w:pPr>
        <w:pStyle w:val="ListBullet"/>
      </w:pPr>
      <w:r>
        <w:t>评估自身供应链的地缘风险敞口，加速多元化布局。</w:t>
      </w:r>
    </w:p>
    <w:p>
      <w:pPr>
        <w:pStyle w:val="ListBullet"/>
      </w:pPr>
      <w:r>
        <w:t>在消费电子旺季检验AI应用的实际需求拉动效果。</w:t>
      </w:r>
    </w:p>
    <w:p>
      <w:pPr>
        <w:pStyle w:val="ListBullet"/>
      </w:pPr>
      <w:r>
        <w:t>调整品牌沟通策略，强化可持续性与负责任AI叙事以匹配新一代消费者价值观。</w:t>
      </w:r>
    </w:p>
    <w:p>
      <w:r>
        <w:t>---</w:t>
      </w:r>
    </w:p>
    <w:p>
      <w:r>
        <w:t>**免责声明：** 本报告基于公开信息与引用来源生成，不构成任何投资或商业决策建议。市场存在不确定性，决策前应进行更深入的尽职调查。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