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```markdown</w:t>
      </w:r>
    </w:p>
    <w:p>
      <w:pPr>
        <w:pStyle w:val="Heading1"/>
      </w:pPr>
      <w:r>
        <w:t>2024Q4 市场分析报告</w:t>
      </w:r>
    </w:p>
    <w:p>
      <w:pPr>
        <w:pStyle w:val="Heading2"/>
      </w:pPr>
      <w:r>
        <w:t>摘要</w:t>
      </w:r>
    </w:p>
    <w:p>
      <w:r>
        <w:t>本报告基于现有资料，对2024年第四季度市场分析所需的关键数据维度进行梳理。由于缺乏具体的搜索结果及可执行的数据分析附件，本报告无法提供基于实际数据的定量结论和趋势判断。本报告的核心价值在于，为后续的深入研究提供结构化的搜索框架与分析路径，明确研究范围，并指出当前数据获取的局限性。</w:t>
      </w:r>
    </w:p>
    <w:p>
      <w:pPr>
        <w:pStyle w:val="Heading2"/>
      </w:pPr>
      <w:r>
        <w:t>一、引言</w:t>
      </w:r>
    </w:p>
    <w:p>
      <w:r>
        <w:t>本报告旨在为2024年第四季度的市场环境提供初步的分析框架。根据所提供素材，当前面临两个主要数据基础的限制：其一，未检索到任何与2024年Q4市场相关的具体研究报告或附件；其二，数据执行过程失败，无法提供统计模型或分析结果。因此，本报告将基于提议的研究方向，构建分析框架，并总结关键假设。</w:t>
      </w:r>
    </w:p>
    <w:p>
      <w:pPr>
        <w:pStyle w:val="Heading2"/>
      </w:pPr>
      <w:r>
        <w:t>二、核心研究方向与框架</w:t>
      </w:r>
    </w:p>
    <w:p>
      <w:r>
        <w:t>基于素材中的建议搜索查询，本报告将市场分析聚焦于以下五个核心维度：</w:t>
      </w:r>
    </w:p>
    <w:p>
      <w:r>
        <w:t>| 分析维度 | 关键指标 | 潜在影响因素 |</w:t>
      </w:r>
    </w:p>
    <w:p>
      <w:r>
        <w:t>| :--- | :--- | :--- |</w:t>
      </w:r>
    </w:p>
    <w:p>
      <w:r>
        <w:t>| **1. 宏观经济展望** | 全球及主要经济体（如美国、中国、欧元区）2024 Q4 GDP 增长率预测 | 消费信心、制造业PMI、服务业活动指数、就业数据 |</w:t>
      </w:r>
    </w:p>
    <w:p>
      <w:r>
        <w:t>| **2. 金融市场表现** | 主要股票市场指数（标普500、沪深300）的回报率、行业板块（如科技、能源、消费）轮动情况 | 企业盈利预期、市场流动性、投资者情绪、货币政策转向预期 |</w:t>
      </w:r>
    </w:p>
    <w:p>
      <w:r>
        <w:t>| **3. 大宗商品走势** | 原油（WTI/布伦特）和黄金的价格区间与趋势 | 全球供需平衡、OPEC+产量政策、地缘政治风险、美元指数、实际利率 |</w:t>
      </w:r>
    </w:p>
    <w:p>
      <w:r>
        <w:t>| **4. 宏观政策环境** | 主要央行（美联储、欧洲央行、中国央行）的利率决策、通货膨胀率（CPI/PCE）走势 | 通胀粘性、经济增长动能、央行政策目标、财政刺激措施 |</w:t>
      </w:r>
    </w:p>
    <w:p>
      <w:r>
        <w:t>| **5. 市场风险与趋势** | 地缘政治冲突、供应链风险、行业监管变化、新兴技术影响 | 区域冲突、能源安全、技术脱钩、行业整合 |</w:t>
      </w:r>
    </w:p>
    <w:p>
      <w:pPr>
        <w:pStyle w:val="Heading2"/>
      </w:pPr>
      <w:r>
        <w:t>三、数据与分析方法限制说明</w:t>
      </w:r>
    </w:p>
    <w:p>
      <w:pPr>
        <w:pStyle w:val="ListBullet"/>
      </w:pPr>
      <w:r>
        <w:t>**数据缺失**：当前报告基于预设的分析方向，而非实际数据。所有关于市场走势、价格、波动率的分析均无法进行。</w:t>
      </w:r>
    </w:p>
    <w:p>
      <w:pPr>
        <w:pStyle w:val="ListBullet"/>
      </w:pPr>
      <w:r>
        <w:t>**分析失败**：素材明确指出“代码执行失败”，表示任何依赖于编程或统计工具的定量分析与模型预测均无法完成。</w:t>
      </w:r>
    </w:p>
    <w:p>
      <w:pPr>
        <w:pStyle w:val="ListBullet"/>
      </w:pPr>
      <w:r>
        <w:t>**结论局限**：本报告不包含任何关于2024年第四季度市场走向的具体判断或预测。所有结论仅限于方法论层面。</w:t>
      </w:r>
    </w:p>
    <w:p>
      <w:pPr>
        <w:pStyle w:val="Heading2"/>
      </w:pPr>
      <w:r>
        <w:t>四、结论与建议</w:t>
      </w:r>
    </w:p>
    <w:p>
      <w:r>
        <w:t>尽管缺乏数据支撑，本报告明确了进行2024 Q4市场分析所需的关键信息维度。为了完成一份具有实际价值的分析报告，建议采取以下行动：</w:t>
      </w:r>
    </w:p>
    <w:p>
      <w:r>
        <w:t>1.  **获取基础数据**：根据表1中列出的五个方向，系统地搜集来自IMF、世界银行、各国统计局、财经资讯平台及研究机构的2024 Q4相关数据与最新报告。</w:t>
      </w:r>
    </w:p>
    <w:p>
      <w:r>
        <w:t>2.  **修复数据执行流程**：检查代码与数据源，重新尝试执行数据分析任务，以获取统计结果或可视化图表。</w:t>
      </w:r>
    </w:p>
    <w:p>
      <w:r>
        <w:t>3.  **构建定量模型**：在获取充足数据后，可建立预测模型或相关性分析，以支持报告中的论点。</w:t>
      </w:r>
    </w:p>
    <w:p>
      <w:r>
        <w:t>当前，该报告仅作为一份研究提纲存在，其结论的有效性取决于后续数据的补充与分析的成功执行。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