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2024年第四季度市场分析报告：战略前瞻与机会挖掘</w:t>
      </w:r>
    </w:p>
    <w:p>
      <w:pPr>
        <w:pStyle w:val="Heading2"/>
      </w:pPr>
      <w:r>
        <w:t>摘要</w:t>
      </w:r>
    </w:p>
    <w:p>
      <w:r>
        <w:t>本报告基于2024年第四季度（Q4）及全年市场研究数据，从战略前瞻与机会挖掘的角度，深度剖析该时期的市场特征与未来走向。核心发现表明，2024年Q4标志着中国宏观经济进入“深度调整的起点”，市场呈现“谨慎预期”与“结构性潜力”并存的复杂图景。消费领域全面步入“性价比时代”，倒逼企业回归价值竞争；科技创新尤其是人工智能、物联网及健康科技，正成为驱动下一轮增长的核心引擎；资本市场头部集中与行业分化加剧，医药与高端制造板块表现亮眼。报告指出，三大蓝海市场正在形成：理性消费驱动的价值重构市场、智能化与健康化的技术融合市场、以及政策引导下的大消费动能释放市场。同时，传统同质化竞争领域面临系统性风险。本报告为决策者提出三条可执行的战略建议：一是聚焦技术赋能与成本效率的乘积效应，抢先布局以AI为核心的工具化应用；二是深耕健康消费与国货品牌的结构性增量，打造差异化产品矩阵；三是建立敏捷资本配置机制，在行业洗牌中捕获并购与整合机会。</w:t>
      </w:r>
    </w:p>
    <w:p>
      <w:r>
        <w:t>---</w:t>
      </w:r>
    </w:p>
    <w:p>
      <w:pPr>
        <w:pStyle w:val="Heading2"/>
      </w:pPr>
      <w:r>
        <w:t>目录</w:t>
      </w:r>
    </w:p>
    <w:p>
      <w:r>
        <w:t>1. 核心发现：进入深度调整与结构重塑期</w:t>
      </w:r>
    </w:p>
    <w:p>
      <w:r>
        <w:t>2. 战略机遇：抓住三对结构性力量</w:t>
      </w:r>
    </w:p>
    <w:p>
      <w:pPr>
        <w:pStyle w:val="ListBullet"/>
      </w:pPr>
      <w:r>
        <w:t>2.1 理性消费时代的价值重塑机会</w:t>
      </w:r>
    </w:p>
    <w:p>
      <w:pPr>
        <w:pStyle w:val="ListBullet"/>
      </w:pPr>
      <w:r>
        <w:t>2.2 科技驱动的蓝海赛道：AI与健康科技</w:t>
      </w:r>
    </w:p>
    <w:p>
      <w:pPr>
        <w:pStyle w:val="ListBullet"/>
      </w:pPr>
      <w:r>
        <w:t>2.3 资本市场分化中的优质资产识别</w:t>
      </w:r>
    </w:p>
    <w:p>
      <w:r>
        <w:t>3. 风险预警：传统路径的失效与系统性挑战</w:t>
      </w:r>
    </w:p>
    <w:p>
      <w:r>
        <w:t>4. 战略建议：构建穿越周期的生存与发展体系</w:t>
      </w:r>
    </w:p>
    <w:p>
      <w:r>
        <w:t>---</w:t>
      </w:r>
    </w:p>
    <w:p>
      <w:pPr>
        <w:pStyle w:val="Heading2"/>
      </w:pPr>
      <w:r>
        <w:t>1. 核心发现：进入深度调整与结构重塑期</w:t>
      </w:r>
    </w:p>
    <w:p>
      <w:r>
        <w:t>2024年第四季度，中国宏观经济明确进入一个以“深度调整”为标志的新阶段。长江商学院基于连续10年的产业经济景气指数调查明确指出，**2024年四季度是经济深度调整的起点**[8]。这一判断不仅是对短期波动的回应，更预示着市场正经历一场全面的转型与重塑。</w:t>
      </w:r>
    </w:p>
    <w:p>
      <w:r>
        <w:t>同期，消费市场表现出显著的“预期谨慎”与“结构性潜力”并存的矛盾特征。麦肯锡的调研报告精确地概括了这一特征：**“预期谨慎，存在潜力”**[1][5]。具体而言：</w:t>
      </w:r>
    </w:p>
    <w:p>
      <w:pPr>
        <w:pStyle w:val="ListBullet"/>
      </w:pPr>
      <w:r>
        <w:t>消费者信心趋于保守，短期内“储蓄为王”的心态占据主导地位[5]。</w:t>
      </w:r>
    </w:p>
    <w:p>
      <w:pPr>
        <w:pStyle w:val="ListBullet"/>
      </w:pPr>
      <w:r>
        <w:t>尼尔森IQ的报告指出，中国快消品零售市场已全面进入“性价比时代”，消费者价值观发生显著变化，更加趋于理性和务实[4]。</w:t>
      </w:r>
    </w:p>
    <w:p>
      <w:pPr>
        <w:pStyle w:val="ListBullet"/>
      </w:pPr>
      <w:r>
        <w:t>与此同时，健康化与智能化成为引领增长的明确趋势，消费者对健康产品与服务的需求呈现出精细化分层[3]。国货品牌则通过技术创新与文化赋能，在家电、美妆等领域实现“弯道超车”[3]。</w:t>
      </w:r>
    </w:p>
    <w:p>
      <w:r>
        <w:t>资本市场同样反映出这一结构性分化。中国上市公司协会的报告显示，2024年上市公司结构持续优化，**高端装备制造、高技术制造业上市公司市值份额已达24.45%** [6][10]。创新药板块表现尤为亮眼，上市公司实现了13.31%的净利润增长[10]。与之形成对比的是，证券行业“马太效应”凸显，头部券商凭借综合优势进一步巩固地位，而传统“三中一华”阵营内部的竞争格局也在发生变化[9]。</w:t>
      </w:r>
    </w:p>
    <w:p>
      <w:r>
        <w:t>**核心判断**：2024年Q4并非一个周期的终点，而是新一轮战略竞争的起跑线。市场正在从“规模扩张”转向“价值创造”，从“同质化竞争”转向“差异化深耕”。对于决策者而言，这一时期既是风险释放期，更是罕见的战略布局窗口。</w:t>
      </w:r>
    </w:p>
    <w:p>
      <w:r>
        <w:t>---</w:t>
      </w:r>
    </w:p>
    <w:p>
      <w:pPr>
        <w:pStyle w:val="Heading2"/>
      </w:pPr>
      <w:r>
        <w:t>2. 战略机遇：抓住三对结构性力量</w:t>
      </w:r>
    </w:p>
    <w:p>
      <w:pPr>
        <w:pStyle w:val="Heading3"/>
      </w:pPr>
      <w:r>
        <w:t>2.1 理性消费时代的价值重塑机会</w:t>
      </w:r>
    </w:p>
    <w:p>
      <w:r>
        <w:t>“性价比时代”并非消费降级的同义词，而是一次深层的消费价值观重构。尼尔森IQ的数据显示，消费者不再满足于“便宜”，而是追求“高质价比”[4]。这为企业提供了两条明确的差异化赛道：</w:t>
      </w:r>
    </w:p>
    <w:p>
      <w:pPr>
        <w:pStyle w:val="ListBullet"/>
      </w:pPr>
      <w:r>
        <w:t>**极致效率赛道**：在保持品质的前提下，通过供应链优化、数字化运营等手段实现成本领先。这要求企业从生产端到销售端进行全链路效率革命。</w:t>
      </w:r>
    </w:p>
    <w:p>
      <w:pPr>
        <w:pStyle w:val="ListBullet"/>
      </w:pPr>
      <w:r>
        <w:t>**情感与功能价值赛道**：国货品牌在家电、美妆领域的成功实践表明，通过技术创新叠加文化叙事，可以创造出超越价格竞争的情感溢价[3]。例如，将传统工艺与现代科技结合，满足消费者对“品质生活”与“文化认同”的双重需求。</w:t>
      </w:r>
    </w:p>
    <w:p>
      <w:r>
        <w:t>**战略启示**：企业应放弃“价格战”思维，转而构建“价值战”能力。关键在于识别出消费者在“谨慎”外表下的真实需求痛点，并以超出预期的产品价值进行精准满足。</w:t>
      </w:r>
    </w:p>
    <w:p>
      <w:pPr>
        <w:pStyle w:val="Heading3"/>
      </w:pPr>
      <w:r>
        <w:t>2.2 科技驱动的蓝海赛道：AI与健康科技</w:t>
      </w:r>
    </w:p>
    <w:p>
      <w:r>
        <w:t>IDC的Q4科技市场热点速递报告指明了一个清晰的方向：**市场活力主要集中在技术驱动的创新领域**，人工智能、物联网、机器人技术、安全与隐私保护成为该季度的核心技术热点[7]。这些技术并非孤立存在，而是正呈现出深度交叉融合的趋势：</w:t>
      </w:r>
    </w:p>
    <w:p>
      <w:pPr>
        <w:pStyle w:val="ListBullet"/>
      </w:pPr>
      <w:r>
        <w:t>**AI+物联网**：实现从设备智能化到场景智能化的跃迁，为智慧家庭、工业互联网等领域创造全新市场。</w:t>
      </w:r>
    </w:p>
    <w:p>
      <w:pPr>
        <w:pStyle w:val="ListBullet"/>
      </w:pPr>
      <w:r>
        <w:t>**AI+健康科技**：随着消费者对健康需求的精细化分层[3]，AI辅助诊断、个性化健康管理、智能可穿戴设备等领域蕴含着巨大潜力。</w:t>
      </w:r>
    </w:p>
    <w:p>
      <w:pPr>
        <w:pStyle w:val="ListBullet"/>
      </w:pPr>
      <w:r>
        <w:t>**低代码开发平台**：作为提效工具，正在打破技术壁垒，使非技术人员也能参与到数字化创新中，加速企业的智能化转型[7]。</w:t>
      </w:r>
    </w:p>
    <w:p>
      <w:r>
        <w:t>**战略启示**：蓝海市场的机会在于“技术落地”。单纯追求技术先进性已非最优策略，能够将AI、物联网等技术转化为可规模化、可付费的解决方案的企业，才是下一轮增长的主角。建议决策者优先关注以下方向：</w:t>
      </w:r>
    </w:p>
    <w:p>
      <w:pPr>
        <w:pStyle w:val="ListBullet"/>
      </w:pPr>
      <w:r>
        <w:t>健康赛道的智能硬件与个性化服务</w:t>
      </w:r>
    </w:p>
    <w:p>
      <w:pPr>
        <w:pStyle w:val="ListBullet"/>
      </w:pPr>
      <w:r>
        <w:t>工业场景的物联网与AI融合应用</w:t>
      </w:r>
    </w:p>
    <w:p>
      <w:pPr>
        <w:pStyle w:val="ListBullet"/>
      </w:pPr>
      <w:r>
        <w:t>面向中小企业的低代码与AI工具化产品</w:t>
      </w:r>
    </w:p>
    <w:p>
      <w:pPr>
        <w:pStyle w:val="Heading3"/>
      </w:pPr>
      <w:r>
        <w:t>2.3 资本市场分化中的优质资产识别</w:t>
      </w:r>
    </w:p>
    <w:p>
      <w:r>
        <w:t>2024年资本市场呈现出清晰的“马太效应”与“赛道分化”。证券行业头部券商凭借自营业务拉动业绩、巩固地位，而股权融资业务的缩水则拖累了投行业务收入[9]。与此同时，大消费市场在一系列政策刺激下逐步升温，发展动能释放[6][10]。</w:t>
      </w:r>
    </w:p>
    <w:p>
      <w:r>
        <w:t>**战略启示**：对于投资决策者而言，这一时期的优质资产具有以下特征：</w:t>
      </w:r>
    </w:p>
    <w:p>
      <w:pPr>
        <w:pStyle w:val="ListBullet"/>
      </w:pPr>
      <w:r>
        <w:t>**技术壁垒高**：如创新药、高端装备制造领域，市值份额已达24.45%[6][10]。</w:t>
      </w:r>
    </w:p>
    <w:p>
      <w:pPr>
        <w:pStyle w:val="ListBullet"/>
      </w:pPr>
      <w:r>
        <w:t>**符合消费升级方向**：尤其是健康化、智能化趋势下的龙头企业。</w:t>
      </w:r>
    </w:p>
    <w:p>
      <w:pPr>
        <w:pStyle w:val="ListBullet"/>
      </w:pPr>
      <w:r>
        <w:t>**现金流稳健**：在市场调整期，具备穿越周期能力的企业更具长期价值。</w:t>
      </w:r>
    </w:p>
    <w:p>
      <w:r>
        <w:t>**差异化机会**：行业洗牌期往往是并购整合的最佳时机。头部企业可通过收购具备技术优势但规模较小的初创公司，实现能力快速补强。建议建立一套“资产筛选-估值评估-并购整合”的敏捷机制。</w:t>
      </w:r>
    </w:p>
    <w:p>
      <w:r>
        <w:t>---</w:t>
      </w:r>
    </w:p>
    <w:p>
      <w:pPr>
        <w:pStyle w:val="Heading2"/>
      </w:pPr>
      <w:r>
        <w:t>3. 风险预警：传统路径的失效与系统性挑战</w:t>
      </w:r>
    </w:p>
    <w:p>
      <w:r>
        <w:t>在机遇并存的同时，市场也释放出明确的危险信号。以下是决策者必须关注的核心风险：</w:t>
      </w:r>
    </w:p>
    <w:p>
      <w:r>
        <w:t>| 风险领域 | 具体表现 | 潜在影响 |</w:t>
      </w:r>
    </w:p>
    <w:p>
      <w:r>
        <w:t>|---------|---------|---------|</w:t>
      </w:r>
    </w:p>
    <w:p>
      <w:r>
        <w:t>| **消费预期低迷** | 储蓄意愿强烈，消费增长预期保守[5] | 依赖规模扩张和大众营销的企业将面临增长天花板 |</w:t>
      </w:r>
    </w:p>
    <w:p>
      <w:r>
        <w:t>| **同质化竞争加剧** | 证券行业“马太效应”，部分中小机构被边缘化[9] | 缺乏独特竞争力的企业将被市场淘汰 |</w:t>
      </w:r>
    </w:p>
    <w:p>
      <w:r>
        <w:t>| **传统融资模式萎缩** | 股权融资业务缩水，拖累投行业务[9] | 依赖资本市场输血的项目和企业面临资金链断裂风险 |</w:t>
      </w:r>
    </w:p>
    <w:p>
      <w:r>
        <w:t>| **转型速度滞后** | 科技热点迭代快，技术融合复杂[7] | 拒绝或无法完成数字化转型的企业将陷入系统性劣势 |</w:t>
      </w:r>
    </w:p>
    <w:p>
      <w:r>
        <w:t>**核心预判**：在“深度调整”的宏观环境下，那些仍在沿用过去成功逻辑——依赖渠道铺货、价格补贴、关系营销——的企业将面临最大的生存危机。市场正在奖励那些能够“用技术解决问题”和“用价值赢得用户”的组织。</w:t>
      </w:r>
    </w:p>
    <w:p>
      <w:r>
        <w:t>---</w:t>
      </w:r>
    </w:p>
    <w:p>
      <w:pPr>
        <w:pStyle w:val="Heading2"/>
      </w:pPr>
      <w:r>
        <w:t>4. 战略建议：构建穿越周期的生存与发展体系</w:t>
      </w:r>
    </w:p>
    <w:p>
      <w:r>
        <w:t>基于上述分析，为决策者提出以下三条可执行的战略建议：</w:t>
      </w:r>
    </w:p>
    <w:p>
      <w:pPr>
        <w:pStyle w:val="Heading3"/>
      </w:pPr>
      <w:r>
        <w:t>4.1 聚焦“价值创造”而非“规模扩张”</w:t>
      </w:r>
    </w:p>
    <w:p>
      <w:pPr>
        <w:pStyle w:val="ListBullet"/>
      </w:pPr>
      <w:r>
        <w:t>**具体行动**：全面审视产品与服务价值链，识别并剔除冗余成本，将节省的资源投入高价值环节（如研发、用户体验、品牌建设）。</w:t>
      </w:r>
    </w:p>
    <w:p>
      <w:pPr>
        <w:pStyle w:val="ListBullet"/>
      </w:pPr>
      <w:r>
        <w:t>**短期目标（3-6个月）**：完成核心产品的成本结构优化，确保“性价比”竞争力。</w:t>
      </w:r>
    </w:p>
    <w:p>
      <w:pPr>
        <w:pStyle w:val="ListBullet"/>
      </w:pPr>
      <w:r>
        <w:t>**长期目标（12-18个月）**：形成至少一个差异化产品线，在细分领域建立品质或体验壁垒。</w:t>
      </w:r>
    </w:p>
    <w:p>
      <w:pPr>
        <w:pStyle w:val="Heading3"/>
      </w:pPr>
      <w:r>
        <w:t>4.2 加速“技术+场景”的深度融合</w:t>
      </w:r>
    </w:p>
    <w:p>
      <w:pPr>
        <w:pStyle w:val="ListBullet"/>
      </w:pPr>
      <w:r>
        <w:t>**具体行动**：设立专项基金，探索AI、物联网技术在自身业务场景中的落地可能性。优先考虑与健康、效率、安全相关的应用方向。</w:t>
      </w:r>
    </w:p>
    <w:p>
      <w:pPr>
        <w:pStyle w:val="ListBullet"/>
      </w:pPr>
      <w:r>
        <w:t>**短期目标（3-6个月）**：启动1-2个技术赋能试点项目，验证ROI。</w:t>
      </w:r>
    </w:p>
    <w:p>
      <w:pPr>
        <w:pStyle w:val="ListBullet"/>
      </w:pPr>
      <w:r>
        <w:t>**长期目标（12-18个月）**：形成可复制的技术+场景解决方案，实现规模化推广。</w:t>
      </w:r>
    </w:p>
    <w:p>
      <w:pPr>
        <w:pStyle w:val="Heading3"/>
      </w:pPr>
      <w:r>
        <w:t>4.3 建立“敏捷资本”配置与风险管理机制</w:t>
      </w:r>
    </w:p>
    <w:p>
      <w:pPr>
        <w:pStyle w:val="ListBullet"/>
      </w:pPr>
      <w:r>
        <w:t>**具体行动**：预留一定比例的资本储备，用于在市场调整期进行优质资产收购或战略投资。同时，建立动态风险评估模型，周期性审视核心业务、核心客户、核心供应体系的健康度。</w:t>
      </w:r>
    </w:p>
    <w:p>
      <w:pPr>
        <w:pStyle w:val="ListBullet"/>
      </w:pPr>
      <w:r>
        <w:t>**短期目标（3-6个月）**：完成资产组合的风险敞口梳理，识别潜在“黑天鹅”事件。</w:t>
      </w:r>
    </w:p>
    <w:p>
      <w:pPr>
        <w:pStyle w:val="ListBullet"/>
      </w:pPr>
      <w:r>
        <w:t>**长期目标（12-18个月）**：完成1-2次战略性并购或投资，优化资本结构。</w:t>
      </w:r>
    </w:p>
    <w:p>
      <w:r>
        <w:t>---</w:t>
      </w:r>
    </w:p>
    <w:p>
      <w:pPr>
        <w:pStyle w:val="Heading2"/>
      </w:pPr>
      <w:r>
        <w:t>结论</w:t>
      </w:r>
    </w:p>
    <w:p>
      <w:r>
        <w:t>2024年第四季度不是一个等待复苏的终点，而是一个主动转型的起点。市场的深度调整正在重塑行业的竞争规则，旧有的增长逻辑快速失效，而新的蓝海市场正在技术融合与消费价值重构中涌现。对于决策者而言，成功穿越周期的关键在于：**放弃对过去的路径依赖，转而拥抱三个新的战略锚点**——以价值创造替代规模扩张、以技术落地引领细分赛道、以敏捷资本应对不确定性。唯有如此，方能在市场的结构性洗牌中化危为机，锁定未来的增长席位。</w:t>
      </w:r>
    </w:p>
    <w:p>
      <w:r>
        <w:t>---</w:t>
      </w:r>
    </w:p>
    <w:p>
      <w:r>
        <w:t>**参考来源**</w:t>
      </w:r>
    </w:p>
    <w:p>
      <w:r>
        <w:t>[1] 麦肯锡调研报告：2024年中国消费市场“预期谨慎，存在潜力”</w:t>
      </w:r>
    </w:p>
    <w:p>
      <w:r>
        <w:t>[2] 艾媒咨询：2024年末新消费趋势洞察报告</w:t>
      </w:r>
    </w:p>
    <w:p>
      <w:r>
        <w:t>[3] 消费市场结构性机会分析：健康化、智能化及国货品牌崛起</w:t>
      </w:r>
    </w:p>
    <w:p>
      <w:r>
        <w:t>[4] 尼尔森IQ报告：中国快消品零售市场全面进入“性价比时代”</w:t>
      </w:r>
    </w:p>
    <w:p>
      <w:r>
        <w:t>[5] 消费者信心报告：储蓄意愿强烈，消费增长预期保守</w:t>
      </w:r>
    </w:p>
    <w:p>
      <w:r>
        <w:t>[6] 中国上市公司协会年度报告：2024年上市公司结构优化，高端制造市值份额达24.45%</w:t>
      </w:r>
    </w:p>
    <w:p>
      <w:r>
        <w:t>[7] IDC《2024年Q4科技市场热点速递》报告</w:t>
      </w:r>
    </w:p>
    <w:p>
      <w:r>
        <w:t>[8] 长江商学院产业经济景气指数报告：2024年四季度是经济深度调整的起点</w:t>
      </w:r>
    </w:p>
    <w:p>
      <w:r>
        <w:t>[9] 证券行业2024年业绩分析：头部效应显著，自营业务成为主力</w:t>
      </w:r>
    </w:p>
    <w:p>
      <w:r>
        <w:t>[10] 上市公司2024年年报综述：大消费市场升温，创新药板块净利润增长13.31%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