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YaHei" w:hAnsi="MicrosoftYaHei" w:eastAsia="MicrosoftYaHei"/>
          <w:sz w:val="36"/>
        </w:rPr>
        <w:t>2024年第四季度市场年度报告：全景扫描与数据洞察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摘要</w:t>
      </w:r>
    </w:p>
    <w:p>
      <w:pPr/>
      <w:r>
        <w:rPr>
          <w:rFonts w:ascii="MicrosoftYaHei" w:hAnsi="MicrosoftYaHei" w:eastAsia="MicrosoftYaHei"/>
          <w:sz w:val="22"/>
        </w:rPr>
        <w:t>2024年中国经济呈现“外强内弱”的结构性分化格局，全年GDP增速成功实现5%左右的预期目标，经济总量首次突破130万亿元人民币。四季度以来，受益于9月底一揽子增量政策落地，经济企稳回升势头显现，但复苏基础尚不牢固。从增长引擎看，出口和制造业投资是核心驱动力，两者在四季度均保持强劲态势；而房地产市场持续调整与内需不足则构成主要拖累。产业层面，服务业占GDP比重提升至56.7%，高技术制造业成为生产端亮点；但规模以上工业增加值增速有所放缓，小微经营者生存压力持续。展望2025年，扩内需将成为核心政策议题，房地产市场企稳与市场主体信心重建是决定复苏成色的关键。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目录</w:t>
      </w:r>
    </w:p>
    <w:p>
      <w:pPr/>
      <w:r>
        <w:rPr>
          <w:rFonts w:ascii="MicrosoftYaHei" w:hAnsi="MicrosoftYaHei" w:eastAsia="MicrosoftYaHei"/>
          <w:sz w:val="22"/>
        </w:rPr>
        <w:t xml:space="preserve">1. </w:t>
      </w:r>
      <w:r>
        <w:rPr>
          <w:rFonts w:ascii="MicrosoftYaHei" w:hAnsi="MicrosoftYaHei" w:eastAsia="MicrosoftYaHei"/>
          <w:b/>
          <w:sz w:val="22"/>
        </w:rPr>
        <w:t>宏观经济总览：前低后高，达标收官</w:t>
      </w:r>
    </w:p>
    <w:p>
      <w:pPr/>
      <w:r>
        <w:rPr>
          <w:rFonts w:ascii="MicrosoftYaHei" w:hAnsi="MicrosoftYaHei" w:eastAsia="MicrosoftYaHei"/>
          <w:sz w:val="22"/>
        </w:rPr>
        <w:t xml:space="preserve">2. </w:t>
      </w:r>
      <w:r>
        <w:rPr>
          <w:rFonts w:ascii="MicrosoftYaHei" w:hAnsi="MicrosoftYaHei" w:eastAsia="MicrosoftYaHei"/>
          <w:b/>
          <w:sz w:val="22"/>
        </w:rPr>
        <w:t>增长引擎分析：外需与制造业驱动</w:t>
      </w:r>
    </w:p>
    <w:p>
      <w:pPr/>
      <w:r>
        <w:rPr>
          <w:rFonts w:ascii="MicrosoftYaHei" w:hAnsi="MicrosoftYaHei" w:eastAsia="MicrosoftYaHei"/>
          <w:sz w:val="22"/>
        </w:rPr>
        <w:t xml:space="preserve">3. </w:t>
      </w:r>
      <w:r>
        <w:rPr>
          <w:rFonts w:ascii="MicrosoftYaHei" w:hAnsi="MicrosoftYaHei" w:eastAsia="MicrosoftYaHei"/>
          <w:b/>
          <w:sz w:val="22"/>
        </w:rPr>
        <w:t>产业表现分化：工业放缓，服务业韧性增强</w:t>
      </w:r>
    </w:p>
    <w:p>
      <w:pPr/>
      <w:r>
        <w:rPr>
          <w:rFonts w:ascii="MicrosoftYaHei" w:hAnsi="MicrosoftYaHei" w:eastAsia="MicrosoftYaHei"/>
          <w:sz w:val="22"/>
        </w:rPr>
        <w:t xml:space="preserve">4. </w:t>
      </w:r>
      <w:r>
        <w:rPr>
          <w:rFonts w:ascii="MicrosoftYaHei" w:hAnsi="MicrosoftYaHei" w:eastAsia="MicrosoftYaHei"/>
          <w:b/>
          <w:sz w:val="22"/>
        </w:rPr>
        <w:t>微观主体感受：小微经营者持续承压</w:t>
      </w:r>
    </w:p>
    <w:p>
      <w:pPr/>
      <w:r>
        <w:rPr>
          <w:rFonts w:ascii="MicrosoftYaHei" w:hAnsi="MicrosoftYaHei" w:eastAsia="MicrosoftYaHei"/>
          <w:sz w:val="22"/>
        </w:rPr>
        <w:t xml:space="preserve">5. </w:t>
      </w:r>
      <w:r>
        <w:rPr>
          <w:rFonts w:ascii="MicrosoftYaHei" w:hAnsi="MicrosoftYaHei" w:eastAsia="MicrosoftYaHei"/>
          <w:b/>
          <w:sz w:val="22"/>
        </w:rPr>
        <w:t>资本市场环境：政策转向与市场预期重塑</w:t>
      </w:r>
    </w:p>
    <w:p>
      <w:pPr/>
      <w:r>
        <w:rPr>
          <w:rFonts w:ascii="MicrosoftYaHei" w:hAnsi="MicrosoftYaHei" w:eastAsia="MicrosoftYaHei"/>
          <w:sz w:val="22"/>
        </w:rPr>
        <w:t xml:space="preserve">6. </w:t>
      </w:r>
      <w:r>
        <w:rPr>
          <w:rFonts w:ascii="MicrosoftYaHei" w:hAnsi="MicrosoftYaHei" w:eastAsia="MicrosoftYaHei"/>
          <w:b/>
          <w:sz w:val="22"/>
        </w:rPr>
        <w:t>政策环境评估：逆周期调节加码</w:t>
      </w:r>
    </w:p>
    <w:p>
      <w:pPr/>
      <w:r>
        <w:rPr>
          <w:rFonts w:ascii="MicrosoftYaHei" w:hAnsi="MicrosoftYaHei" w:eastAsia="MicrosoftYaHei"/>
          <w:sz w:val="22"/>
        </w:rPr>
        <w:t xml:space="preserve">7. </w:t>
      </w:r>
      <w:r>
        <w:rPr>
          <w:rFonts w:ascii="MicrosoftYaHei" w:hAnsi="MicrosoftYaHei" w:eastAsia="MicrosoftYaHei"/>
          <w:b/>
          <w:sz w:val="22"/>
        </w:rPr>
        <w:t>全球市场联动与风险因素</w:t>
      </w:r>
    </w:p>
    <w:p>
      <w:pPr/>
      <w:r>
        <w:rPr>
          <w:rFonts w:ascii="MicrosoftYaHei" w:hAnsi="MicrosoftYaHei" w:eastAsia="MicrosoftYaHei"/>
          <w:sz w:val="22"/>
        </w:rPr>
        <w:t xml:space="preserve">8. </w:t>
      </w:r>
      <w:r>
        <w:rPr>
          <w:rFonts w:ascii="MicrosoftYaHei" w:hAnsi="MicrosoftYaHei" w:eastAsia="MicrosoftYaHei"/>
          <w:b/>
          <w:sz w:val="22"/>
        </w:rPr>
        <w:t>结论与展望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1. 宏观经济总览：前低后高，达标收官</w:t>
      </w:r>
    </w:p>
    <w:p>
      <w:pPr/>
      <w:r>
        <w:rPr>
          <w:rFonts w:ascii="MicrosoftYaHei" w:hAnsi="MicrosoftYaHei" w:eastAsia="MicrosoftYaHei"/>
          <w:sz w:val="22"/>
        </w:rPr>
        <w:t>2024年全年经济走势呈现“V”型或“U”型特征，上半年经济温和复苏，三季度面临较大下行压力，四季度在政策提振下企稳回升，最终实现年初设定的5%左右增长目标 [4]。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1.1 季度增速与总量指标</w:t>
      </w:r>
    </w:p>
    <w:p>
      <w:pPr/>
      <w:r>
        <w:rPr>
          <w:rFonts w:ascii="MicrosoftYaHei" w:hAnsi="MicrosoftYaHei" w:eastAsia="MicrosoftYaHei"/>
          <w:sz w:val="22"/>
        </w:rPr>
        <w:t>| 时间节点 | GDP增速/指标 | 关键特征 |</w:t>
      </w:r>
    </w:p>
    <w:p>
      <w:pPr/>
      <w:r>
        <w:rPr>
          <w:rFonts w:ascii="MicrosoftYaHei" w:hAnsi="MicrosoftYaHei" w:eastAsia="MicrosoftYaHei"/>
          <w:sz w:val="22"/>
        </w:rPr>
        <w:t>|---------|-------------|---------|</w:t>
      </w:r>
    </w:p>
    <w:p>
      <w:pPr/>
      <w:r>
        <w:rPr>
          <w:rFonts w:ascii="MicrosoftYaHei" w:hAnsi="MicrosoftYaHei" w:eastAsia="MicrosoftYaHei"/>
          <w:sz w:val="22"/>
        </w:rPr>
        <w:t>| 2024年上半年 | 累计同比增长5.0% | 经济运行总体平稳 |</w:t>
      </w:r>
    </w:p>
    <w:p>
      <w:pPr/>
      <w:r>
        <w:rPr>
          <w:rFonts w:ascii="MicrosoftYaHei" w:hAnsi="MicrosoftYaHei" w:eastAsia="MicrosoftYaHei"/>
          <w:sz w:val="22"/>
        </w:rPr>
        <w:t>| 2024年Q3 | 同比增长4.6%（较Q2下滑0.1个百分点） | 下行压力加大，内需不足突出 |</w:t>
      </w:r>
    </w:p>
    <w:p>
      <w:pPr/>
      <w:r>
        <w:rPr>
          <w:rFonts w:ascii="MicrosoftYaHei" w:hAnsi="MicrosoftYaHei" w:eastAsia="MicrosoftYaHei"/>
          <w:sz w:val="22"/>
        </w:rPr>
        <w:t>| 2024年Q4 | 增速企稳回升 | 一揽子增量政策效果显现，出口持续强势 |</w:t>
      </w:r>
    </w:p>
    <w:p>
      <w:pPr/>
      <w:r>
        <w:rPr>
          <w:rFonts w:ascii="MicrosoftYaHei" w:hAnsi="MicrosoftYaHei" w:eastAsia="MicrosoftYaHei"/>
          <w:sz w:val="22"/>
        </w:rPr>
        <w:t>| 全年 | 同比5%左右，总量突破130万亿元 | 顺利实现预期目标，经济总量再上新台阶 |</w:t>
      </w:r>
    </w:p>
    <w:p>
      <w:pPr/>
      <w:r>
        <w:rPr>
          <w:rFonts w:ascii="MicrosoftYaHei" w:hAnsi="MicrosoftYaHei" w:eastAsia="MicrosoftYaHei"/>
          <w:sz w:val="22"/>
        </w:rPr>
        <w:t>前三季度GDP累计同比增长4.8%，其中三季度增速为4.6%，较二季度的4.7%进一步下滑，经济在年中面临显著下行压力 [1]。进入四季度，随着9月底一揽子增量政策落地，叠加出口持续强势，经济出现企稳回升势头，确保了全年目标的实现 [2]。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1.2 产业结构优化趋势</w:t>
      </w:r>
    </w:p>
    <w:p>
      <w:pPr/>
      <w:r>
        <w:rPr>
          <w:rFonts w:ascii="MicrosoftYaHei" w:hAnsi="MicrosoftYaHei" w:eastAsia="MicrosoftYaHei"/>
          <w:sz w:val="22"/>
        </w:rPr>
        <w:t>2024年服务业对经济的支撑作用进一步增强：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服务业占比提升</w:t>
      </w:r>
      <w:r>
        <w:rPr>
          <w:rFonts w:ascii="MicrosoftYaHei" w:hAnsi="MicrosoftYaHei" w:eastAsia="MicrosoftYaHei"/>
          <w:sz w:val="22"/>
        </w:rPr>
        <w:t>：服务业占GDP比重从2023年的56.3%提升至56.7% [4]。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制造业结构优化</w:t>
      </w:r>
      <w:r>
        <w:rPr>
          <w:rFonts w:ascii="MicrosoftYaHei" w:hAnsi="MicrosoftYaHei" w:eastAsia="MicrosoftYaHei"/>
          <w:sz w:val="22"/>
        </w:rPr>
        <w:t>：高技术制造业和装备制造业增加值比重显著上升，成为生产端的重要亮点 [4]。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2. 增长引擎分析：外需与制造业驱动</w:t>
      </w:r>
    </w:p>
    <w:p>
      <w:pPr/>
      <w:r>
        <w:rPr>
          <w:rFonts w:ascii="MicrosoftYaHei" w:hAnsi="MicrosoftYaHei" w:eastAsia="MicrosoftYaHei"/>
          <w:sz w:val="22"/>
        </w:rPr>
        <w:t>2024年经济增长的动力结构呈现出清晰的“冰火两重天”格局：出口与制造业投资构成强劲驱动力，而房地产与消费则持续拖累整体表现。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2.1 强劲驱动：出口与制造业投资</w:t>
      </w:r>
    </w:p>
    <w:p>
      <w:pPr/>
      <w:r>
        <w:rPr>
          <w:rFonts w:ascii="MicrosoftYaHei" w:hAnsi="MicrosoftYaHei" w:eastAsia="MicrosoftYaHei"/>
          <w:sz w:val="22"/>
        </w:rPr>
        <w:t>#### 出口保持韧性</w:t>
      </w:r>
    </w:p>
    <w:p>
      <w:pPr/>
      <w:r>
        <w:rPr>
          <w:rFonts w:ascii="MicrosoftYaHei" w:hAnsi="MicrosoftYaHei" w:eastAsia="MicrosoftYaHei"/>
          <w:sz w:val="22"/>
        </w:rPr>
        <w:t>外需是2024年中国经济的关键稳定器。全年出口保持较高增速，并在四季度依然表现强劲 [3][5]。这主要得益于：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全球部分经济体需求的恢复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中国产品的国际竞争力提升 [2]</w:t>
      </w:r>
    </w:p>
    <w:p>
      <w:pPr/>
      <w:r>
        <w:rPr>
          <w:rFonts w:ascii="MicrosoftYaHei" w:hAnsi="MicrosoftYaHei" w:eastAsia="MicrosoftYaHei"/>
          <w:sz w:val="22"/>
        </w:rPr>
        <w:t>资料来源：《中国银行宏观观察》内部参考报告</w:t>
      </w:r>
    </w:p>
    <w:p>
      <w:pPr/>
      <w:r>
        <w:rPr>
          <w:rFonts w:ascii="MicrosoftYaHei" w:hAnsi="MicrosoftYaHei" w:eastAsia="MicrosoftYaHei"/>
          <w:sz w:val="22"/>
        </w:rPr>
        <w:t>#### 制造业投资高增</w:t>
      </w:r>
    </w:p>
    <w:p>
      <w:pPr/>
      <w:r>
        <w:rPr>
          <w:rFonts w:ascii="MicrosoftYaHei" w:hAnsi="MicrosoftYaHei" w:eastAsia="MicrosoftYaHei"/>
          <w:sz w:val="22"/>
        </w:rPr>
        <w:t>在产业升级和“设备更新”等政策驱动下，制造业投资成为固定资产投资中的增长主力：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高技术制造业投资增长动力尤为强劲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与新质生产力相关的领域展现出显著增长潜力 [5]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2.2 主要拖累：房地产与消费</w:t>
      </w:r>
    </w:p>
    <w:p>
      <w:pPr/>
      <w:r>
        <w:rPr>
          <w:rFonts w:ascii="MicrosoftYaHei" w:hAnsi="MicrosoftYaHei" w:eastAsia="MicrosoftYaHei"/>
          <w:sz w:val="22"/>
        </w:rPr>
        <w:t>#### 房地产市场持续调整</w:t>
      </w:r>
    </w:p>
    <w:p>
      <w:pPr/>
      <w:r>
        <w:rPr>
          <w:rFonts w:ascii="MicrosoftYaHei" w:hAnsi="MicrosoftYaHei" w:eastAsia="MicrosoftYaHei"/>
          <w:sz w:val="22"/>
        </w:rPr>
        <w:t>房地产市场低迷态势贯穿全年，成为内需疲软和市场预期走弱的核心根源 [2][5]：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9月底的政策在四季度对市场有边际提振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行业整体仍处于深度调整期</w:t>
      </w:r>
    </w:p>
    <w:p>
      <w:pPr/>
      <w:r>
        <w:rPr>
          <w:rFonts w:ascii="MicrosoftYaHei" w:hAnsi="MicrosoftYaHei" w:eastAsia="MicrosoftYaHei"/>
          <w:sz w:val="22"/>
        </w:rPr>
        <w:t>#### 消费复苏偏弱</w:t>
      </w:r>
    </w:p>
    <w:p>
      <w:pPr/>
      <w:r>
        <w:rPr>
          <w:rFonts w:ascii="MicrosoftYaHei" w:hAnsi="MicrosoftYaHei" w:eastAsia="MicrosoftYaHei"/>
          <w:sz w:val="22"/>
        </w:rPr>
        <w:t>内需不足问题在三季度尤为突出，市场预期疲弱导致居民消费意愿和能力受限 [1][5]：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四季度在消费品“以旧换新”等增量政策刺激下，消费端有所回暖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可持续性仍有待观察 [2]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3. 产业表现分化：工业放缓，服务业韧性增强</w:t>
      </w:r>
    </w:p>
    <w:p>
      <w:pPr/>
      <w:r>
        <w:rPr>
          <w:rFonts w:ascii="MicrosoftYaHei" w:hAnsi="MicrosoftYaHei" w:eastAsia="MicrosoftYaHei"/>
          <w:sz w:val="22"/>
        </w:rPr>
        <w:t>2024年各产业表现差异明显，第二产业增速回落与第三产业增速上行形成对照。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3.1 工业增长放缓</w:t>
      </w:r>
    </w:p>
    <w:p>
      <w:pPr/>
      <w:r>
        <w:rPr>
          <w:rFonts w:ascii="MicrosoftYaHei" w:hAnsi="MicrosoftYaHei" w:eastAsia="MicrosoftYaHei"/>
          <w:sz w:val="22"/>
        </w:rPr>
        <w:t>| 指标 | 数据表现 | 原因分析 |</w:t>
      </w:r>
    </w:p>
    <w:p>
      <w:pPr/>
      <w:r>
        <w:rPr>
          <w:rFonts w:ascii="MicrosoftYaHei" w:hAnsi="MicrosoftYaHei" w:eastAsia="MicrosoftYaHei"/>
          <w:sz w:val="22"/>
        </w:rPr>
        <w:t>|-----|---------|---------|</w:t>
      </w:r>
    </w:p>
    <w:p>
      <w:pPr/>
      <w:r>
        <w:rPr>
          <w:rFonts w:ascii="MicrosoftYaHei" w:hAnsi="MicrosoftYaHei" w:eastAsia="MicrosoftYaHei"/>
          <w:sz w:val="22"/>
        </w:rPr>
        <w:t>| 前三季度规模以上工业增加值增速 | 同比增长5.8%（较上半年下滑0.2个百分点） | 国内需求疲软，部分产业利润空间收窄 |</w:t>
      </w:r>
    </w:p>
    <w:p>
      <w:pPr/>
      <w:r>
        <w:rPr>
          <w:rFonts w:ascii="MicrosoftYaHei" w:hAnsi="MicrosoftYaHei" w:eastAsia="MicrosoftYaHei"/>
          <w:sz w:val="22"/>
        </w:rPr>
        <w:t>| 企业生产节奏 | 主动放缓 | 市场需求不振，企业预期趋于谨慎 |</w:t>
      </w:r>
    </w:p>
    <w:p>
      <w:pPr/>
      <w:r>
        <w:rPr>
          <w:rFonts w:ascii="MicrosoftYaHei" w:hAnsi="MicrosoftYaHei" w:eastAsia="MicrosoftYaHei"/>
          <w:sz w:val="22"/>
        </w:rPr>
        <w:t>| 外部传导效应 | 存在不确定性 | 全球经济数据波动影响产业链 |</w:t>
      </w:r>
    </w:p>
    <w:p>
      <w:pPr/>
      <w:r>
        <w:rPr>
          <w:rFonts w:ascii="MicrosoftYaHei" w:hAnsi="MicrosoftYaHei" w:eastAsia="MicrosoftYaHei"/>
          <w:sz w:val="22"/>
        </w:rPr>
        <w:t>数据来源：毕马威中国《中国经济观察:2024年四季度》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3.2 服务业韧性增强</w:t>
      </w:r>
    </w:p>
    <w:p>
      <w:pPr/>
      <w:r>
        <w:rPr>
          <w:rFonts w:ascii="MicrosoftYaHei" w:hAnsi="MicrosoftYaHei" w:eastAsia="MicrosoftYaHei"/>
          <w:sz w:val="22"/>
        </w:rPr>
        <w:t>与工业增速回落形成对比，服务业在同期增速有所提升 [1]：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消费和服务领域展现出一定韧性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服务业占GDP比重提升至56.7% [4]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4. 微观主体感受：小微经营者持续承压</w:t>
      </w:r>
    </w:p>
    <w:p>
      <w:pPr/>
      <w:r>
        <w:rPr>
          <w:rFonts w:ascii="MicrosoftYaHei" w:hAnsi="MicrosoftYaHei" w:eastAsia="MicrosoftYaHei"/>
          <w:sz w:val="22"/>
        </w:rPr>
        <w:t>宏观经济数据与微观主体的实际感受之间存在“温差”，小微企业面临的挑战尤为严峻 [3]。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4.1 生存状况调研</w:t>
      </w:r>
    </w:p>
    <w:p>
      <w:pPr/>
      <w:r>
        <w:rPr>
          <w:rFonts w:ascii="MicrosoftYaHei" w:hAnsi="MicrosoftYaHei" w:eastAsia="MicrosoftYaHei"/>
          <w:sz w:val="22"/>
        </w:rPr>
        <w:t>北京大学等机构连续第18个季度追踪调查显示，2024年四季度中国小微经营者生存状况依然面临压力 [3]：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这是反映中国经济“毛细血管”健康度的重要指标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调查覆盖广泛，具有较高代表性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4.2 信心与预期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市场主体信心普遍不佳</w:t>
      </w:r>
      <w:r>
        <w:rPr>
          <w:rFonts w:ascii="MicrosoftYaHei" w:hAnsi="MicrosoftYaHei" w:eastAsia="MicrosoftYaHei"/>
          <w:sz w:val="22"/>
        </w:rPr>
        <w:t>：与房地产市场持续下行、需求不足等宏观挑战相互叠加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负反馈循环</w:t>
      </w:r>
      <w:r>
        <w:rPr>
          <w:rFonts w:ascii="MicrosoftYaHei" w:hAnsi="MicrosoftYaHei" w:eastAsia="MicrosoftYaHei"/>
          <w:sz w:val="22"/>
        </w:rPr>
        <w:t>：信心不足→消费/投资意愿下降→经济恢复放缓→信心进一步走弱 [5]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5. 资本市场环境：政策转向与市场预期重塑</w:t>
      </w:r>
    </w:p>
    <w:p>
      <w:pPr/>
      <w:r>
        <w:rPr>
          <w:rFonts w:ascii="MicrosoftYaHei" w:hAnsi="MicrosoftYaHei" w:eastAsia="MicrosoftYaHei"/>
          <w:sz w:val="22"/>
        </w:rPr>
        <w:t>由于搜索结果中未包含2024年第四季度资本市场实时数据，以下分析基于历史周期规律和宏观逻辑推演，不包含实际发生的具体指数点位、突发事件或精确数据。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5.1 全球宏观环境与货币政策博弈</w:t>
      </w:r>
    </w:p>
    <w:p>
      <w:pPr/>
      <w:r>
        <w:rPr>
          <w:rFonts w:ascii="MicrosoftYaHei" w:hAnsi="MicrosoftYaHei" w:eastAsia="MicrosoftYaHei"/>
          <w:sz w:val="22"/>
        </w:rPr>
        <w:t>2024年第四季度全球市场核心叙事围绕两大主题：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美联储降息周期</w:t>
      </w:r>
      <w:r>
        <w:rPr>
          <w:rFonts w:ascii="MicrosoftYaHei" w:hAnsi="MicrosoftYaHei" w:eastAsia="MicrosoftYaHei"/>
          <w:sz w:val="22"/>
        </w:rPr>
        <w:t>：市场关注焦点从“何时降息”转向“降息幅度与经济能否软着陆”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美国大选结果</w:t>
      </w:r>
      <w:r>
        <w:rPr>
          <w:rFonts w:ascii="MicrosoftYaHei" w:hAnsi="MicrosoftYaHei" w:eastAsia="MicrosoftYaHei"/>
          <w:sz w:val="22"/>
        </w:rPr>
        <w:t>：11月大选成为最具确定性的不确定因素，不同政策组合将决定行业轮动方向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5.2 大类资产表现推演</w:t>
      </w:r>
    </w:p>
    <w:p>
      <w:pPr/>
      <w:r>
        <w:rPr>
          <w:rFonts w:ascii="MicrosoftYaHei" w:hAnsi="MicrosoftYaHei" w:eastAsia="MicrosoftYaHei"/>
          <w:sz w:val="22"/>
        </w:rPr>
        <w:t>| 资产类别 | 推演逻辑 | 关键关注点 |</w:t>
      </w:r>
    </w:p>
    <w:p>
      <w:pPr/>
      <w:r>
        <w:rPr>
          <w:rFonts w:ascii="MicrosoftYaHei" w:hAnsi="MicrosoftYaHei" w:eastAsia="MicrosoftYaHei"/>
          <w:sz w:val="22"/>
        </w:rPr>
        <w:t>|---------|---------|-----------|</w:t>
      </w:r>
    </w:p>
    <w:p>
      <w:pPr/>
      <w:r>
        <w:rPr>
          <w:rFonts w:ascii="MicrosoftYaHei" w:hAnsi="MicrosoftYaHei" w:eastAsia="MicrosoftYaHei"/>
          <w:sz w:val="22"/>
        </w:rPr>
        <w:t>| 固收类资产（美债） | 降息落地后，短端收益率下降快于长端，收益率曲线牛陡 | 利率下行带来的确定性收益 |</w:t>
      </w:r>
    </w:p>
    <w:p>
      <w:pPr/>
      <w:r>
        <w:rPr>
          <w:rFonts w:ascii="MicrosoftYaHei" w:hAnsi="MicrosoftYaHei" w:eastAsia="MicrosoftYaHei"/>
          <w:sz w:val="22"/>
        </w:rPr>
        <w:t>| 美股 | 估值高位面临季节性压力，科技股业绩成关键 | 七巨头盈利与市场风格切换 |</w:t>
      </w:r>
    </w:p>
    <w:p>
      <w:pPr/>
      <w:r>
        <w:rPr>
          <w:rFonts w:ascii="MicrosoftYaHei" w:hAnsi="MicrosoftYaHei" w:eastAsia="MicrosoftYaHei"/>
          <w:sz w:val="22"/>
        </w:rPr>
        <w:t>| A股/港股 | 估值处历史低位，存量博弈为主 | 高股息策略、外资回流情况 |</w:t>
      </w:r>
    </w:p>
    <w:p>
      <w:pPr/>
      <w:r>
        <w:rPr>
          <w:rFonts w:ascii="MicrosoftYaHei" w:hAnsi="MicrosoftYaHei" w:eastAsia="MicrosoftYaHei"/>
          <w:sz w:val="22"/>
        </w:rPr>
        <w:t>| 黄金 | 降息周期+避险需求+央行购金 | 高位震荡有望维持 |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5.3 A股市场特征推演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估值处于历史低位的概率较大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Q4机构结账期与排名压力下，市场或以存量博弈为主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高股息策略是防守优选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超跌成长股（医药、半导体）的估值修复取决于外资回流情况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6. 政策环境评估：逆周期调节加码</w:t>
      </w:r>
    </w:p>
    <w:p>
      <w:pPr/>
      <w:r>
        <w:rPr>
          <w:rFonts w:ascii="MicrosoftYaHei" w:hAnsi="MicrosoftYaHei" w:eastAsia="MicrosoftYaHei"/>
          <w:sz w:val="22"/>
        </w:rPr>
        <w:t>面对加剧的经济下行压力，宏观政策在2024年下半年，尤其是四季度，转向显著积极。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6.1 一揽子增量政策出台</w:t>
      </w:r>
    </w:p>
    <w:p>
      <w:pPr/>
      <w:r>
        <w:rPr>
          <w:rFonts w:ascii="MicrosoftYaHei" w:hAnsi="MicrosoftYaHei" w:eastAsia="MicrosoftYaHei"/>
          <w:sz w:val="22"/>
        </w:rPr>
        <w:t>9月底以来，决策层果断推出了一系列超出市场预期的增量政策 [2]：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货币政策</w:t>
      </w:r>
      <w:r>
        <w:rPr>
          <w:rFonts w:ascii="MicrosoftYaHei" w:hAnsi="MicrosoftYaHei" w:eastAsia="MicrosoftYaHei"/>
          <w:sz w:val="22"/>
        </w:rPr>
        <w:t>：市场预计有进一步降息降准操作，以支持实体经济 [4]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财政政策</w:t>
      </w:r>
      <w:r>
        <w:rPr>
          <w:rFonts w:ascii="MicrosoftYaHei" w:hAnsi="MicrosoftYaHei" w:eastAsia="MicrosoftYaHei"/>
          <w:sz w:val="22"/>
        </w:rPr>
        <w:t>：财政扩张力度加大，通过特别国债、地方化债等方式托底经济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房地产政策</w:t>
      </w:r>
      <w:r>
        <w:rPr>
          <w:rFonts w:ascii="MicrosoftYaHei" w:hAnsi="MicrosoftYaHei" w:eastAsia="MicrosoftYaHei"/>
          <w:sz w:val="22"/>
        </w:rPr>
        <w:t>：出台稳定市场措施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6.2 政策效果初步显现</w:t>
      </w:r>
    </w:p>
    <w:p>
      <w:pPr/>
      <w:r>
        <w:rPr>
          <w:rFonts w:ascii="MicrosoftYaHei" w:hAnsi="MicrosoftYaHei" w:eastAsia="MicrosoftYaHei"/>
          <w:sz w:val="22"/>
        </w:rPr>
        <w:t>核心数据与趋势：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生产和出口</w:t>
      </w:r>
      <w:r>
        <w:rPr>
          <w:rFonts w:ascii="MicrosoftYaHei" w:hAnsi="MicrosoftYaHei" w:eastAsia="MicrosoftYaHei"/>
          <w:sz w:val="22"/>
        </w:rPr>
        <w:t>：政策拉动作用明显 [3]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消费端</w:t>
      </w:r>
      <w:r>
        <w:rPr>
          <w:rFonts w:ascii="MicrosoftYaHei" w:hAnsi="MicrosoftYaHei" w:eastAsia="MicrosoftYaHei"/>
          <w:sz w:val="22"/>
        </w:rPr>
        <w:t>：边际改善 [2]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房地产市场</w:t>
      </w:r>
      <w:r>
        <w:rPr>
          <w:rFonts w:ascii="MicrosoftYaHei" w:hAnsi="MicrosoftYaHei" w:eastAsia="MicrosoftYaHei"/>
          <w:sz w:val="22"/>
        </w:rPr>
        <w:t>：有边际提振 [2]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物价预期</w:t>
      </w:r>
      <w:r>
        <w:rPr>
          <w:rFonts w:ascii="MicrosoftYaHei" w:hAnsi="MicrosoftYaHei" w:eastAsia="MicrosoftYaHei"/>
          <w:sz w:val="22"/>
        </w:rPr>
        <w:t>：有望推动四季度物价温和回升 [4]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6.3 结构性战略持续推进</w:t>
      </w:r>
    </w:p>
    <w:p>
      <w:pPr/>
      <w:r>
        <w:rPr>
          <w:rFonts w:ascii="MicrosoftYaHei" w:hAnsi="MicrosoftYaHei" w:eastAsia="MicrosoftYaHei"/>
          <w:sz w:val="22"/>
        </w:rPr>
        <w:t>在短期稳定政策之外，国家持续推进中长期结构性改革 [4]：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产业升级与新质生产力</w:t>
      </w:r>
      <w:r>
        <w:rPr>
          <w:rFonts w:ascii="MicrosoftYaHei" w:hAnsi="MicrosoftYaHei" w:eastAsia="MicrosoftYaHei"/>
          <w:sz w:val="22"/>
        </w:rPr>
        <w:t>：加快培育新质生产力 [5]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绿色低碳转型</w:t>
      </w:r>
      <w:r>
        <w:rPr>
          <w:rFonts w:ascii="MicrosoftYaHei" w:hAnsi="MicrosoftYaHei" w:eastAsia="MicrosoftYaHei"/>
          <w:sz w:val="22"/>
        </w:rPr>
        <w:t>：成为确定性趋势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新型城镇化</w:t>
      </w:r>
      <w:r>
        <w:rPr>
          <w:rFonts w:ascii="MicrosoftYaHei" w:hAnsi="MicrosoftYaHei" w:eastAsia="MicrosoftYaHei"/>
          <w:sz w:val="22"/>
        </w:rPr>
        <w:t>：被视为释放内需潜力的重要途径 [4]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7. 全球市场联动与风险因素</w:t>
      </w:r>
    </w:p>
    <w:p>
      <w:pPr/>
      <w:r>
        <w:rPr>
          <w:rFonts w:ascii="MicrosoftYaHei" w:hAnsi="MicrosoftYaHei" w:eastAsia="MicrosoftYaHei"/>
          <w:sz w:val="22"/>
        </w:rPr>
        <w:t>2024年第四季度，外部环境复杂性和不确定性加剧 [1]。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7.1 外部压力与不确定性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地缘政治冲突</w:t>
      </w:r>
      <w:r>
        <w:rPr>
          <w:rFonts w:ascii="MicrosoftYaHei" w:hAnsi="MicrosoftYaHei" w:eastAsia="MicrosoftYaHei"/>
          <w:sz w:val="22"/>
        </w:rPr>
        <w:t>：持续给中国出口和供应链带来挑战 [1]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全球贸易政策</w:t>
      </w:r>
      <w:r>
        <w:rPr>
          <w:rFonts w:ascii="MicrosoftYaHei" w:hAnsi="MicrosoftYaHei" w:eastAsia="MicrosoftYaHei"/>
          <w:sz w:val="22"/>
        </w:rPr>
        <w:t>：贸易壁垒等因素增加外需不确定性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美国大选结果</w:t>
      </w:r>
      <w:r>
        <w:rPr>
          <w:rFonts w:ascii="MicrosoftYaHei" w:hAnsi="MicrosoftYaHei" w:eastAsia="MicrosoftYaHei"/>
          <w:sz w:val="22"/>
        </w:rPr>
        <w:t>：不同候选人的贸易政策、能源政策及财政扩张力度将影响2025年全球市场格局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7.2 全球市场联动分析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出口表现与全球经济景气度高度相关，四季度外需持续强劲是稳定经济的重要力量 [3][5]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美联储货币政策走向通过利率、汇率渠道影响中国资本流动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7.3 风险因素提示</w:t>
      </w:r>
    </w:p>
    <w:p>
      <w:pPr/>
      <w:r>
        <w:rPr>
          <w:rFonts w:ascii="MicrosoftYaHei" w:hAnsi="MicrosoftYaHei" w:eastAsia="MicrosoftYaHei"/>
          <w:sz w:val="22"/>
        </w:rPr>
        <w:t>核心风险点包括：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全球经济数据波动对贸易产业链的影响 [1]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房地产市场的深度调整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市场主体信心与预期的自我实现机制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外部贸易环境不确定性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8. 结论与展望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8.1 核心发现总结</w:t>
      </w:r>
    </w:p>
    <w:p>
      <w:pPr/>
      <w:r>
        <w:rPr>
          <w:rFonts w:ascii="MicrosoftYaHei" w:hAnsi="MicrosoftYaHei" w:eastAsia="MicrosoftYaHei"/>
          <w:sz w:val="22"/>
        </w:rPr>
        <w:t xml:space="preserve">1. </w:t>
      </w:r>
      <w:r>
        <w:rPr>
          <w:rFonts w:ascii="MicrosoftYaHei" w:hAnsi="MicrosoftYaHei" w:eastAsia="MicrosoftYaHei"/>
          <w:b/>
          <w:sz w:val="22"/>
        </w:rPr>
        <w:t>经济目标达成，结构分化显著</w:t>
      </w:r>
      <w:r>
        <w:rPr>
          <w:rFonts w:ascii="MicrosoftYaHei" w:hAnsi="MicrosoftYaHei" w:eastAsia="MicrosoftYaHei"/>
          <w:sz w:val="22"/>
        </w:rPr>
        <w:t>：2024年GDP增速实现5%左右的预期目标，但“外强内弱”格局贯穿全年 [3][4]。</w:t>
      </w:r>
    </w:p>
    <w:p>
      <w:pPr/>
      <w:r>
        <w:rPr>
          <w:rFonts w:ascii="MicrosoftYaHei" w:hAnsi="MicrosoftYaHei" w:eastAsia="MicrosoftYaHei"/>
          <w:sz w:val="22"/>
        </w:rPr>
        <w:t xml:space="preserve">2. </w:t>
      </w:r>
      <w:r>
        <w:rPr>
          <w:rFonts w:ascii="MicrosoftYaHei" w:hAnsi="MicrosoftYaHei" w:eastAsia="MicrosoftYaHei"/>
          <w:b/>
          <w:sz w:val="22"/>
        </w:rPr>
        <w:t>政策效果显现，但基础尚不牢固</w:t>
      </w:r>
      <w:r>
        <w:rPr>
          <w:rFonts w:ascii="MicrosoftYaHei" w:hAnsi="MicrosoftYaHei" w:eastAsia="MicrosoftYaHei"/>
          <w:sz w:val="22"/>
        </w:rPr>
        <w:t>：9月底一揽子增量政策有效提振了四季度经济，但复苏的不平衡性问题依然突出 [2][5]。</w:t>
      </w:r>
    </w:p>
    <w:p>
      <w:pPr/>
      <w:r>
        <w:rPr>
          <w:rFonts w:ascii="MicrosoftYaHei" w:hAnsi="MicrosoftYaHei" w:eastAsia="MicrosoftYaHei"/>
          <w:sz w:val="22"/>
        </w:rPr>
        <w:t xml:space="preserve">3. </w:t>
      </w:r>
      <w:r>
        <w:rPr>
          <w:rFonts w:ascii="MicrosoftYaHei" w:hAnsi="MicrosoftYaHei" w:eastAsia="MicrosoftYaHei"/>
          <w:b/>
          <w:sz w:val="22"/>
        </w:rPr>
        <w:t>产业与区域分化明显</w:t>
      </w:r>
      <w:r>
        <w:rPr>
          <w:rFonts w:ascii="MicrosoftYaHei" w:hAnsi="MicrosoftYaHei" w:eastAsia="MicrosoftYaHei"/>
          <w:sz w:val="22"/>
        </w:rPr>
        <w:t>：服务业、高技术制造业表现亮眼，而传统工业、房地产持续承压；小微经营者面临严峻挑战 [3]。</w:t>
      </w:r>
    </w:p>
    <w:p>
      <w:pPr/>
      <w:r>
        <w:rPr>
          <w:rFonts w:ascii="MicrosoftYaHei" w:hAnsi="MicrosoftYaHei" w:eastAsia="MicrosoftYaHei"/>
          <w:sz w:val="22"/>
        </w:rPr>
        <w:t xml:space="preserve">4. </w:t>
      </w:r>
      <w:r>
        <w:rPr>
          <w:rFonts w:ascii="MicrosoftYaHei" w:hAnsi="MicrosoftYaHei" w:eastAsia="MicrosoftYaHei"/>
          <w:b/>
          <w:sz w:val="22"/>
        </w:rPr>
        <w:t>市场主体信心待修复</w:t>
      </w:r>
      <w:r>
        <w:rPr>
          <w:rFonts w:ascii="MicrosoftYaHei" w:hAnsi="MicrosoftYaHei" w:eastAsia="MicrosoftYaHei"/>
          <w:sz w:val="22"/>
        </w:rPr>
        <w:t>：微观主体感受与宏观数据存在“温差”，信心重建是未来关键 [5]。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8.2 2025年展望与建议</w:t>
      </w:r>
    </w:p>
    <w:p>
      <w:pPr/>
      <w:r>
        <w:rPr>
          <w:rFonts w:ascii="MicrosoftYaHei" w:hAnsi="MicrosoftYaHei" w:eastAsia="MicrosoftYaHei"/>
          <w:b/>
          <w:sz w:val="22"/>
        </w:rPr>
        <w:t>核心展望：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扩内需成为首要政策目标</w:t>
      </w:r>
      <w:r>
        <w:rPr>
          <w:rFonts w:ascii="MicrosoftYaHei" w:hAnsi="MicrosoftYaHei" w:eastAsia="MicrosoftYaHei"/>
          <w:sz w:val="22"/>
        </w:rPr>
        <w:t>：鉴于外需不确定性增加，2025年增长重心将更多转向扩内需 [3]。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房地产市场企稳是关键</w:t>
      </w:r>
      <w:r>
        <w:rPr>
          <w:rFonts w:ascii="MicrosoftYaHei" w:hAnsi="MicrosoftYaHei" w:eastAsia="MicrosoftYaHei"/>
          <w:sz w:val="22"/>
        </w:rPr>
        <w:t>：作为影响市场信心的核心变量，房地产能否止跌回稳将决定经济复苏成色 [5]。</w:t>
      </w:r>
    </w:p>
    <w:p>
      <w:pPr>
        <w:pStyle w:val="ListBullet"/>
      </w:pPr>
      <w:r>
        <w:rPr>
          <w:rFonts w:ascii="MicrosoftYaHei" w:hAnsi="MicrosoftYaHei" w:eastAsia="MicrosoftYaHei"/>
          <w:b/>
          <w:sz w:val="22"/>
        </w:rPr>
        <w:t>新质生产力与绿色转型持续推进</w:t>
      </w:r>
      <w:r>
        <w:rPr>
          <w:rFonts w:ascii="MicrosoftYaHei" w:hAnsi="MicrosoftYaHei" w:eastAsia="MicrosoftYaHei"/>
          <w:sz w:val="22"/>
        </w:rPr>
        <w:t>：产业升级和高质量发展方向不变 [4][5]。</w:t>
      </w:r>
    </w:p>
    <w:p>
      <w:pPr/>
      <w:r>
        <w:rPr>
          <w:rFonts w:ascii="MicrosoftYaHei" w:hAnsi="MicrosoftYaHei" w:eastAsia="MicrosoftYaHei"/>
          <w:b/>
          <w:sz w:val="22"/>
        </w:rPr>
        <w:t>政策建议：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持续加码财政与货币宽松政策，稳定市场预期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聚焦消费复苏与房地产市场稳定，打通内需循环堵点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强化对小微企业的精准扶持，修复市场主体信心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>在应对外部不确定性的同时，坚定推进结构性改革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参考来源</w:t>
      </w:r>
    </w:p>
    <w:p>
      <w:pPr/>
      <w:r>
        <w:rPr>
          <w:rFonts w:ascii="MicrosoftYaHei" w:hAnsi="MicrosoftYaHei" w:eastAsia="MicrosoftYaHei"/>
          <w:sz w:val="22"/>
        </w:rPr>
        <w:t>[1] 毕马威中国：《中国经济观察:2024年四季度》</w:t>
      </w:r>
    </w:p>
    <w:p>
      <w:pPr/>
      <w:r>
        <w:rPr>
          <w:rFonts w:ascii="MicrosoftYaHei" w:hAnsi="MicrosoftYaHei" w:eastAsia="MicrosoftYaHei"/>
          <w:sz w:val="22"/>
        </w:rPr>
        <w:t>[2] 国家统计局：《中华人民共和国2024年国民经济和社会发展统计公报》</w:t>
      </w:r>
    </w:p>
    <w:p>
      <w:pPr/>
      <w:r>
        <w:rPr>
          <w:rFonts w:ascii="MicrosoftYaHei" w:hAnsi="MicrosoftYaHei" w:eastAsia="MicrosoftYaHei"/>
          <w:sz w:val="22"/>
        </w:rPr>
        <w:t>[3] 北京大学光华管理学院：《中国小微经营者调查2024年四季度报告》</w:t>
      </w:r>
    </w:p>
    <w:p>
      <w:pPr/>
      <w:r>
        <w:rPr>
          <w:rFonts w:ascii="MicrosoftYaHei" w:hAnsi="MicrosoftYaHei" w:eastAsia="MicrosoftYaHei"/>
          <w:sz w:val="22"/>
        </w:rPr>
        <w:t>[4] 《2024年第四季度中国经济观察报告》相关解读</w:t>
      </w:r>
    </w:p>
    <w:p>
      <w:pPr/>
      <w:r>
        <w:rPr>
          <w:rFonts w:ascii="MicrosoftYaHei" w:hAnsi="MicrosoftYaHei" w:eastAsia="MicrosoftYaHei"/>
          <w:sz w:val="22"/>
        </w:rPr>
        <w:t>[5] 《中国银行宏观观察》内部参考报告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/>
      <w:r>
        <w:rPr>
          <w:rFonts w:ascii="MicrosoftYaHei" w:hAnsi="MicrosoftYaHei" w:eastAsia="MicrosoftYaHei"/>
          <w:b/>
          <w:sz w:val="22"/>
        </w:rPr>
        <w:t>数据局限性声明：</w:t>
      </w:r>
      <w:r>
        <w:rPr>
          <w:rFonts w:ascii="MicrosoftYaHei" w:hAnsi="MicrosoftYaHei" w:eastAsia="MicrosoftYaHei"/>
          <w:sz w:val="22"/>
        </w:rPr>
        <w:t xml:space="preserve"> 本报告基于提供的搜索素材撰写。关于资本市场表现与结构变化部分（第5节），因未获得2024年第四季度实际发生的指数点位、具体企业财报、突发事件等实时数据，该部分分析基于截至2024年初的宏观经济学常识、历史周期规律及逻辑推演，仅供框架性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YaHei" w:hAnsi="MicrosoftYaHei" w:eastAsia="Microsoft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YaHei" w:hAnsi="MicrosoftYaHei" w:eastAsia="Microsoft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YaHei" w:hAnsi="MicrosoftYaHei" w:eastAsia="Microsoft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