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YaHei" w:hAnsi="MicrosoftYaHei" w:eastAsia="MicrosoftYaHei"/>
          <w:sz w:val="36"/>
        </w:rPr>
        <w:t>第四季度全球市场分析报告</w:t>
      </w:r>
    </w:p>
    <w:p>
      <w:pPr/>
      <w:r>
        <w:rPr>
          <w:rFonts w:ascii="MicrosoftYaHei" w:hAnsi="MicrosoftYaHei" w:eastAsia="MicrosoftYaHei"/>
          <w:sz w:val="22"/>
        </w:rPr>
        <w:t xml:space="preserve">&gt; </w:t>
      </w:r>
      <w:r>
        <w:rPr>
          <w:rFonts w:ascii="MicrosoftYaHei" w:hAnsi="MicrosoftYaHei" w:eastAsia="MicrosoftYaHei"/>
          <w:b/>
          <w:sz w:val="22"/>
        </w:rPr>
        <w:t>日期：</w:t>
      </w:r>
      <w:r>
        <w:rPr>
          <w:rFonts w:ascii="MicrosoftYaHei" w:hAnsi="MicrosoftYaHei" w:eastAsia="MicrosoftYaHei"/>
          <w:sz w:val="22"/>
        </w:rPr>
        <w:t xml:space="preserve"> 2024-12-31</w:t>
      </w:r>
    </w:p>
    <w:p>
      <w:pPr/>
      <w:r>
        <w:rPr>
          <w:rFonts w:ascii="MicrosoftYaHei" w:hAnsi="MicrosoftYaHei" w:eastAsia="MicrosoftYaHei"/>
          <w:sz w:val="22"/>
        </w:rPr>
        <w:t xml:space="preserve">&gt; </w:t>
      </w:r>
      <w:r>
        <w:rPr>
          <w:rFonts w:ascii="MicrosoftYaHei" w:hAnsi="MicrosoftYaHei" w:eastAsia="MicrosoftYaHei"/>
          <w:b/>
          <w:sz w:val="22"/>
        </w:rPr>
        <w:t>编制单位：</w:t>
      </w:r>
      <w:r>
        <w:rPr>
          <w:rFonts w:ascii="MicrosoftYaHei" w:hAnsi="MicrosoftYaHei" w:eastAsia="MicrosoftYaHei"/>
          <w:sz w:val="22"/>
        </w:rPr>
        <w:t xml:space="preserve"> 市场研究团队</w:t>
      </w:r>
    </w:p>
    <w:p>
      <w:pPr/>
      <w:r>
        <w:rPr>
          <w:rFonts w:ascii="MicrosoftYaHei" w:hAnsi="MicrosoftYaHei" w:eastAsia="MicrosoftYaHei"/>
          <w:sz w:val="22"/>
        </w:rPr>
        <w:t xml:space="preserve">&gt; </w:t>
      </w:r>
      <w:r>
        <w:rPr>
          <w:rFonts w:ascii="MicrosoftYaHei" w:hAnsi="MicrosoftYaHei" w:eastAsia="MicrosoftYaHei"/>
          <w:b/>
          <w:sz w:val="22"/>
        </w:rPr>
        <w:t>密级：</w:t>
      </w:r>
      <w:r>
        <w:rPr>
          <w:rFonts w:ascii="MicrosoftYaHei" w:hAnsi="MicrosoftYaHei" w:eastAsia="MicrosoftYaHei"/>
          <w:sz w:val="22"/>
        </w:rPr>
        <w:t xml:space="preserve"> 内部参阅</w:t>
      </w:r>
    </w:p>
    <w:p>
      <w:pPr/>
      <w:r>
        <w:rPr>
          <w:rFonts w:ascii="MicrosoftYaHei" w:hAnsi="MicrosoftYaHei" w:eastAsia="MicrosoftYaHei"/>
          <w:sz w:val="22"/>
        </w:rPr>
        <w:t>第四季度全球市场增速有所放缓，但不同行业之间表现差异很大。消费电子、新能源和企业软件增长稳定，传统零售和原材料行业则面临压力。可持续消费增长加快，生成式AI开始在实际生产中使用，供应链的区域化趋势也在持续。大公司通过并购巩固市场地位，中型企业转向更细分领域竞争，Web3等新技术带来新的挑战者。市场增长动力正从总量扩张转向结构升级，企业应该聚焦自己的优势，优先保障现金流健康，同时加强差异化能力。</w:t>
      </w:r>
    </w:p>
    <w:p>
      <w:pPr/>
      <w:r>
        <w:rPr>
          <w:rFonts w:ascii="MicrosoftYaHei" w:hAnsi="MicrosoftYaHei" w:eastAsia="MicrosoftYaHei"/>
          <w:sz w:val="22"/>
        </w:rPr>
        <w:t>---</w:t>
      </w:r>
    </w:p>
    <w:p>
      <w:pPr>
        <w:pStyle w:val="Heading2"/>
      </w:pPr>
      <w:r>
        <w:rPr>
          <w:rFonts w:ascii="MicrosoftYaHei" w:hAnsi="MicrosoftYaHei" w:eastAsia="MicrosoftYaHei"/>
          <w:sz w:val="28"/>
        </w:rPr>
        <w:t>一、市场整体表现概览</w:t>
      </w:r>
    </w:p>
    <w:p>
      <w:pPr>
        <w:pStyle w:val="Heading3"/>
      </w:pPr>
      <w:r>
        <w:rPr>
          <w:rFonts w:ascii="MicrosoftYaHei" w:hAnsi="MicrosoftYaHei" w:eastAsia="MicrosoftYaHei"/>
          <w:sz w:val="24"/>
        </w:rPr>
        <w:t>1.1 市场规模与增速</w:t>
      </w:r>
    </w:p>
    <w:p>
      <w:pPr/>
      <w:r>
        <w:rPr>
          <w:rFonts w:ascii="MicrosoftYaHei" w:hAnsi="MicrosoftYaHei" w:eastAsia="MicrosoftYaHei"/>
          <w:sz w:val="22"/>
        </w:rPr>
        <w:t>全球GDP在第四季度同比增长2.8%，低于第三季度的3.1%。主要经济体的通胀压力有所缓解，利率环境趋于稳定。全球企业信心指数环比回升3.2%，但仍比历史均值低5%以上，说明企业对未来预期还比较谨慎。信息技术和新能源两个行业增长最快，季度复合增速分别达到6.8%和5.2%。传统制造业和零售业增速较低，分别为1.1%和0.4%，线下客流和大宗商品需求疲软。</w:t>
      </w:r>
    </w:p>
    <w:p>
      <w:pPr/>
      <w:r>
        <w:rPr>
          <w:rFonts w:ascii="MicrosoftYaHei" w:hAnsi="MicrosoftYaHei" w:eastAsia="MicrosoftYaHei"/>
          <w:sz w:val="22"/>
        </w:rPr>
        <w:t>（表格保留）</w:t>
      </w:r>
    </w:p>
    <w:p>
      <w:pPr>
        <w:pStyle w:val="Heading3"/>
      </w:pPr>
      <w:r>
        <w:rPr>
          <w:rFonts w:ascii="MicrosoftYaHei" w:hAnsi="MicrosoftYaHei" w:eastAsia="MicrosoftYaHei"/>
          <w:sz w:val="24"/>
        </w:rPr>
        <w:t>1.2 关键经济指标</w:t>
      </w:r>
    </w:p>
    <w:p>
      <w:pPr/>
      <w:r>
        <w:rPr>
          <w:rFonts w:ascii="MicrosoftYaHei" w:hAnsi="MicrosoftYaHei" w:eastAsia="MicrosoftYaHei"/>
          <w:sz w:val="22"/>
        </w:rPr>
        <w:t>（表格保留）</w:t>
      </w:r>
    </w:p>
    <w:p>
      <w:pPr>
        <w:pStyle w:val="Heading3"/>
      </w:pPr>
      <w:r>
        <w:rPr>
          <w:rFonts w:ascii="MicrosoftYaHei" w:hAnsi="MicrosoftYaHei" w:eastAsia="MicrosoftYaHei"/>
          <w:sz w:val="24"/>
        </w:rPr>
        <w:t>1.3 细分市场表现对比</w:t>
      </w:r>
    </w:p>
    <w:p>
      <w:pPr/>
      <w:r>
        <w:rPr>
          <w:rFonts w:ascii="MicrosoftYaHei" w:hAnsi="MicrosoftYaHei" w:eastAsia="MicrosoftYaHei"/>
          <w:sz w:val="22"/>
        </w:rPr>
        <w:t>（表格保留）</w:t>
      </w:r>
    </w:p>
    <w:p>
      <w:pPr>
        <w:pStyle w:val="Heading3"/>
      </w:pPr>
      <w:r>
        <w:rPr>
          <w:rFonts w:ascii="MicrosoftYaHei" w:hAnsi="MicrosoftYaHei" w:eastAsia="MicrosoftYaHei"/>
          <w:sz w:val="24"/>
        </w:rPr>
        <w:t>1.4 季节性与突发事件</w:t>
      </w:r>
    </w:p>
    <w:p>
      <w:pPr/>
      <w:r>
        <w:rPr>
          <w:rFonts w:ascii="MicrosoftYaHei" w:hAnsi="MicrosoftYaHei" w:eastAsia="MicrosoftYaHei"/>
          <w:sz w:val="22"/>
        </w:rPr>
        <w:t>黑色星期五和双十一期间，全球线上零售额同比增长6.3%，低于去年的8.1%，折扣力度是近年最大的。红海航运危机导致12月绕行好望角，航运成本增加约15%，交货周期延长5到7天。北美暴雪和欧洲洪水影响了局部生产和物流，第四季度供应链中断指数环比上升12%。</w:t>
      </w:r>
    </w:p>
    <w:p>
      <w:pPr/>
      <w:r>
        <w:rPr>
          <w:rFonts w:ascii="MicrosoftYaHei" w:hAnsi="MicrosoftYaHei" w:eastAsia="MicrosoftYaHei"/>
          <w:sz w:val="22"/>
        </w:rPr>
        <w:t>---</w:t>
      </w:r>
    </w:p>
    <w:p>
      <w:pPr>
        <w:pStyle w:val="Heading2"/>
      </w:pPr>
      <w:r>
        <w:rPr>
          <w:rFonts w:ascii="MicrosoftYaHei" w:hAnsi="MicrosoftYaHei" w:eastAsia="MicrosoftYaHei"/>
          <w:sz w:val="28"/>
        </w:rPr>
        <w:t>二、行业趋势与热点分析</w:t>
      </w:r>
    </w:p>
    <w:p>
      <w:pPr>
        <w:pStyle w:val="Heading3"/>
      </w:pPr>
      <w:r>
        <w:rPr>
          <w:rFonts w:ascii="MicrosoftYaHei" w:hAnsi="MicrosoftYaHei" w:eastAsia="MicrosoftYaHei"/>
          <w:sz w:val="24"/>
        </w:rPr>
        <w:t>2.1 技术驱动趋势：从概念验证到实际应用</w:t>
      </w:r>
    </w:p>
    <w:p>
      <w:pPr/>
      <w:r>
        <w:rPr>
          <w:rFonts w:ascii="MicrosoftYaHei" w:hAnsi="MicrosoftYaHei" w:eastAsia="MicrosoftYaHei"/>
          <w:sz w:val="22"/>
        </w:rPr>
        <w:t>生成式AI的部署率从第三季度的22%上升到第四季度的37%，主要用在客户服务、代码生成、内容制作和市场分析等方面。欧盟AI法案进入最后审议阶段，中国发布了《生成式人工智能服务管理办法实施细则》。物联网和边缘计算在工厂自动化场景中部署量环比增长28%。</w:t>
      </w:r>
    </w:p>
    <w:p>
      <w:pPr/>
      <w:r>
        <w:rPr>
          <w:rFonts w:ascii="MicrosoftYaHei" w:hAnsi="MicrosoftYaHei" w:eastAsia="MicrosoftYaHei"/>
          <w:sz w:val="22"/>
        </w:rPr>
        <w:t>企业采购AI正在从实验预算转向运营预算，AI投入的回报开始被纳入季度考核。</w:t>
      </w:r>
    </w:p>
    <w:p>
      <w:pPr>
        <w:pStyle w:val="Heading3"/>
      </w:pPr>
      <w:r>
        <w:rPr>
          <w:rFonts w:ascii="MicrosoftYaHei" w:hAnsi="MicrosoftYaHei" w:eastAsia="MicrosoftYaHei"/>
          <w:sz w:val="24"/>
        </w:rPr>
        <w:t>2.2 消费端趋势：理性消费与体验经济并行</w:t>
      </w:r>
    </w:p>
    <w:p>
      <w:pPr/>
      <w:r>
        <w:rPr>
          <w:rFonts w:ascii="MicrosoftYaHei" w:hAnsi="MicrosoftYaHei" w:eastAsia="MicrosoftYaHei"/>
          <w:sz w:val="22"/>
        </w:rPr>
        <w:t>可持续产品销售额同比增长18%，其中电子产品回收和可降解包装增长超过30%。体验式消费（旅游、现场娱乐、个性化服务）同比增长11%，消费者愿意为独特体验支付更高价格。直播电商渗透率从19%上升到22%，但退货率也上升到了35%。</w:t>
      </w:r>
    </w:p>
    <w:p>
      <w:pPr/>
      <w:r>
        <w:rPr>
          <w:rFonts w:ascii="MicrosoftYaHei" w:hAnsi="MicrosoftYaHei" w:eastAsia="MicrosoftYaHei"/>
          <w:sz w:val="22"/>
        </w:rPr>
        <w:t>消费者对折扣敏感度在提高，但同时更关注品牌价值观，ESG已成为影响购买决策的前三个因素之一。</w:t>
      </w:r>
    </w:p>
    <w:p>
      <w:pPr>
        <w:pStyle w:val="Heading3"/>
      </w:pPr>
      <w:r>
        <w:rPr>
          <w:rFonts w:ascii="MicrosoftYaHei" w:hAnsi="MicrosoftYaHei" w:eastAsia="MicrosoftYaHei"/>
          <w:sz w:val="24"/>
        </w:rPr>
        <w:t>2.3 供应链与成本趋势</w:t>
      </w:r>
    </w:p>
    <w:p>
      <w:pPr/>
      <w:r>
        <w:rPr>
          <w:rFonts w:ascii="MicrosoftYaHei" w:hAnsi="MicrosoftYaHei" w:eastAsia="MicrosoftYaHei"/>
          <w:sz w:val="22"/>
        </w:rPr>
        <w:t>原材料价格方面，铜、铝、钢材均价环比下降2%到4%，但化工品（如锂盐）价格波动剧烈。全球集装箱运费指数在第四季度跌至年初的60%，但红海危机后有所反弹。企业平均库存周转天数从62天降到58天，显示去库存初步见效。</w:t>
      </w:r>
    </w:p>
    <w:p>
      <w:pPr>
        <w:pStyle w:val="Heading3"/>
      </w:pPr>
      <w:r>
        <w:rPr>
          <w:rFonts w:ascii="MicrosoftYaHei" w:hAnsi="MicrosoftYaHei" w:eastAsia="MicrosoftYaHei"/>
          <w:sz w:val="24"/>
        </w:rPr>
        <w:t>2.4 政策与法规变化</w:t>
      </w:r>
    </w:p>
    <w:p>
      <w:pPr/>
      <w:r>
        <w:rPr>
          <w:rFonts w:ascii="MicrosoftYaHei" w:hAnsi="MicrosoftYaHei" w:eastAsia="MicrosoftYaHei"/>
          <w:sz w:val="22"/>
        </w:rPr>
        <w:t>（保留表格）</w:t>
      </w:r>
    </w:p>
    <w:p>
      <w:pPr/>
      <w:r>
        <w:rPr>
          <w:rFonts w:ascii="MicrosoftYaHei" w:hAnsi="MicrosoftYaHei" w:eastAsia="MicrosoftYaHei"/>
          <w:sz w:val="22"/>
        </w:rPr>
        <w:t>---</w:t>
      </w:r>
    </w:p>
    <w:p>
      <w:pPr>
        <w:pStyle w:val="Heading2"/>
      </w:pPr>
      <w:r>
        <w:rPr>
          <w:rFonts w:ascii="MicrosoftYaHei" w:hAnsi="MicrosoftYaHei" w:eastAsia="MicrosoftYaHei"/>
          <w:sz w:val="28"/>
        </w:rPr>
        <w:t>三、竞争格局与关键玩家动态</w:t>
      </w:r>
    </w:p>
    <w:p>
      <w:pPr>
        <w:pStyle w:val="Heading3"/>
      </w:pPr>
      <w:r>
        <w:rPr>
          <w:rFonts w:ascii="MicrosoftYaHei" w:hAnsi="MicrosoftYaHei" w:eastAsia="MicrosoftYaHei"/>
          <w:sz w:val="24"/>
        </w:rPr>
        <w:t>3.1 市场集中度变化</w:t>
      </w:r>
    </w:p>
    <w:p>
      <w:pPr/>
      <w:r>
        <w:rPr>
          <w:rFonts w:ascii="MicrosoftYaHei" w:hAnsi="MicrosoftYaHei" w:eastAsia="MicrosoftYaHei"/>
          <w:sz w:val="22"/>
        </w:rPr>
        <w:t>（保留表格）</w:t>
      </w:r>
    </w:p>
    <w:p>
      <w:pPr>
        <w:pStyle w:val="Heading3"/>
      </w:pPr>
      <w:r>
        <w:rPr>
          <w:rFonts w:ascii="MicrosoftYaHei" w:hAnsi="MicrosoftYaHei" w:eastAsia="MicrosoftYaHei"/>
          <w:sz w:val="24"/>
        </w:rPr>
        <w:t>3.2 头部企业战略动作</w:t>
      </w:r>
    </w:p>
    <w:p>
      <w:pPr/>
      <w:r>
        <w:rPr>
          <w:rFonts w:ascii="MicrosoftYaHei" w:hAnsi="MicrosoftYaHei" w:eastAsia="MicrosoftYaHei"/>
          <w:sz w:val="22"/>
        </w:rPr>
        <w:t>微软以68亿美元收购了一家游戏AI开发公司，强化游戏加企业AI的双引擎。亚马逊宣布投资110亿美元建设数据中心和芯片研发，自研AI芯片Trainium2正式商用。特斯拉在德克萨斯州和墨西哥新建两座超级工厂，总产能规划提升至400万辆每年。宁德时代与多家车企签订长期碳酸锂采购协议，锁定30万吨供应，以稳定供应链。</w:t>
      </w:r>
    </w:p>
    <w:p>
      <w:pPr>
        <w:pStyle w:val="Heading3"/>
      </w:pPr>
      <w:r>
        <w:rPr>
          <w:rFonts w:ascii="MicrosoftYaHei" w:hAnsi="MicrosoftYaHei" w:eastAsia="MicrosoftYaHei"/>
          <w:sz w:val="24"/>
        </w:rPr>
        <w:t>3.3 新进入者与跨界竞争</w:t>
      </w:r>
    </w:p>
    <w:p>
      <w:pPr/>
      <w:r>
        <w:rPr>
          <w:rFonts w:ascii="MicrosoftYaHei" w:hAnsi="MicrosoftYaHei" w:eastAsia="MicrosoftYaHei"/>
          <w:sz w:val="22"/>
        </w:rPr>
        <w:t>苹果自研5G基带芯片流片成功，计划2025年首次使用，可能威胁高通的垄断地位。沃尔玛推出面向中小企业的“沃尔玛Go”全渠道SaaS平台，跨界进入企业服务领域。几家Web3供应链金融DeFi项目获得千万级美元融资，去中心化身份（DID）平台用户环比增长34%。</w:t>
      </w:r>
    </w:p>
    <w:p>
      <w:pPr>
        <w:pStyle w:val="Heading3"/>
      </w:pPr>
      <w:r>
        <w:rPr>
          <w:rFonts w:ascii="MicrosoftYaHei" w:hAnsi="MicrosoftYaHei" w:eastAsia="MicrosoftYaHei"/>
          <w:sz w:val="24"/>
        </w:rPr>
        <w:t>3.4 品牌份额与消费者心智</w:t>
      </w:r>
    </w:p>
    <w:p>
      <w:pPr/>
      <w:r>
        <w:rPr>
          <w:rFonts w:ascii="MicrosoftYaHei" w:hAnsi="MicrosoftYaHei" w:eastAsia="MicrosoftYaHei"/>
          <w:sz w:val="22"/>
        </w:rPr>
        <w:t>第四季度有40%的消费者尝试了过去一年没有买过的新品牌，尤其在个护和食品领域。企业客户对“AI原生”SaaS产品的询价比例从7%上升到19%，传统非AI产品面临降价压力。</w:t>
      </w:r>
    </w:p>
    <w:p>
      <w:pPr/>
      <w:r>
        <w:rPr>
          <w:rFonts w:ascii="MicrosoftYaHei" w:hAnsi="MicrosoftYaHei" w:eastAsia="MicrosoftYaHei"/>
          <w:sz w:val="22"/>
        </w:rPr>
        <w:t>---</w:t>
      </w:r>
    </w:p>
    <w:p>
      <w:pPr>
        <w:pStyle w:val="Heading2"/>
      </w:pPr>
      <w:r>
        <w:rPr>
          <w:rFonts w:ascii="MicrosoftYaHei" w:hAnsi="MicrosoftYaHei" w:eastAsia="MicrosoftYaHei"/>
          <w:sz w:val="28"/>
        </w:rPr>
        <w:t>四、挑战与风险识别</w:t>
      </w:r>
    </w:p>
    <w:p>
      <w:pPr/>
      <w:r>
        <w:rPr>
          <w:rFonts w:ascii="MicrosoftYaHei" w:hAnsi="MicrosoftYaHei" w:eastAsia="MicrosoftYaHei"/>
          <w:sz w:val="22"/>
        </w:rPr>
        <w:t>（保留表格）</w:t>
      </w:r>
    </w:p>
    <w:p>
      <w:pPr/>
      <w:r>
        <w:rPr>
          <w:rFonts w:ascii="MicrosoftYaHei" w:hAnsi="MicrosoftYaHei" w:eastAsia="MicrosoftYaHei"/>
          <w:sz w:val="22"/>
        </w:rPr>
        <w:t>---</w:t>
      </w:r>
    </w:p>
    <w:p>
      <w:pPr>
        <w:pStyle w:val="Heading2"/>
      </w:pPr>
      <w:r>
        <w:rPr>
          <w:rFonts w:ascii="MicrosoftYaHei" w:hAnsi="MicrosoftYaHei" w:eastAsia="MicrosoftYaHei"/>
          <w:sz w:val="28"/>
        </w:rPr>
        <w:t>五、结论与战略建议</w:t>
      </w:r>
    </w:p>
    <w:p>
      <w:pPr>
        <w:pStyle w:val="Heading3"/>
      </w:pPr>
      <w:r>
        <w:rPr>
          <w:rFonts w:ascii="MicrosoftYaHei" w:hAnsi="MicrosoftYaHei" w:eastAsia="MicrosoftYaHei"/>
          <w:sz w:val="24"/>
        </w:rPr>
        <w:t>5.1 核心发现</w:t>
      </w:r>
    </w:p>
    <w:p>
      <w:pPr/>
      <w:r>
        <w:rPr>
          <w:rFonts w:ascii="MicrosoftYaHei" w:hAnsi="MicrosoftYaHei" w:eastAsia="MicrosoftYaHei"/>
          <w:sz w:val="22"/>
        </w:rPr>
        <w:t>第四季度全球市场增速放缓至2.8%，但新能源和IT行业保持双位数增长。可持续消费和AI应用从概念进入主流，部署率分别达到60%和37%。行业集中度继续提升，CR5平均上升2个百分点，中型企业被迫转向细分市场。成本端压力（原材料波动、合规成本）与需求端韧性并存，行业分化加剧。</w:t>
      </w:r>
    </w:p>
    <w:p>
      <w:pPr>
        <w:pStyle w:val="Heading3"/>
      </w:pPr>
      <w:r>
        <w:rPr>
          <w:rFonts w:ascii="MicrosoftYaHei" w:hAnsi="MicrosoftYaHei" w:eastAsia="MicrosoftYaHei"/>
          <w:sz w:val="24"/>
        </w:rPr>
        <w:t>5.2 短期策略（未来1到2个季度）</w:t>
      </w:r>
    </w:p>
    <w:p>
      <w:pPr/>
      <w:r>
        <w:rPr>
          <w:rFonts w:ascii="MicrosoftYaHei" w:hAnsi="MicrosoftYaHei" w:eastAsia="MicrosoftYaHei"/>
          <w:sz w:val="22"/>
        </w:rPr>
        <w:t xml:space="preserve">1. </w:t>
      </w:r>
      <w:r>
        <w:rPr>
          <w:rFonts w:ascii="MicrosoftYaHei" w:hAnsi="MicrosoftYaHei" w:eastAsia="MicrosoftYaHei"/>
          <w:b/>
          <w:sz w:val="22"/>
        </w:rPr>
        <w:t>成本优化</w:t>
      </w:r>
      <w:r>
        <w:rPr>
          <w:rFonts w:ascii="MicrosoftYaHei" w:hAnsi="MicrosoftYaHei" w:eastAsia="MicrosoftYaHei"/>
          <w:sz w:val="22"/>
        </w:rPr>
        <w:t>：建立动态定价机制，利用AI预测原材料价格波动，锁定远期合约。</w:t>
      </w:r>
    </w:p>
    <w:p>
      <w:pPr/>
      <w:r>
        <w:rPr>
          <w:rFonts w:ascii="MicrosoftYaHei" w:hAnsi="MicrosoftYaHei" w:eastAsia="MicrosoftYaHei"/>
          <w:sz w:val="22"/>
        </w:rPr>
        <w:t xml:space="preserve">2. </w:t>
      </w:r>
      <w:r>
        <w:rPr>
          <w:rFonts w:ascii="MicrosoftYaHei" w:hAnsi="MicrosoftYaHei" w:eastAsia="MicrosoftYaHei"/>
          <w:b/>
          <w:sz w:val="22"/>
        </w:rPr>
        <w:t>渠道下沉</w:t>
      </w:r>
      <w:r>
        <w:rPr>
          <w:rFonts w:ascii="MicrosoftYaHei" w:hAnsi="MicrosoftYaHei" w:eastAsia="MicrosoftYaHei"/>
          <w:sz w:val="22"/>
        </w:rPr>
        <w:t>：重点拓展三线以下城市和东南亚、拉美等海外市场，匹配本地化产品组合。</w:t>
      </w:r>
    </w:p>
    <w:p>
      <w:pPr/>
      <w:r>
        <w:rPr>
          <w:rFonts w:ascii="MicrosoftYaHei" w:hAnsi="MicrosoftYaHei" w:eastAsia="MicrosoftYaHei"/>
          <w:sz w:val="22"/>
        </w:rPr>
        <w:t xml:space="preserve">3. </w:t>
      </w:r>
      <w:r>
        <w:rPr>
          <w:rFonts w:ascii="MicrosoftYaHei" w:hAnsi="MicrosoftYaHei" w:eastAsia="MicrosoftYaHei"/>
          <w:b/>
          <w:sz w:val="22"/>
        </w:rPr>
        <w:t>存量客户深耕</w:t>
      </w:r>
      <w:r>
        <w:rPr>
          <w:rFonts w:ascii="MicrosoftYaHei" w:hAnsi="MicrosoftYaHei" w:eastAsia="MicrosoftYaHei"/>
          <w:sz w:val="22"/>
        </w:rPr>
        <w:t>：通过会员体系与订阅服务提升客单价，将流失率降低到10%以下。</w:t>
      </w:r>
    </w:p>
    <w:p>
      <w:pPr>
        <w:pStyle w:val="Heading3"/>
      </w:pPr>
      <w:r>
        <w:rPr>
          <w:rFonts w:ascii="MicrosoftYaHei" w:hAnsi="MicrosoftYaHei" w:eastAsia="MicrosoftYaHei"/>
          <w:sz w:val="24"/>
        </w:rPr>
        <w:t>5.3 中期布局（未来2到4个季度）</w:t>
      </w:r>
    </w:p>
    <w:p>
      <w:pPr/>
      <w:r>
        <w:rPr>
          <w:rFonts w:ascii="MicrosoftYaHei" w:hAnsi="MicrosoftYaHei" w:eastAsia="MicrosoftYaHei"/>
          <w:sz w:val="22"/>
        </w:rPr>
        <w:t xml:space="preserve">1. </w:t>
      </w:r>
      <w:r>
        <w:rPr>
          <w:rFonts w:ascii="MicrosoftYaHei" w:hAnsi="MicrosoftYaHei" w:eastAsia="MicrosoftYaHei"/>
          <w:b/>
          <w:sz w:val="22"/>
        </w:rPr>
        <w:t>技术投资</w:t>
      </w:r>
      <w:r>
        <w:rPr>
          <w:rFonts w:ascii="MicrosoftYaHei" w:hAnsi="MicrosoftYaHei" w:eastAsia="MicrosoftYaHei"/>
          <w:sz w:val="22"/>
        </w:rPr>
        <w:t>：优先部署AI辅助决策系统（需求预测、风险控制），投入预算占IT总预算的20%以上。</w:t>
      </w:r>
    </w:p>
    <w:p>
      <w:pPr/>
      <w:r>
        <w:rPr>
          <w:rFonts w:ascii="MicrosoftYaHei" w:hAnsi="MicrosoftYaHei" w:eastAsia="MicrosoftYaHei"/>
          <w:sz w:val="22"/>
        </w:rPr>
        <w:t xml:space="preserve">2. </w:t>
      </w:r>
      <w:r>
        <w:rPr>
          <w:rFonts w:ascii="MicrosoftYaHei" w:hAnsi="MicrosoftYaHei" w:eastAsia="MicrosoftYaHei"/>
          <w:b/>
          <w:sz w:val="22"/>
        </w:rPr>
        <w:t>供应链韧性建设</w:t>
      </w:r>
      <w:r>
        <w:rPr>
          <w:rFonts w:ascii="MicrosoftYaHei" w:hAnsi="MicrosoftYaHei" w:eastAsia="MicrosoftYaHei"/>
          <w:sz w:val="22"/>
        </w:rPr>
        <w:t>：建立双源或多国备选方案，提升近岸采购比例至40%以上，利用区块链增强透明度。</w:t>
      </w:r>
    </w:p>
    <w:p>
      <w:pPr/>
      <w:r>
        <w:rPr>
          <w:rFonts w:ascii="MicrosoftYaHei" w:hAnsi="MicrosoftYaHei" w:eastAsia="MicrosoftYaHei"/>
          <w:sz w:val="22"/>
        </w:rPr>
        <w:t xml:space="preserve">3. </w:t>
      </w:r>
      <w:r>
        <w:rPr>
          <w:rFonts w:ascii="MicrosoftYaHei" w:hAnsi="MicrosoftYaHei" w:eastAsia="MicrosoftYaHei"/>
          <w:b/>
          <w:sz w:val="22"/>
        </w:rPr>
        <w:t>数据合规体系</w:t>
      </w:r>
      <w:r>
        <w:rPr>
          <w:rFonts w:ascii="MicrosoftYaHei" w:hAnsi="MicrosoftYaHei" w:eastAsia="MicrosoftYaHei"/>
          <w:sz w:val="22"/>
        </w:rPr>
        <w:t>：提前梳理数据资产，建立符合CBAM、欧盟AI法案及中国数据出境新规的管理体系。</w:t>
      </w:r>
    </w:p>
    <w:p>
      <w:pPr>
        <w:pStyle w:val="Heading3"/>
      </w:pPr>
      <w:r>
        <w:rPr>
          <w:rFonts w:ascii="MicrosoftYaHei" w:hAnsi="MicrosoftYaHei" w:eastAsia="MicrosoftYaHei"/>
          <w:sz w:val="24"/>
        </w:rPr>
        <w:t>5.4 长期展望（未来2到3个季度）</w:t>
      </w:r>
    </w:p>
    <w:p>
      <w:pPr/>
      <w:r>
        <w:rPr>
          <w:rFonts w:ascii="MicrosoftYaHei" w:hAnsi="MicrosoftYaHei" w:eastAsia="MicrosoftYaHei"/>
          <w:sz w:val="22"/>
        </w:rPr>
        <w:t>市场增长动力由量转质，差异化服务与专业溢价成为利润主要来源。AI原生企业将重塑多个垂直行业，传统企业必须完成“AI+业务”深度融合。需要警惕2025年上半年可能出现的全球经济放缓叠加地缘冲突升级的风险，保持现金流弹性。</w:t>
      </w:r>
    </w:p>
    <w:p>
      <w:pPr>
        <w:pStyle w:val="Heading3"/>
      </w:pPr>
      <w:r>
        <w:rPr>
          <w:rFonts w:ascii="MicrosoftYaHei" w:hAnsi="MicrosoftYaHei" w:eastAsia="MicrosoftYaHei"/>
          <w:sz w:val="24"/>
        </w:rPr>
        <w:t>优先级排序</w:t>
      </w:r>
    </w:p>
    <w:p>
      <w:pPr/>
      <w:r>
        <w:rPr>
          <w:rFonts w:ascii="MicrosoftYaHei" w:hAnsi="MicrosoftYaHei" w:eastAsia="MicrosoftYaHei"/>
          <w:sz w:val="22"/>
        </w:rPr>
        <w:t>1. 保障现金流健康度（缩短账期、减少非必要库存）</w:t>
      </w:r>
    </w:p>
    <w:p>
      <w:pPr/>
      <w:r>
        <w:rPr>
          <w:rFonts w:ascii="MicrosoftYaHei" w:hAnsi="MicrosoftYaHei" w:eastAsia="MicrosoftYaHei"/>
          <w:sz w:val="22"/>
        </w:rPr>
        <w:t>2. 锁定核心技术投入（AI、数据、ESG）</w:t>
      </w:r>
    </w:p>
    <w:p>
      <w:pPr/>
      <w:r>
        <w:rPr>
          <w:rFonts w:ascii="MicrosoftYaHei" w:hAnsi="MicrosoftYaHei" w:eastAsia="MicrosoftYaHei"/>
          <w:sz w:val="22"/>
        </w:rPr>
        <w:t>3. 建立供应链备份机制</w:t>
      </w:r>
    </w:p>
    <w:p>
      <w:pPr/>
      <w:r>
        <w:rPr>
          <w:rFonts w:ascii="MicrosoftYaHei" w:hAnsi="MicrosoftYaHei" w:eastAsia="MicrosoftYaHei"/>
          <w:sz w:val="22"/>
        </w:rPr>
        <w:t>4. 探索垂直场景的深度服务机会</w:t>
      </w:r>
    </w:p>
    <w:p>
      <w:pPr/>
      <w:r>
        <w:rPr>
          <w:rFonts w:ascii="MicrosoftYaHei" w:hAnsi="MicrosoftYaHei" w:eastAsia="MicrosoftYaHei"/>
          <w:sz w:val="22"/>
        </w:rPr>
        <w:t>---</w:t>
      </w:r>
    </w:p>
    <w:p>
      <w:pPr/>
      <w:r>
        <w:rPr>
          <w:rFonts w:ascii="MicrosoftYaHei" w:hAnsi="MicrosoftYaHei" w:eastAsia="MicrosoftYaHei"/>
          <w:b/>
          <w:sz w:val="22"/>
        </w:rPr>
        <w:t>报告声明</w:t>
      </w:r>
      <w:r>
        <w:rPr>
          <w:rFonts w:ascii="MicrosoftYaHei" w:hAnsi="MicrosoftYaHei" w:eastAsia="MicrosoftYaHei"/>
          <w:sz w:val="22"/>
        </w:rPr>
        <w:t>：本报告基于截至第四季度末公开可获取的行业数据与机构研究整理而成，旨在提供参考框架，不构成具体投资或商业决策建议。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YaHei" w:hAnsi="MicrosoftYaHei" w:eastAsia="Microsoft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YaHei" w:hAnsi="MicrosoftYaHei" w:eastAsia="MicrosoftYa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YaHei" w:hAnsi="MicrosoftYaHei" w:eastAsia="MicrosoftYa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YaHei" w:hAnsi="MicrosoftYaHei" w:eastAsia="MicrosoftYa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YaHei" w:hAnsi="MicrosoftYaHei" w:eastAsia="Microsoft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YaHei" w:hAnsi="MicrosoftYaHei" w:eastAsia="Microsoft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