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2026-2027年全球人工智能发展趋势报告：治理博弈视角下的路径分化与格局重构</w:t>
      </w:r>
    </w:p>
    <w:p>
      <w:r>
        <w:t>**报告日期：** 2026年</w:t>
      </w:r>
    </w:p>
    <w:p>
      <w:r>
        <w:t>**研究视角：** 治理博弈型（聚焦中美欧等主要经济体的AI监管路径比较）</w:t>
      </w:r>
    </w:p>
    <w:p>
      <w:r>
        <w:t>**适用场景：** 政策研究、公共讨论</w:t>
      </w:r>
    </w:p>
    <w:p>
      <w:r>
        <w:t>---</w:t>
      </w:r>
    </w:p>
    <w:p>
      <w:pPr>
        <w:pStyle w:val="Heading2"/>
      </w:pPr>
      <w:r>
        <w:t>摘要</w:t>
      </w:r>
    </w:p>
    <w:p>
      <w:r>
        <w:t>当前，全球人工智能正从技术探索期全面迈入产业化爆发阶段，预计2026年全球市场规模将突破9,000亿美元，并在2035年达到26,730亿美元[1][2]。然而，市场的繁荣并未掩盖治理层面的深层分歧：美国、欧盟和中国在AI发展路径上展现出截然不同的策略逻辑，分别代表了“创新优先”、“伦理先行”与“安全与发展并重”三种典型模式。美国凭借基础科研与资本优势保持技术源头领先；欧盟另辟蹊径，将监管规则构建为核心竞争力；中国则依托超大规模市场和强大的产业基础，走出一条“应用驱动创新、治理保障发展”的融合路径。这种“三足鼎立”的格局并非简单的技术竞赛，而是地缘政治、价值理念与产业利益的深度博弈。报告指出，在未来三年（2026-2029年），AI治理将从单一领域的规则制定，演变为涵盖关税、技术转让、数据流动和军事应用的综合性战略竞争。全球AI发展的前景，将在很大程度上取决于主要经济体之间能否在竞争的同时，找到必要的治理共识。</w:t>
      </w:r>
    </w:p>
    <w:p>
      <w:r>
        <w:t>---</w:t>
      </w:r>
    </w:p>
    <w:p>
      <w:pPr>
        <w:pStyle w:val="Heading2"/>
      </w:pPr>
      <w:r>
        <w:t>目录</w:t>
      </w:r>
    </w:p>
    <w:p>
      <w:r>
        <w:t>1. **市场规模与增长预测：全球AI进入万亿级赛道的战略窗口期**</w:t>
      </w:r>
    </w:p>
    <w:p>
      <w:r>
        <w:t>2. **治理博弈的底层逻辑：三种路径的比较分析**</w:t>
      </w:r>
    </w:p>
    <w:p>
      <w:pPr>
        <w:pStyle w:val="ListBullet"/>
      </w:pPr>
      <w:r>
        <w:t>2.1 美国模式：技术霸权与创新优先</w:t>
      </w:r>
    </w:p>
    <w:p>
      <w:pPr>
        <w:pStyle w:val="ListBullet"/>
      </w:pPr>
      <w:r>
        <w:t>2.2 欧盟模式：规范先行与人权保障</w:t>
      </w:r>
    </w:p>
    <w:p>
      <w:pPr>
        <w:pStyle w:val="ListBullet"/>
      </w:pPr>
      <w:r>
        <w:t>2.3 中国模式：安全底线与发展效能并重</w:t>
      </w:r>
    </w:p>
    <w:p>
      <w:r>
        <w:t>3. **地缘政治冲突升级：AI从技术竞争到战略博弈**</w:t>
      </w:r>
    </w:p>
    <w:p>
      <w:pPr>
        <w:pStyle w:val="ListBullet"/>
      </w:pPr>
      <w:r>
        <w:t>3.1 芯片与算力封锁：博弈的“硬科技”武器</w:t>
      </w:r>
    </w:p>
    <w:p>
      <w:pPr>
        <w:pStyle w:val="ListBullet"/>
      </w:pPr>
      <w:r>
        <w:t>3.2 标准制定权之争：谁定义AI的未来？</w:t>
      </w:r>
    </w:p>
    <w:p>
      <w:r>
        <w:t>4. **2026-2027年关键趋势：治理博弈走向纵深**</w:t>
      </w:r>
    </w:p>
    <w:p>
      <w:pPr>
        <w:pStyle w:val="ListBullet"/>
      </w:pPr>
      <w:r>
        <w:t>4.1 生成式AI成为治理角力场</w:t>
      </w:r>
    </w:p>
    <w:p>
      <w:pPr>
        <w:pStyle w:val="ListBullet"/>
      </w:pPr>
      <w:r>
        <w:t>4.2 AI赋能实体经济：中国路径的独特性</w:t>
      </w:r>
    </w:p>
    <w:p>
      <w:r>
        <w:t>5. **结论与展望：在竞合中寻找全球治理公约数**</w:t>
      </w:r>
    </w:p>
    <w:p>
      <w:r>
        <w:t>---</w:t>
      </w:r>
    </w:p>
    <w:p>
      <w:pPr>
        <w:pStyle w:val="Heading2"/>
      </w:pPr>
      <w:r>
        <w:t>1. 市场规模与增长预测：全球AI进入万亿级赛道的战略窗口期</w:t>
      </w:r>
    </w:p>
    <w:p>
      <w:r>
        <w:t>全球人工智能市场正经历从千亿到万亿的飞跃式增长。据多家机构数据，2025年全球AI市场规模为7,575.8亿美元，同比增长18.7%，预计2026年突破9,000亿美元关口[2]。更有研究机构预测，到2035年全球AI市场将激增至26,730亿美元，2026-2035年间的复合年增长率（CAGR）高达39.73%[1]。</w:t>
      </w:r>
    </w:p>
    <w:p>
      <w:r>
        <w:t>中国AI市场同样高速成长。2024年中国AI市场规模约为216.3亿美元，2025年预估约为7,470亿人民币[3][6]。市场预测期内的复合年增长率高达32.50%，预计2032年市场规模将超2,000亿美元[3]。值得注意的是，有报告指出《新一代人工智能发展规划》中设定的2030年产业规模达10,000亿元人民币的目标有望实现[4]。</w:t>
      </w:r>
    </w:p>
    <w:p>
      <w:r>
        <w:t>**治理博弈维度解读：** 如此庞大的市场规模和高速增长预期，使得AI不再仅仅是技术问题，而是涉及国家安全、经济命脉和民生福祉的战略性产业。不同经济体基于自身发展阶段的利益诉求，决定了它们将采取截然不同的监管策略。</w:t>
      </w:r>
    </w:p>
    <w:p>
      <w:r>
        <w:t>---</w:t>
      </w:r>
    </w:p>
    <w:p>
      <w:pPr>
        <w:pStyle w:val="Heading2"/>
      </w:pPr>
      <w:r>
        <w:t>2. 治理博弈的底层逻辑：三种路径的比较分析</w:t>
      </w:r>
    </w:p>
    <w:p>
      <w:r>
        <w:t>全球AI领域的竞争格局已从美国的“单极主导”演变为中美欧“三足鼎立”的多极化格局。三种路径的背后，是价值理念、产业结构和政策传统的深刻差异。</w:t>
      </w:r>
    </w:p>
    <w:p>
      <w:pPr>
        <w:pStyle w:val="Heading3"/>
      </w:pPr>
      <w:r>
        <w:t>2.1 美国模式：技术霸权与创新优先</w:t>
      </w:r>
    </w:p>
    <w:p>
      <w:r>
        <w:t>| 维度 | 特征描述 |</w:t>
      </w:r>
    </w:p>
    <w:p>
      <w:r>
        <w:t>|------|----------|</w:t>
      </w:r>
    </w:p>
    <w:p>
      <w:r>
        <w:t>| **核心目标** | 保持全球技术领导地位，维护国家安全与经济优势 |</w:t>
      </w:r>
    </w:p>
    <w:p>
      <w:r>
        <w:t>| **监管哲学** | 轻监管、重创新，鼓励市场自由竞争 |</w:t>
      </w:r>
    </w:p>
    <w:p>
      <w:r>
        <w:t>| **规制手段** | 行业自律、自愿性标准为主，联邦层面立法缓慢 |</w:t>
      </w:r>
    </w:p>
    <w:p>
      <w:r>
        <w:t>| **地缘策略** | 技术封锁（芯片出口管制）、盟友联合（排华技术联盟） |</w:t>
      </w:r>
    </w:p>
    <w:p>
      <w:r>
        <w:t>| **风险** | 算法歧视、隐私侵犯、垄断加剧、社会分裂 |</w:t>
      </w:r>
    </w:p>
    <w:p>
      <w:r>
        <w:t>北美凭借强大的基础科研能力、资本和人才储备，在高附加值的技术和核心算法层面占据领先地位[2]。美国的治理逻辑根植于“硅谷自由主义”——相信技术创新能够解决自身带来的问题，政府干预可能抑制创新活力。这种策略在推动技术快速迭代的同时，也暴露出对算法歧视、隐私侵犯和虚假信息等问题的监管短板。</w:t>
      </w:r>
    </w:p>
    <w:p>
      <w:pPr>
        <w:pStyle w:val="Heading3"/>
      </w:pPr>
      <w:r>
        <w:t>2.2 欧盟模式：规范先行与人权保障</w:t>
      </w:r>
    </w:p>
    <w:p>
      <w:r>
        <w:t>| 维度 | 特征描述 |</w:t>
      </w:r>
    </w:p>
    <w:p>
      <w:r>
        <w:t>|------|----------|</w:t>
      </w:r>
    </w:p>
    <w:p>
      <w:r>
        <w:t>| **核心目标** | 建立以人权、信任和法治为基础的“可信AI” |</w:t>
      </w:r>
    </w:p>
    <w:p>
      <w:r>
        <w:t>| **监管哲学** | 预防性监管，高标准合规前置 |</w:t>
      </w:r>
    </w:p>
    <w:p>
      <w:r>
        <w:t>| **规制手段** | 《人工智能法案》（AI Act）通过风险分级实施强制合规 |</w:t>
      </w:r>
    </w:p>
    <w:p>
      <w:r>
        <w:t>| **地缘策略** | 布鲁塞尔效应：将自身标准输出为全球规则 |</w:t>
      </w:r>
    </w:p>
    <w:p>
      <w:r>
        <w:t>| **风险** | 抑制创新、产业竞争力下降、资本外流 |</w:t>
      </w:r>
    </w:p>
    <w:p>
      <w:r>
        <w:t>欧洲在AI领域另辟蹊径，将发展重心置于伦理规范、监管标准和隐私保护上，试图构建AI治理的“欧洲模式”[2]。2024年3月通过、2026年逐步生效的欧盟《人工智能法案》开创性地采用“风险分级”方法（不可接受风险、高风险、有限风险和最小风险），对高风险AI系统实行严格的备案、透明度和人类监督要求。这一策略体现了欧洲对“技术向善”的追求，但也面临抑制创新活力、错过产业化窗口的质疑。</w:t>
      </w:r>
    </w:p>
    <w:p>
      <w:pPr>
        <w:pStyle w:val="Heading3"/>
      </w:pPr>
      <w:r>
        <w:t>2.3 中国模式：安全底线与发展效能并重</w:t>
      </w:r>
    </w:p>
    <w:p>
      <w:r>
        <w:t>| 维度 | 特征描述 |</w:t>
      </w:r>
    </w:p>
    <w:p>
      <w:r>
        <w:t>|------|----------|</w:t>
      </w:r>
    </w:p>
    <w:p>
      <w:r>
        <w:t>| **核心目标** | 实现高水平科技自立自强，服务经济社会高质量发展 |</w:t>
      </w:r>
    </w:p>
    <w:p>
      <w:r>
        <w:t>| **监管哲学** | 底线思维，兼顾发展与安全、效率与公平 |</w:t>
      </w:r>
    </w:p>
    <w:p>
      <w:r>
        <w:t>| **规制手段** | 政策指引+专项立法（如算法推荐管理规定、生成式AI管理办法） |</w:t>
      </w:r>
    </w:p>
    <w:p>
      <w:r>
        <w:t>| **地缘策略** | 国内大规模应用驱动创新，依托超大规模市场“弯道超车”|</w:t>
      </w:r>
    </w:p>
    <w:p>
      <w:r>
        <w:t>| **风险** | 政府间数据共享与隐私保护的矛盾、国际规则话语权提升空间 |</w:t>
      </w:r>
    </w:p>
    <w:p>
      <w:r>
        <w:t>中国正发挥超大规模市场、完备的制造业基础和强有力的政策红利等优势，走出一条以应用驱动创新的差异化路径[7][8]。2026年是中国“十五五”规划的开局之年，国家顶层设计明确提出加强AI与产业发展、文化建设、民生保障的全面结合，推动全方位赋能千行百业[8]。中国模式的核心特征在于“先应用、后治理”，在快速产业化的同时，通过“软法”（指导意见、行政规范）和“硬法”（算法规制、数据安全法）结合的方式管控风险。</w:t>
      </w:r>
    </w:p>
    <w:p>
      <w:r>
        <w:t>---</w:t>
      </w:r>
    </w:p>
    <w:p>
      <w:pPr>
        <w:pStyle w:val="Heading2"/>
      </w:pPr>
      <w:r>
        <w:t>3. 地缘政治冲突升级：AI从技术竞争到战略博弈</w:t>
      </w:r>
    </w:p>
    <w:p>
      <w:pPr>
        <w:pStyle w:val="Heading3"/>
      </w:pPr>
      <w:r>
        <w:t>3.1 芯片与算力封锁：博弈的“硬科技”武器</w:t>
      </w:r>
    </w:p>
    <w:p>
      <w:r>
        <w:t>AI治理博弈的底层逻辑之一，是对算力这一核心战略资源的争夺。美国通过《芯片与科学法案》和多项出口管制措施，限制高端AI芯片（如英伟达A100/H100）对中国的出口，试图延缓中国大模型训练和相关产业发展。这一策略引发了中国的加速自主替代进程（如华为昇腾系列）和算力基础设施的举国体制投入。治理博弈由此从“规则之争”延伸为“供应链安全之争”。</w:t>
      </w:r>
    </w:p>
    <w:p>
      <w:pPr>
        <w:pStyle w:val="Heading3"/>
      </w:pPr>
      <w:r>
        <w:t>3.2 标准制定权之争：谁定义AI的未来？</w:t>
      </w:r>
    </w:p>
    <w:p>
      <w:r>
        <w:t>治理博弈的另一重要战场是国际标准的制定。欧盟试图凭借《人工智能法案》和《通用数据保护条例》（GDPR）的先发优势，将自身价值观转化为全球规则（布鲁塞尔效应）；美国则依托科技巨头的技术和资本实力，在IEC/ISO等国际标准组织中主导关键技术标准制定；中国则在AI安全、人脸识别、自动驾驶等领域积极参与国际标准，并推动“同等待遇”理念。</w:t>
      </w:r>
    </w:p>
    <w:p>
      <w:r>
        <w:t>**典型案例：** 在2025-2026年的联合国《全球数字契约》和G20框架下，围绕“什么是负责任的AI”，三方立场产生了激烈交锋。该部分数据暂缺更详细的谈判细节，但公开信息显示，分歧主要集中在高风险AI的范围界定、跨境数据流动规则以及军事领域AI的使用边界。</w:t>
      </w:r>
    </w:p>
    <w:p>
      <w:r>
        <w:t>---</w:t>
      </w:r>
    </w:p>
    <w:p>
      <w:pPr>
        <w:pStyle w:val="Heading2"/>
      </w:pPr>
      <w:r>
        <w:t>4. 2026-2027年关键趋势：治理博弈走向纵深</w:t>
      </w:r>
    </w:p>
    <w:p>
      <w:pPr>
        <w:pStyle w:val="Heading3"/>
      </w:pPr>
      <w:r>
        <w:t>4.1 生成式AI成为治理角力场</w:t>
      </w:r>
    </w:p>
    <w:p>
      <w:r>
        <w:t>以大型语言模型（LLM）为代表的生成式AI技术，已成为当前AI竞赛的绝对焦点[6][10]。围绕LLM的全球AI产品竞争日趋白热化，推动了从模型研发到应用落地的全产业链繁荣。然而，生成式AI的“涌现能力”也给传统治理框架带来巨大挑战：虚假信息、内容偏见、版权争议、深度伪造……不同国家的应对方式再次映射出治理理念的分歧。</w:t>
      </w:r>
    </w:p>
    <w:p>
      <w:pPr>
        <w:pStyle w:val="ListBullet"/>
      </w:pPr>
      <w:r>
        <w:t>**美国：** 主要依赖企业自律和自愿承诺（如白宫的AI自愿承诺），联邦层面的立法进程缓慢。</w:t>
      </w:r>
    </w:p>
    <w:p>
      <w:pPr>
        <w:pStyle w:val="ListBullet"/>
      </w:pPr>
      <w:r>
        <w:t>**欧盟：** 将LLM划入《人工智能法案》“有限风险”类别（或特殊透明度条款），强制披露训练数据来源和生成内容标识。</w:t>
      </w:r>
    </w:p>
    <w:p>
      <w:pPr>
        <w:pStyle w:val="ListBullet"/>
      </w:pPr>
      <w:r>
        <w:t>**中国：** 2023年出台生成式AI管理办法（“征求意见稿”），明确要求内容合规、用户保护、备案管理，展现出更积极的监管姿态。</w:t>
      </w:r>
    </w:p>
    <w:p>
      <w:r>
        <w:t>趋势预测：2026年，随着欧盟《人工智能法案》中针对通用AI系统（GPAI，包括LLM）的规则正式生效，一场围绕“合规成本”和“创新空间”的全球性对话将无可避免。</w:t>
      </w:r>
    </w:p>
    <w:p>
      <w:pPr>
        <w:pStyle w:val="Heading3"/>
      </w:pPr>
      <w:r>
        <w:t>4.2 AI赋能实体经济：中国路径的独特性</w:t>
      </w:r>
    </w:p>
    <w:p>
      <w:r>
        <w:t>“十五五”规划开局之年，中国将AI与实体经济深度融合作为战略方向，尤其强调AI向制造业、社会治理、医疗健康等领域的工业化落地[8]。这一路径与美国以互联网和金融为主的“服务业AI”、欧盟更侧重消费端的“服务业AI”形成鲜明对比。中国的“产业AI”策略具有独特的地缘竞争优势：它建立在全球最完备的制造业体系和最丰富的工业数据之上，能够实现成本效率的极致优化。</w:t>
      </w:r>
    </w:p>
    <w:p>
      <w:r>
        <w:t>---</w:t>
      </w:r>
    </w:p>
    <w:p>
      <w:pPr>
        <w:pStyle w:val="Heading2"/>
      </w:pPr>
      <w:r>
        <w:t>5. 结论与展望：在竞合中寻找全球治理公约数</w:t>
      </w:r>
    </w:p>
    <w:p>
      <w:pPr>
        <w:pStyle w:val="Heading3"/>
      </w:pPr>
      <w:r>
        <w:t>5.1 核心结论</w:t>
      </w:r>
    </w:p>
    <w:p>
      <w:r>
        <w:t>1. **AI治理已从“技术问题”演变为“地缘政治问题”。** 中美欧三方在监管路径上的分歧，本质上是不同价值理念、产业利益和安全诉求的体现。</w:t>
      </w:r>
    </w:p>
    <w:p>
      <w:r>
        <w:t>2. **三种模式各有优劣，短期内难以互融。** 美国模式长于创新但疏于监管，欧盟模式树立道德标杆但可能抑制产业活力，中国模式在发展效能与安全管控间取得相对平衡。</w:t>
      </w:r>
    </w:p>
    <w:p>
      <w:r>
        <w:t>3. **2026-2027年是全球AI治理框架的关键窗口期。** 欧盟《人工智能法案》的逐步实施、美国2024年大选后新政府的政策走向、中国“十五五”规划的细化，都将对未来十年的全球格局产生深远影响。</w:t>
      </w:r>
    </w:p>
    <w:p>
      <w:pPr>
        <w:pStyle w:val="Heading3"/>
      </w:pPr>
      <w:r>
        <w:t>5.2 展望与建议</w:t>
      </w:r>
    </w:p>
    <w:p>
      <w:r>
        <w:t>1. **建立“竞争中的合作”机制：** 完全“脱钩”不现实，但完全“趋同”也不可行。建议各方在AI安全、抗风险研究和气候应对等公共产品领域优先寻求共识，构建“最小公约数”机制。</w:t>
      </w:r>
    </w:p>
    <w:p>
      <w:r>
        <w:t>2. **提升中小企业和新兴经济体话语权：** 当前的治理博弈主要由大国主导，中小国家和新兴经济体可能被动接受规则。需警惕“技术民族主义”导致的全球技术鸿沟扩大。</w:t>
      </w:r>
    </w:p>
    <w:p>
      <w:r>
        <w:t>3. **关注治理博弈的外部性：** 激烈的治理竞争可能产生“监管标准竞赛”（Race to the Top）效应，推动各方提高AI安全性；也可能造成“合规碎片化”，增加企业全球扩张的合规成本。</w:t>
      </w:r>
    </w:p>
    <w:p>
      <w:r>
        <w:t>4. **对中国而言，“安全与发展并重”路径需持续优化：** 在保持产业高速发展的同时，需加快合规建设与国际规则对接，提升中国在AI治理领域的国际话语权。</w:t>
      </w:r>
    </w:p>
    <w:p>
      <w:r>
        <w:t>---</w:t>
      </w:r>
    </w:p>
    <w:p>
      <w:pPr>
        <w:pStyle w:val="Heading2"/>
      </w:pPr>
      <w:r>
        <w:t>参考来源</w:t>
      </w:r>
    </w:p>
    <w:p>
      <w:r>
        <w:t>[1] Global AI Market Report (付费样本摘要)，2026年（约2035年市场规模及CAGR数据）</w:t>
      </w:r>
    </w:p>
    <w:p>
      <w:r>
        <w:t>[2] 全球AI市场增长预测，2026年（估计2025-2026年市场规模及区域格局分析）</w:t>
      </w:r>
    </w:p>
    <w:p>
      <w:r>
        <w:t>[3] 中国AI市场规模数据，2024-2032年（CAGR 32.50%）</w:t>
      </w:r>
    </w:p>
    <w:p>
      <w:r>
        <w:t>[4] 《新一代人工智能发展规划》目标实现可行性分析</w:t>
      </w:r>
    </w:p>
    <w:p>
      <w:r>
        <w:t>[6] 生成式AI与LLM作为核心驱动力分析</w:t>
      </w:r>
    </w:p>
    <w:p>
      <w:r>
        <w:t>[7] 中美AI竞争格局变化分析</w:t>
      </w:r>
    </w:p>
    <w:p>
      <w:r>
        <w:t>[8] 中国“十五五”规划顶层设计相关内容</w:t>
      </w:r>
    </w:p>
    <w:p>
      <w:r>
        <w:t>[9] AI论文数量增长数据（2013-2023年）</w:t>
      </w:r>
    </w:p>
    <w:p>
      <w:r>
        <w:t>[10] LLM相关全球产品竞争态势分析</w:t>
      </w:r>
    </w:p>
    <w:p>
      <w:r>
        <w:t>---</w:t>
      </w:r>
    </w:p>
    <w:p>
      <w:r>
        <w:t>*本报告基于公开的研究摘要、行业报告及新闻报道等二手资料撰写。不同研究机构对市场规模的估算口径存在差异（如[1]与[2]所示），引用时需注意原始报告的研究方法。部分数据为付费样本的摘要性结论，其细节未能纳入本次分析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