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YaHei" w:hAnsi="MicrosoftYaHei" w:eastAsia="MicrosoftYaHei"/>
          <w:sz w:val="36"/>
        </w:rPr>
        <w:t>2024年第四季度市场分析报告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摘要</w:t>
      </w:r>
    </w:p>
    <w:p>
      <w:pPr/>
      <w:r>
        <w:rPr>
          <w:rFonts w:ascii="MicrosoftYaHei" w:hAnsi="MicrosoftYaHei" w:eastAsia="MicrosoftYaHei"/>
          <w:sz w:val="22"/>
        </w:rPr>
        <w:t>2024年第四季度，中国市场在谨慎氛围中温和增长，但结构性分化明显加剧。以旧换新政策和车企促销撑起了汽车行业的景气度，可固定资产投资增速持续放缓，基建和房地产双重承压。消费者这边，消费意愿指数一路下滑——收入预期不稳、就业形势严峻，两座大山压着消费能力，行为逻辑也在加速向理性价值回归。政策风向持续利好绿色转型与数据合规，但合规成本和技术门槛也随之水涨船高。头部玩家靠着技术融合和生态扩张继续巩固地盘，市场集中度走高。与此同时，AI在垂直行业的落地应用和下沉市场的结构性需求，倒是给市场提供了确定性增长的机会。本报告基于多项行业与宏观研究素材，系统梳理了Q4市场全景，识别关键机会和风险，并给出面向2025上半年的战略行动建议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目录</w:t>
      </w:r>
    </w:p>
    <w:p>
      <w:pPr/>
      <w:r>
        <w:rPr>
          <w:rFonts w:ascii="MicrosoftYaHei" w:hAnsi="MicrosoftYaHei" w:eastAsia="MicrosoftYaHei"/>
          <w:sz w:val="22"/>
        </w:rPr>
        <w:t>1. 宏观环境与市场整体走势</w:t>
      </w:r>
    </w:p>
    <w:p>
      <w:pPr/>
      <w:r>
        <w:rPr>
          <w:rFonts w:ascii="MicrosoftYaHei" w:hAnsi="MicrosoftYaHei" w:eastAsia="MicrosoftYaHei"/>
          <w:sz w:val="22"/>
        </w:rPr>
        <w:t>1.1 经济基本面与行业景气度</w:t>
      </w:r>
    </w:p>
    <w:p>
      <w:pPr/>
      <w:r>
        <w:rPr>
          <w:rFonts w:ascii="MicrosoftYaHei" w:hAnsi="MicrosoftYaHei" w:eastAsia="MicrosoftYaHei"/>
          <w:sz w:val="22"/>
        </w:rPr>
        <w:t>1.2 政策与监管风向标</w:t>
      </w:r>
    </w:p>
    <w:p>
      <w:pPr/>
      <w:r>
        <w:rPr>
          <w:rFonts w:ascii="MicrosoftYaHei" w:hAnsi="MicrosoftYaHei" w:eastAsia="MicrosoftYaHei"/>
          <w:sz w:val="22"/>
        </w:rPr>
        <w:t>1.3 技术演进与基础设施变化</w:t>
      </w:r>
    </w:p>
    <w:p>
      <w:pPr/>
      <w:r>
        <w:rPr>
          <w:rFonts w:ascii="MicrosoftYaHei" w:hAnsi="MicrosoftYaHei" w:eastAsia="MicrosoftYaHei"/>
          <w:sz w:val="22"/>
        </w:rPr>
        <w:t>2. 消费者与需求端洞察</w:t>
      </w:r>
    </w:p>
    <w:p>
      <w:pPr/>
      <w:r>
        <w:rPr>
          <w:rFonts w:ascii="MicrosoftYaHei" w:hAnsi="MicrosoftYaHei" w:eastAsia="MicrosoftYaHei"/>
          <w:sz w:val="22"/>
        </w:rPr>
        <w:t>2.1 消费行为与决策因子演变</w:t>
      </w:r>
    </w:p>
    <w:p>
      <w:pPr/>
      <w:r>
        <w:rPr>
          <w:rFonts w:ascii="MicrosoftYaHei" w:hAnsi="MicrosoftYaHei" w:eastAsia="MicrosoftYaHei"/>
          <w:sz w:val="22"/>
        </w:rPr>
        <w:t>2.2 需求结构与热点品类迁移</w:t>
      </w:r>
    </w:p>
    <w:p>
      <w:pPr/>
      <w:r>
        <w:rPr>
          <w:rFonts w:ascii="MicrosoftYaHei" w:hAnsi="MicrosoftYaHei" w:eastAsia="MicrosoftYaHei"/>
          <w:sz w:val="22"/>
        </w:rPr>
        <w:t>2.3 触媒习惯与渠道偏好更新</w:t>
      </w:r>
    </w:p>
    <w:p>
      <w:pPr/>
      <w:r>
        <w:rPr>
          <w:rFonts w:ascii="MicrosoftYaHei" w:hAnsi="MicrosoftYaHei" w:eastAsia="MicrosoftYaHei"/>
          <w:sz w:val="22"/>
        </w:rPr>
        <w:t>3. 竞争格局与对手动态</w:t>
      </w:r>
    </w:p>
    <w:p>
      <w:pPr/>
      <w:r>
        <w:rPr>
          <w:rFonts w:ascii="MicrosoftYaHei" w:hAnsi="MicrosoftYaHei" w:eastAsia="MicrosoftYaHei"/>
          <w:sz w:val="22"/>
        </w:rPr>
        <w:t>3.1 市场份额图谱与集中度变化</w:t>
      </w:r>
    </w:p>
    <w:p>
      <w:pPr/>
      <w:r>
        <w:rPr>
          <w:rFonts w:ascii="MicrosoftYaHei" w:hAnsi="MicrosoftYaHei" w:eastAsia="MicrosoftYaHei"/>
          <w:sz w:val="22"/>
        </w:rPr>
        <w:t>3.2 主要对手战略与战术动作解构</w:t>
      </w:r>
    </w:p>
    <w:p>
      <w:pPr/>
      <w:r>
        <w:rPr>
          <w:rFonts w:ascii="MicrosoftYaHei" w:hAnsi="MicrosoftYaHei" w:eastAsia="MicrosoftYaHei"/>
          <w:sz w:val="22"/>
        </w:rPr>
        <w:t>3.3 潜在进入者与跨界颠覆力量</w:t>
      </w:r>
    </w:p>
    <w:p>
      <w:pPr/>
      <w:r>
        <w:rPr>
          <w:rFonts w:ascii="MicrosoftYaHei" w:hAnsi="MicrosoftYaHei" w:eastAsia="MicrosoftYaHei"/>
          <w:sz w:val="22"/>
        </w:rPr>
        <w:t>4. 供应链与价值链分析</w:t>
      </w:r>
    </w:p>
    <w:p>
      <w:pPr/>
      <w:r>
        <w:rPr>
          <w:rFonts w:ascii="MicrosoftYaHei" w:hAnsi="MicrosoftYaHei" w:eastAsia="MicrosoftYaHei"/>
          <w:sz w:val="22"/>
        </w:rPr>
        <w:t>4.1 关键供给要素价格与可得性</w:t>
      </w:r>
    </w:p>
    <w:p>
      <w:pPr/>
      <w:r>
        <w:rPr>
          <w:rFonts w:ascii="MicrosoftYaHei" w:hAnsi="MicrosoftYaHei" w:eastAsia="MicrosoftYaHei"/>
          <w:sz w:val="22"/>
        </w:rPr>
        <w:t>4.2 产业价值链利润池迁移</w:t>
      </w:r>
    </w:p>
    <w:p>
      <w:pPr/>
      <w:r>
        <w:rPr>
          <w:rFonts w:ascii="MicrosoftYaHei" w:hAnsi="MicrosoftYaHei" w:eastAsia="MicrosoftYaHei"/>
          <w:sz w:val="22"/>
        </w:rPr>
        <w:t>4.3 绿色转型与ESG合规进展</w:t>
      </w:r>
    </w:p>
    <w:p>
      <w:pPr/>
      <w:r>
        <w:rPr>
          <w:rFonts w:ascii="MicrosoftYaHei" w:hAnsi="MicrosoftYaHei" w:eastAsia="MicrosoftYaHei"/>
          <w:sz w:val="22"/>
        </w:rPr>
        <w:t>5. 机会与风险雷达</w:t>
      </w:r>
    </w:p>
    <w:p>
      <w:pPr/>
      <w:r>
        <w:rPr>
          <w:rFonts w:ascii="MicrosoftYaHei" w:hAnsi="MicrosoftYaHei" w:eastAsia="MicrosoftYaHei"/>
          <w:sz w:val="22"/>
        </w:rPr>
        <w:t>6. 战略启示与行动建议</w:t>
      </w:r>
    </w:p>
    <w:p>
      <w:pPr/>
      <w:r>
        <w:rPr>
          <w:rFonts w:ascii="MicrosoftYaHei" w:hAnsi="MicrosoftYaHei" w:eastAsia="MicrosoftYaHei"/>
          <w:sz w:val="22"/>
        </w:rPr>
        <w:t>7. 结论与未来展望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1 宏观环境与市场整体走势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1.1 经济基本面与行业景气度</w:t>
      </w:r>
    </w:p>
    <w:p>
      <w:pPr/>
      <w:r>
        <w:rPr>
          <w:rFonts w:ascii="MicrosoftYaHei" w:hAnsi="MicrosoftYaHei" w:eastAsia="MicrosoftYaHei"/>
          <w:sz w:val="22"/>
        </w:rPr>
        <w:t>2024年第四季度，中国经济结构分化仍然是主旋律。汽车行业靠着以旧换新政策和车企促销，生产、投资、零售数据全线飘红，实属难得的景气板块[2]。出口持续强劲，成了支撑经济的重要引擎[2][3]。硬币的另一面是，CPI虽然有所回升，但固定资产投资增速却在持续下行。</w:t>
      </w:r>
    </w:p>
    <w:p>
      <w:pPr/>
      <w:r>
        <w:rPr>
          <w:rFonts w:ascii="MicrosoftYaHei" w:hAnsi="MicrosoftYaHei" w:eastAsia="MicrosoftYaHei"/>
          <w:sz w:val="22"/>
        </w:rPr>
        <w:t>前三季度固定资产投资同比增速3.4%，可逐季放缓的趋势很明显——第三季度只有2.6%，远低于此前两年平均水平。基建投资更是因天气因素和专项债发行后置而明显受拖累[5]。旧引擎动能减弱，新支撑倚靠政策和出口驱动，冷热不均已是定局。</w:t>
      </w:r>
    </w:p>
    <w:p>
      <w:pPr/>
      <w:r>
        <w:rPr>
          <w:rFonts w:ascii="MicrosoftYaHei" w:hAnsi="MicrosoftYaHei" w:eastAsia="MicrosoftYaHei"/>
          <w:sz w:val="22"/>
        </w:rPr>
        <w:t>金融市场方面，增量政策预期持续存在，加上美联储进入降息周期带来的全球流动性拐点，A股指数中枢有逐步上移的潜力[4]。这说明投资者对政策托底和流动性改善还是有期待的。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1.2 政策与监管风向标</w:t>
      </w:r>
    </w:p>
    <w:p>
      <w:pPr/>
      <w:r>
        <w:rPr>
          <w:rFonts w:ascii="MicrosoftYaHei" w:hAnsi="MicrosoftYaHei" w:eastAsia="MicrosoftYaHei"/>
          <w:sz w:val="22"/>
        </w:rPr>
        <w:t>第四季度的政策导向很明确——逆周期调节。财政和货币政策工具轮番上阵提振市场，毕马威研究指出，政策效果在Q4逐步显现，核心瞄准的是“促消费”和“惠民生”[8]。</w:t>
      </w:r>
    </w:p>
    <w:p>
      <w:pPr/>
      <w:r>
        <w:rPr>
          <w:rFonts w:ascii="MicrosoftYaHei" w:hAnsi="MicrosoftYaHei" w:eastAsia="MicrosoftYaHei"/>
          <w:sz w:val="22"/>
        </w:rPr>
        <w:t>以旧换新、设备更新这些具体举措持续发力，直接惠及汽车、家电等消费品领域，给相关行业带来了确定性增长空间[2]。但麻烦的是，数据安全法配套细则的推进、环保标准的收紧，虽然有助于行业规范发展，却也大幅抬高了合规运营成本，对中小企业压力不小。</w:t>
      </w:r>
    </w:p>
    <w:p>
      <w:pPr/>
      <w:r>
        <w:rPr>
          <w:rFonts w:ascii="MicrosoftYaHei" w:hAnsi="MicrosoftYaHei" w:eastAsia="MicrosoftYaHei"/>
          <w:sz w:val="22"/>
        </w:rPr>
        <w:t>往后看，政策红利主要集中在产业扶持和绿色转型方向，而监管风险则集中在数据合规和环保标准两个领域。企业抓政策红利的同时，必须同步评估合规成本对利润的侵蚀。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1.3 技术演进与基础设施变化</w:t>
      </w:r>
    </w:p>
    <w:p>
      <w:pPr/>
      <w:r>
        <w:rPr>
          <w:rFonts w:ascii="MicrosoftYaHei" w:hAnsi="MicrosoftYaHei" w:eastAsia="MicrosoftYaHei"/>
          <w:sz w:val="22"/>
        </w:rPr>
        <w:t>Q4技术演进的核心变量在人工智能、物联网和云计算这三个领域。市场关注点已经从单一技术突破，转向了这些技术在不同行业的深度应用与落地[1]。AI大模型的商业化进程明显提速，给企业降本增效和产品差异化创造了新的可能性。</w:t>
      </w:r>
    </w:p>
    <w:p>
      <w:pPr/>
      <w:r>
        <w:rPr>
          <w:rFonts w:ascii="MicrosoftYaHei" w:hAnsi="MicrosoftYaHei" w:eastAsia="MicrosoftYaHei"/>
          <w:sz w:val="22"/>
        </w:rPr>
        <w:t>云计算成本持续下降，边缘计算逐步推广，产品和服务的交付模式正在被重塑。企业讨论的焦点早已不是技术本身的先进性，而是如何构建整合解决方案的能力，把技术转化为可量化的商业价值。这个趋势对提供数智化解决方案的服务商来说，意味着新的增长空间[1]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2 消费者与需求端洞察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2.1 消费行为与决策因子演变</w:t>
      </w:r>
    </w:p>
    <w:p>
      <w:pPr/>
      <w:r>
        <w:rPr>
          <w:rFonts w:ascii="MicrosoftYaHei" w:hAnsi="MicrosoftYaHei" w:eastAsia="MicrosoftYaHei"/>
          <w:sz w:val="22"/>
        </w:rPr>
        <w:t>Q4中国消费者的消费意愿指数继续下滑，结构升级的势头明显放缓。收入预期不稳定和就业形势严峻是压住消费的两大核心因素[10]。消费者表现出鲜明的“理性价值”转向，产品性价比和实用功能的关注度大幅提升。</w:t>
      </w:r>
    </w:p>
    <w:p>
      <w:pPr/>
      <w:r>
        <w:rPr>
          <w:rFonts w:ascii="MicrosoftYaHei" w:hAnsi="MicrosoftYaHei" w:eastAsia="MicrosoftYaHei"/>
          <w:sz w:val="22"/>
        </w:rPr>
        <w:t>麦肯锡的调研显示，虽然消费者预期谨慎，但市场中仍藏着结构性潜力[6]。尼尔森IQ的报告也指出，全球消费者（包括中国消费者）都在主动调整消费行为，以应对经济不确定性[7]。说到底，消费者在购买决策中更看重即刻获得的体验和价值，价格敏感型需求占比持续上升，冲动性消费和高端消费被明显抑制。</w:t>
      </w:r>
    </w:p>
    <w:p>
      <w:pPr/>
      <w:r>
        <w:rPr>
          <w:rFonts w:ascii="MicrosoftYaHei" w:hAnsi="MicrosoftYaHei" w:eastAsia="MicrosoftYaHei"/>
          <w:sz w:val="22"/>
        </w:rPr>
        <w:t>人群分化也越来越明显：年轻人还在追求“体验”和“社交价值”，但预算约束收紧了；中老年群体（“银发经济”）反倒展现出相对稳定的消费意愿和支付能力，成了不容忽视的潜力人群。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2.2 需求结构与热点品类迁移</w:t>
      </w:r>
    </w:p>
    <w:p>
      <w:pPr/>
      <w:r>
        <w:rPr>
          <w:rFonts w:ascii="MicrosoftYaHei" w:hAnsi="MicrosoftYaHei" w:eastAsia="MicrosoftYaHei"/>
          <w:sz w:val="22"/>
        </w:rPr>
        <w:t>Q4的需求结构呈现“分化”与“收敛”并存的特征。以旧换新政策直接驱动的汽车、家电等大宗品类，保持了较高景气度，属于政策红利下的“高增长、高占位”品类[2]。餐饮、旅游等服务型消费虽然没有报复性反弹，但韧性不差，说明消费者对即时体验的偏好仍在持续。</w:t>
      </w:r>
    </w:p>
    <w:p>
      <w:pPr/>
      <w:r>
        <w:rPr>
          <w:rFonts w:ascii="MicrosoftYaHei" w:hAnsi="MicrosoftYaHei" w:eastAsia="MicrosoftYaHei"/>
          <w:sz w:val="22"/>
        </w:rPr>
        <w:t>从“基础型消费”向“改善型/服务型消费”迁移的势头有所放缓，核心原因是收入预期的压制。消费者在非必需品类的支出上更加谨慎，更愿意把钱集中在生活必需品、健康相关产品和能提供即时满足的服务上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2.3 触媒习惯与渠道偏好更新</w:t>
      </w:r>
    </w:p>
    <w:p>
      <w:pPr/>
      <w:r>
        <w:rPr>
          <w:rFonts w:ascii="MicrosoftYaHei" w:hAnsi="MicrosoftYaHei" w:eastAsia="MicrosoftYaHei"/>
          <w:sz w:val="22"/>
        </w:rPr>
        <w:t>Q4有一个持续可见的变化：消费者获取信息和完成交易的渠道，加速往短视频、直播和本地生活平台迁移。短视频和直播的渗透率继续攀升，品牌营销投放的重心也随之调整。本地生活平台（比如美团、抖音生活服务）在餐饮、零售等场景中的作用越来越突出，已经成为连接消费者和线下商家的关键枢纽。</w:t>
      </w:r>
    </w:p>
    <w:p>
      <w:pPr/>
      <w:r>
        <w:rPr>
          <w:rFonts w:ascii="MicrosoftYaHei" w:hAnsi="MicrosoftYaHei" w:eastAsia="MicrosoftYaHei"/>
          <w:sz w:val="22"/>
        </w:rPr>
        <w:t>品牌营销策略必须适应这个变化——单纯展示信息已经不够了，互动、即时优惠和沉浸式体验才是提升转化率的核心手段。同时，公域流量成本在上升，企业也越来越重视私域流量的运营和客户忠诚度的维系。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3 竞争格局与对手动态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3.1 市场份额图谱与集中度变化</w:t>
      </w:r>
    </w:p>
    <w:p>
      <w:pPr/>
      <w:r>
        <w:rPr>
          <w:rFonts w:ascii="MicrosoftYaHei" w:hAnsi="MicrosoftYaHei" w:eastAsia="MicrosoftYaHei"/>
          <w:sz w:val="22"/>
        </w:rPr>
        <w:t>整体市场温和增长，竞争烈度却明显提高。头部企业靠技术融合和生态扩张进一步巩固了优势。汽车行业就是典型：传统车企和新势力在Q4密集推出促销政策，行业集中度上升，头部品牌靠着更全面的产品矩阵和更强的品牌号召力，加速吞掉中小品牌的市场份额。</w:t>
      </w:r>
    </w:p>
    <w:p>
      <w:pPr/>
      <w:r>
        <w:rPr>
          <w:rFonts w:ascii="MicrosoftYaHei" w:hAnsi="MicrosoftYaHei" w:eastAsia="MicrosoftYaHei"/>
          <w:sz w:val="22"/>
        </w:rPr>
        <w:t>科技市场也一样，那些能提供AI、云计算、物联网整合解决方案的头部企业，比单一技术供应商拥有更强的客户粘性和议价能力。竞争的维度已经从单一产品竞争转向生态系统竞争，这个趋势让市场份额加速向少数综合性巨头集中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3.2 主要对手战略与战术动作解构</w:t>
      </w:r>
    </w:p>
    <w:p>
      <w:pPr/>
      <w:r>
        <w:rPr>
          <w:rFonts w:ascii="MicrosoftYaHei" w:hAnsi="MicrosoftYaHei" w:eastAsia="MicrosoftYaHei"/>
          <w:sz w:val="22"/>
        </w:rPr>
        <w:t>挑汽车、科技、消费品三个代表性赛道来看，头部企业Q4的共性战略动作很有规律：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汽车行业</w:t>
      </w:r>
      <w:r>
        <w:rPr>
          <w:rFonts w:ascii="MicrosoftYaHei" w:hAnsi="MicrosoftYaHei" w:eastAsia="MicrosoftYaHei"/>
          <w:sz w:val="22"/>
        </w:rPr>
        <w:t>：主要车企普遍采取“以价换量”策略，通过终端促销和金融方案刺激需求，同时加速推出搭载智能化功能的新车型，用技术差异化来争取溢价空间。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科技行业</w:t>
      </w:r>
      <w:r>
        <w:rPr>
          <w:rFonts w:ascii="MicrosoftYaHei" w:hAnsi="MicrosoftYaHei" w:eastAsia="MicrosoftYaHei"/>
          <w:sz w:val="22"/>
        </w:rPr>
        <w:t>：头部互联网和云计算企业继续加码AI大模型投入，把AI能力深度嵌入既有产品线，通过功能迭代提高用户使用频率和付费转化率。生态合作和投资并购成了快速补齐技术短板的重要手段。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消费品行业</w:t>
      </w:r>
      <w:r>
        <w:rPr>
          <w:rFonts w:ascii="MicrosoftYaHei" w:hAnsi="MicrosoftYaHei" w:eastAsia="MicrosoftYaHei"/>
          <w:sz w:val="22"/>
        </w:rPr>
        <w:t>：面临消费者信心低迷和价格战加剧，头部品牌转向“价值营销”，强调产品的长期使用价值和品牌信任感，同时靠私域运营降低获客成本。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3.3 潜在进入者与跨界颠覆力量</w:t>
      </w:r>
    </w:p>
    <w:p>
      <w:pPr/>
      <w:r>
        <w:rPr>
          <w:rFonts w:ascii="MicrosoftYaHei" w:hAnsi="MicrosoftYaHei" w:eastAsia="MicrosoftYaHei"/>
          <w:sz w:val="22"/>
        </w:rPr>
        <w:t>跨界竞争的风险一直在。科技巨头继续向传统行业渗透，利用自身在数据、算法和用户触达上的优势，重塑零售、金融、交通等行业的竞争规则。另外，那些运用AI技术进行商业模式创新的新锐创业团队，虽然规模不大，但在部分细分领域（比如AI辅助决策工具、垂直领域智能客服）已经对传统企业形成了替代威胁。</w:t>
      </w:r>
    </w:p>
    <w:p>
      <w:pPr/>
      <w:r>
        <w:rPr>
          <w:rFonts w:ascii="MicrosoftYaHei" w:hAnsi="MicrosoftYaHei" w:eastAsia="MicrosoftYaHei"/>
          <w:sz w:val="22"/>
        </w:rPr>
        <w:t>潜在进入者带来的核心风险是“改写规则”——它们往往不受传统行业成本结构和渠道关系的约束，能以更灵活的方式切入市场，推翻既有盈利模式。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4 供应链与价值链分析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4.1 关键供给要素价格与可得性</w:t>
      </w:r>
    </w:p>
    <w:p>
      <w:pPr/>
      <w:r>
        <w:rPr>
          <w:rFonts w:ascii="MicrosoftYaHei" w:hAnsi="MicrosoftYaHei" w:eastAsia="MicrosoftYaHei"/>
          <w:sz w:val="22"/>
        </w:rPr>
        <w:t>Q4供应链端的主要挑战来自地缘政治扰动和部分原材料的供需错配。全球芯片短缺问题比前两年有所缓解，但高端芯片和特定电子元器件的交期仍然不稳定。能源价格波动和物流成本的不确定性，继续考验生产企业的成本控制能力。</w:t>
      </w:r>
    </w:p>
    <w:p>
      <w:pPr/>
      <w:r>
        <w:rPr>
          <w:rFonts w:ascii="MicrosoftYaHei" w:hAnsi="MicrosoftYaHei" w:eastAsia="MicrosoftYaHei"/>
          <w:sz w:val="22"/>
        </w:rPr>
        <w:t>汽车产业链的供应链韧性相对更强，得益于企业前几年建立的多元化供应体系和库存缓冲。但部分依赖进口原材料的行业，仍然面临汇率波动和贸易摩擦带来的成本压力。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4.2 产业价值链利润池迁移</w:t>
      </w:r>
    </w:p>
    <w:p>
      <w:pPr/>
      <w:r>
        <w:rPr>
          <w:rFonts w:ascii="MicrosoftYaHei" w:hAnsi="MicrosoftYaHei" w:eastAsia="MicrosoftYaHei"/>
          <w:sz w:val="22"/>
        </w:rPr>
        <w:t>沿着研发—生产—分销—服务的链条来看，利润池迁移呈现清晰的“两端增长、中间承压”特征。上游核心技术研发环节（比如芯片设计、新材料、AI算法）和技术驱动的服务环节（比如SaaS、智能运维）价值占比持续提升。而传统的生产制造、批发分销环节，因为同质化竞争激烈、成本刚性，毛利率持续被压缩。</w:t>
      </w:r>
    </w:p>
    <w:p>
      <w:pPr/>
      <w:r>
        <w:rPr>
          <w:rFonts w:ascii="MicrosoftYaHei" w:hAnsi="MicrosoftYaHei" w:eastAsia="MicrosoftYaHei"/>
          <w:sz w:val="22"/>
        </w:rPr>
        <w:t>企业盈利能力的分化会进一步加剧：拥有核心技术或直接触达终端用户能力的企业，能获得更高的价值分配；处于价值链中间环节的企业，只能靠数字化转型和效率提升来争取生存空间。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4.3 绿色转型与ESG合规进展</w:t>
      </w:r>
    </w:p>
    <w:p>
      <w:pPr/>
      <w:r>
        <w:rPr>
          <w:rFonts w:ascii="MicrosoftYaHei" w:hAnsi="MicrosoftYaHei" w:eastAsia="MicrosoftYaHei"/>
          <w:sz w:val="22"/>
        </w:rPr>
        <w:t>ESG合规要求正在从“成本项”变成“竞争壁垒”。Q4的政策导向进一步强化了减碳、循环材料使用和可持续信息披露的要求。对头部企业来说，建立绿色供应链、拿到ESG评级认证，正在成为进入国际市场和高端客户的准入门槛。</w:t>
      </w:r>
    </w:p>
    <w:p>
      <w:pPr/>
      <w:r>
        <w:rPr>
          <w:rFonts w:ascii="MicrosoftYaHei" w:hAnsi="MicrosoftYaHei" w:eastAsia="MicrosoftYaHei"/>
          <w:sz w:val="22"/>
        </w:rPr>
        <w:t>但绿色转型带来的采购成本上升，对中小企业构成了不小的压力。那些能率先完成ESG合规的企业，则可以在品牌溢价、融资成本降低和客户忠诚度方面获得差异化优势。ESG已经正式成为衡量企业长期价值的重要维度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5 机会与风险雷达</w:t>
      </w:r>
    </w:p>
    <w:p>
      <w:pPr/>
      <w:r>
        <w:rPr>
          <w:rFonts w:ascii="MicrosoftYaHei" w:hAnsi="MicrosoftYaHei" w:eastAsia="MicrosoftYaHei"/>
          <w:sz w:val="22"/>
        </w:rPr>
        <w:t>基于前面的分析，Q4的关键机会和风险梳理如下表：</w:t>
      </w:r>
    </w:p>
    <w:p>
      <w:pPr/>
      <w:r>
        <w:rPr>
          <w:rFonts w:ascii="MicrosoftYaHei" w:hAnsi="MicrosoftYaHei" w:eastAsia="MicrosoftYaHei"/>
          <w:sz w:val="22"/>
        </w:rPr>
        <w:t>| 类别 | 具体内容 | 支撑来源 |</w:t>
      </w:r>
    </w:p>
    <w:p>
      <w:pPr/>
      <w:r>
        <w:rPr>
          <w:rFonts w:ascii="MicrosoftYaHei" w:hAnsi="MicrosoftYaHei" w:eastAsia="MicrosoftYaHei"/>
          <w:sz w:val="22"/>
        </w:rPr>
        <w:t>| :--- | :--- | :--- |</w:t>
      </w:r>
    </w:p>
    <w:p>
      <w:pPr/>
      <w:r>
        <w:rPr>
          <w:rFonts w:ascii="MicrosoftYaHei" w:hAnsi="MicrosoftYaHei" w:eastAsia="MicrosoftYaHei"/>
          <w:sz w:val="22"/>
        </w:rPr>
        <w:t xml:space="preserve">| </w:t>
      </w:r>
      <w:r>
        <w:rPr>
          <w:rFonts w:ascii="MicrosoftYaHei" w:hAnsi="MicrosoftYaHei" w:eastAsia="MicrosoftYaHei"/>
          <w:b/>
          <w:sz w:val="22"/>
        </w:rPr>
        <w:t>机会点</w:t>
      </w:r>
      <w:r>
        <w:rPr>
          <w:rFonts w:ascii="MicrosoftYaHei" w:hAnsi="MicrosoftYaHei" w:eastAsia="MicrosoftYaHei"/>
          <w:sz w:val="22"/>
        </w:rPr>
        <w:t xml:space="preserve"> | </w:t>
      </w:r>
      <w:r>
        <w:rPr>
          <w:rFonts w:ascii="MicrosoftYaHei" w:hAnsi="MicrosoftYaHei" w:eastAsia="MicrosoftYaHei"/>
          <w:b/>
          <w:sz w:val="22"/>
        </w:rPr>
        <w:t>政策红利赛道</w:t>
      </w:r>
      <w:r>
        <w:rPr>
          <w:rFonts w:ascii="MicrosoftYaHei" w:hAnsi="MicrosoftYaHei" w:eastAsia="MicrosoftYaHei"/>
          <w:sz w:val="22"/>
        </w:rPr>
        <w:t>：以旧换新、设备更新政策持续发力，汽车、家电等消费品存在确定性增长 | [2]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技术创新应用</w:t>
      </w:r>
      <w:r>
        <w:rPr>
          <w:rFonts w:ascii="MicrosoftYaHei" w:hAnsi="MicrosoftYaHei" w:eastAsia="MicrosoftYaHei"/>
          <w:sz w:val="22"/>
        </w:rPr>
        <w:t>：AI、云计算等技术在垂直行业的深度渗透，为数智化解决方案服务商创造新增长空间 | [1]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出口市场韧性</w:t>
      </w:r>
      <w:r>
        <w:rPr>
          <w:rFonts w:ascii="MicrosoftYaHei" w:hAnsi="MicrosoftYaHei" w:eastAsia="MicrosoftYaHei"/>
          <w:sz w:val="22"/>
        </w:rPr>
        <w:t>：中国出口表现出超预期韧性，相关产业链龙头企业有望持续受益 | [2][3]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银发经济与下沉市场</w:t>
      </w:r>
      <w:r>
        <w:rPr>
          <w:rFonts w:ascii="MicrosoftYaHei" w:hAnsi="MicrosoftYaHei" w:eastAsia="MicrosoftYaHei"/>
          <w:sz w:val="22"/>
        </w:rPr>
        <w:t>：在消费整体谨慎的背景下，老年群体和下沉市场的结构性需求提供了增量空间 | 综合推断 |</w:t>
      </w:r>
    </w:p>
    <w:p>
      <w:pPr/>
      <w:r>
        <w:rPr>
          <w:rFonts w:ascii="MicrosoftYaHei" w:hAnsi="MicrosoftYaHei" w:eastAsia="MicrosoftYaHei"/>
          <w:sz w:val="22"/>
        </w:rPr>
        <w:t xml:space="preserve">| </w:t>
      </w:r>
      <w:r>
        <w:rPr>
          <w:rFonts w:ascii="MicrosoftYaHei" w:hAnsi="MicrosoftYaHei" w:eastAsia="MicrosoftYaHei"/>
          <w:b/>
          <w:sz w:val="22"/>
        </w:rPr>
        <w:t>风险挑战</w:t>
      </w:r>
      <w:r>
        <w:rPr>
          <w:rFonts w:ascii="MicrosoftYaHei" w:hAnsi="MicrosoftYaHei" w:eastAsia="MicrosoftYaHei"/>
          <w:sz w:val="22"/>
        </w:rPr>
        <w:t xml:space="preserve"> | </w:t>
      </w:r>
      <w:r>
        <w:rPr>
          <w:rFonts w:ascii="MicrosoftYaHei" w:hAnsi="MicrosoftYaHei" w:eastAsia="MicrosoftYaHei"/>
          <w:b/>
          <w:sz w:val="22"/>
        </w:rPr>
        <w:t>内需复苏乏力</w:t>
      </w:r>
      <w:r>
        <w:rPr>
          <w:rFonts w:ascii="MicrosoftYaHei" w:hAnsi="MicrosoftYaHei" w:eastAsia="MicrosoftYaHei"/>
          <w:sz w:val="22"/>
        </w:rPr>
        <w:t>：消费者信心低迷、消费意愿持续下降是最大内部风险，可能引发消费品行业价格战和“内卷” | [6][10]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房地产与基建拖累</w:t>
      </w:r>
      <w:r>
        <w:rPr>
          <w:rFonts w:ascii="MicrosoftYaHei" w:hAnsi="MicrosoftYaHei" w:eastAsia="MicrosoftYaHei"/>
          <w:sz w:val="22"/>
        </w:rPr>
        <w:t>：固定资产投资增速持续低迷，将拖累上下游产业链总需求 | [3][5]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小微经营者困境</w:t>
      </w:r>
      <w:r>
        <w:rPr>
          <w:rFonts w:ascii="MicrosoftYaHei" w:hAnsi="MicrosoftYaHei" w:eastAsia="MicrosoftYaHei"/>
          <w:sz w:val="22"/>
        </w:rPr>
        <w:t>：小微企业经营压力巨大，可能引发就业收缩和消费抑制的连锁反应 | [9][10]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宏观不确定性</w:t>
      </w:r>
      <w:r>
        <w:rPr>
          <w:rFonts w:ascii="MicrosoftYaHei" w:hAnsi="MicrosoftYaHei" w:eastAsia="MicrosoftYaHei"/>
          <w:sz w:val="22"/>
        </w:rPr>
        <w:t>：海外经济“美强欧弱”格局及地缘政治风险，给出口持续性带来不确定性 | [4] |</w:t>
      </w:r>
    </w:p>
    <w:p>
      <w:pPr/>
      <w:r>
        <w:rPr>
          <w:rFonts w:ascii="MicrosoftYaHei" w:hAnsi="MicrosoftYaHei" w:eastAsia="MicrosoftYaHei"/>
          <w:sz w:val="22"/>
        </w:rPr>
        <w:t xml:space="preserve">| | </w:t>
      </w:r>
      <w:r>
        <w:rPr>
          <w:rFonts w:ascii="MicrosoftYaHei" w:hAnsi="MicrosoftYaHei" w:eastAsia="MicrosoftYaHei"/>
          <w:b/>
          <w:sz w:val="22"/>
        </w:rPr>
        <w:t>合规成本上升</w:t>
      </w:r>
      <w:r>
        <w:rPr>
          <w:rFonts w:ascii="MicrosoftYaHei" w:hAnsi="MicrosoftYaHei" w:eastAsia="MicrosoftYaHei"/>
          <w:sz w:val="22"/>
        </w:rPr>
        <w:t>：数据安全、环保等领域的监管趋严，显著抬高企业运营成本 | 综合推断 |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6 战略启示与行动建议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6.1 产品与服务创新定向</w:t>
      </w:r>
    </w:p>
    <w:p>
      <w:pPr/>
      <w:r>
        <w:rPr>
          <w:rFonts w:ascii="MicrosoftYaHei" w:hAnsi="MicrosoftYaHei" w:eastAsia="MicrosoftYaHei"/>
          <w:sz w:val="22"/>
        </w:rPr>
        <w:t>企业应该走“双轮驱动”的路线。短期聚焦政策驱动的市场机会，积极布局以旧换新等政府扶持品类，稳住营收基本盘。中长期则要加大技术驱动领域的投入，利用AI等工具降本增效，创造差异化价值。</w:t>
      </w:r>
    </w:p>
    <w:p>
      <w:pPr/>
      <w:r>
        <w:rPr>
          <w:rFonts w:ascii="MicrosoftYaHei" w:hAnsi="MicrosoftYaHei" w:eastAsia="MicrosoftYaHei"/>
          <w:sz w:val="22"/>
        </w:rPr>
        <w:t>具体方向包括：开发高性价比、强功能的产品，匹配消费者越来越理性的决策偏好；探索订阅制、结果付费等新型服务模式，降低用户初始决策门槛，同时增强客户粘性。更重要的是，把AI能力融入产品核心功能，提升用户体验和运营效率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6.2 市场进入与竞争策略选择</w:t>
      </w:r>
    </w:p>
    <w:p>
      <w:pPr/>
      <w:r>
        <w:rPr>
          <w:rFonts w:ascii="MicrosoftYaHei" w:hAnsi="MicrosoftYaHei" w:eastAsia="MicrosoftYaHei"/>
          <w:sz w:val="22"/>
        </w:rPr>
        <w:t>不同类型的细分市场，需要差异化的竞争策略：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成熟存量市场</w:t>
      </w:r>
      <w:r>
        <w:rPr>
          <w:rFonts w:ascii="MicrosoftYaHei" w:hAnsi="MicrosoftYaHei" w:eastAsia="MicrosoftYaHei"/>
          <w:sz w:val="22"/>
        </w:rPr>
        <w:t>（如汽车、家电）：靠产品迭代、品牌信任和服务升级来维持份额，避免陷入纯粹的价格战。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新兴增量市场</w:t>
      </w:r>
      <w:r>
        <w:rPr>
          <w:rFonts w:ascii="MicrosoftYaHei" w:hAnsi="MicrosoftYaHei" w:eastAsia="MicrosoftYaHei"/>
          <w:sz w:val="22"/>
        </w:rPr>
        <w:t>（如AI应用、技术服务出海）：采取先发优势策略，快速占领用户心智和关键渠道，优先选择政策友好、需求确定性高的区域。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防御型利基市场</w:t>
      </w:r>
      <w:r>
        <w:rPr>
          <w:rFonts w:ascii="MicrosoftYaHei" w:hAnsi="MicrosoftYaHei" w:eastAsia="MicrosoftYaHei"/>
          <w:sz w:val="22"/>
        </w:rPr>
        <w:t>（如银发经济）：提供精准适配的产品和服务，靠精细化运营维护客户关系，获取稳定回报。</w:t>
      </w:r>
    </w:p>
    <w:p>
      <w:pPr/>
      <w:r>
        <w:rPr>
          <w:rFonts w:ascii="MicrosoftYaHei" w:hAnsi="MicrosoftYaHei" w:eastAsia="MicrosoftYaHei"/>
          <w:sz w:val="22"/>
        </w:rPr>
        <w:t>资源投入应该优先向高景气赛道（如汽车产业链、科技服务、与出口相关的业务）倾斜，进行深度客户关系维护和解决方案升级[2][3]。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6.3 组织与生态能力建设</w:t>
      </w:r>
    </w:p>
    <w:p>
      <w:pPr/>
      <w:r>
        <w:rPr>
          <w:rFonts w:ascii="MicrosoftYaHei" w:hAnsi="MicrosoftYaHei" w:eastAsia="MicrosoftYaHei"/>
          <w:sz w:val="22"/>
        </w:rPr>
        <w:t>面对不确定的市场环境，企业需要在人才结构、数据资产和供应链韧性上做出战略性调整。建议加强具备AI和数据技能的人才储备；建立全链条的数据资产管理利用机制；构建更具韧性的多元化供应链布局，降低对单一来源的依赖。</w:t>
      </w:r>
    </w:p>
    <w:p>
      <w:pPr/>
      <w:r>
        <w:rPr>
          <w:rFonts w:ascii="MicrosoftYaHei" w:hAnsi="MicrosoftYaHei" w:eastAsia="MicrosoftYaHei"/>
          <w:sz w:val="22"/>
        </w:rPr>
        <w:t>此外，通过生态合作来补内部能力的短板，与核心技术供应商、渠道伙伴和互补型企业建立战略联盟，共同应对市场波动和跨界竞争。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7 结论与未来展望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7.1 报告核心结论提炼</w:t>
      </w:r>
    </w:p>
    <w:p>
      <w:pPr/>
      <w:r>
        <w:rPr>
          <w:rFonts w:ascii="MicrosoftYaHei" w:hAnsi="MicrosoftYaHei" w:eastAsia="MicrosoftYaHei"/>
          <w:sz w:val="22"/>
        </w:rPr>
        <w:t xml:space="preserve">1. </w:t>
      </w:r>
      <w:r>
        <w:rPr>
          <w:rFonts w:ascii="MicrosoftYaHei" w:hAnsi="MicrosoftYaHei" w:eastAsia="MicrosoftYaHei"/>
          <w:b/>
          <w:sz w:val="22"/>
        </w:rPr>
        <w:t>市场整体谨慎，结构分化加剧</w:t>
      </w:r>
      <w:r>
        <w:rPr>
          <w:rFonts w:ascii="MicrosoftYaHei" w:hAnsi="MicrosoftYaHei" w:eastAsia="MicrosoftYaHei"/>
          <w:sz w:val="22"/>
        </w:rPr>
        <w:t>：2024Q4中国经济在政策支撑下温和增长，但内需复苏乏力和房地产下行构成了主要制约，增长动力高度依赖特定行业。</w:t>
      </w:r>
    </w:p>
    <w:p>
      <w:pPr/>
      <w:r>
        <w:rPr>
          <w:rFonts w:ascii="MicrosoftYaHei" w:hAnsi="MicrosoftYaHei" w:eastAsia="MicrosoftYaHei"/>
          <w:sz w:val="22"/>
        </w:rPr>
        <w:t xml:space="preserve">2. </w:t>
      </w:r>
      <w:r>
        <w:rPr>
          <w:rFonts w:ascii="MicrosoftYaHei" w:hAnsi="MicrosoftYaHei" w:eastAsia="MicrosoftYaHei"/>
          <w:b/>
          <w:sz w:val="22"/>
        </w:rPr>
        <w:t>消费者行为趋于理性</w:t>
      </w:r>
      <w:r>
        <w:rPr>
          <w:rFonts w:ascii="MicrosoftYaHei" w:hAnsi="MicrosoftYaHei" w:eastAsia="MicrosoftYaHei"/>
          <w:sz w:val="22"/>
        </w:rPr>
        <w:t>：收入预期不稳和就业压力导致消费意愿下降，消费者决策转向“高性价比、强体验”模式，品牌溢价空间收窄。</w:t>
      </w:r>
    </w:p>
    <w:p>
      <w:pPr/>
      <w:r>
        <w:rPr>
          <w:rFonts w:ascii="MicrosoftYaHei" w:hAnsi="MicrosoftYaHei" w:eastAsia="MicrosoftYaHei"/>
          <w:sz w:val="22"/>
        </w:rPr>
        <w:t xml:space="preserve">3. </w:t>
      </w:r>
      <w:r>
        <w:rPr>
          <w:rFonts w:ascii="MicrosoftYaHei" w:hAnsi="MicrosoftYaHei" w:eastAsia="MicrosoftYaHei"/>
          <w:b/>
          <w:sz w:val="22"/>
        </w:rPr>
        <w:t>竞争走向生态化</w:t>
      </w:r>
      <w:r>
        <w:rPr>
          <w:rFonts w:ascii="MicrosoftYaHei" w:hAnsi="MicrosoftYaHei" w:eastAsia="MicrosoftYaHei"/>
          <w:sz w:val="22"/>
        </w:rPr>
        <w:t>：头部企业通过技术融合和生态扩张巩固优势，市场份额进一步集中，单纯产品竞争的空间被压缩。</w:t>
      </w:r>
    </w:p>
    <w:p>
      <w:pPr/>
      <w:r>
        <w:rPr>
          <w:rFonts w:ascii="MicrosoftYaHei" w:hAnsi="MicrosoftYaHei" w:eastAsia="MicrosoftYaHei"/>
          <w:sz w:val="22"/>
        </w:rPr>
        <w:t xml:space="preserve">4. </w:t>
      </w:r>
      <w:r>
        <w:rPr>
          <w:rFonts w:ascii="MicrosoftYaHei" w:hAnsi="MicrosoftYaHei" w:eastAsia="MicrosoftYaHei"/>
          <w:b/>
          <w:sz w:val="22"/>
        </w:rPr>
        <w:t>技术应用成为差异化核心</w:t>
      </w:r>
      <w:r>
        <w:rPr>
          <w:rFonts w:ascii="MicrosoftYaHei" w:hAnsi="MicrosoftYaHei" w:eastAsia="MicrosoftYaHei"/>
          <w:sz w:val="22"/>
        </w:rPr>
        <w:t>：AI等技术的落地速度，将决定企业能否在效率和创新两个维度实现突围。</w:t>
      </w:r>
    </w:p>
    <w:p>
      <w:pPr/>
      <w:r>
        <w:rPr>
          <w:rFonts w:ascii="MicrosoftYaHei" w:hAnsi="MicrosoftYaHei" w:eastAsia="MicrosoftYaHei"/>
          <w:sz w:val="22"/>
        </w:rPr>
        <w:t xml:space="preserve">5. </w:t>
      </w:r>
      <w:r>
        <w:rPr>
          <w:rFonts w:ascii="MicrosoftYaHei" w:hAnsi="MicrosoftYaHei" w:eastAsia="MicrosoftYaHei"/>
          <w:b/>
          <w:sz w:val="22"/>
        </w:rPr>
        <w:t>风险与机遇并存</w:t>
      </w:r>
      <w:r>
        <w:rPr>
          <w:rFonts w:ascii="MicrosoftYaHei" w:hAnsi="MicrosoftYaHei" w:eastAsia="MicrosoftYaHei"/>
          <w:sz w:val="22"/>
        </w:rPr>
        <w:t>：政策红利和AI应用为市场提供了确定性机会，但内需疲软、合规成本上升和地缘政治扰动是主要风险。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7.2 2025上半年趋势前瞻</w:t>
      </w:r>
    </w:p>
    <w:p>
      <w:pPr/>
      <w:r>
        <w:rPr>
          <w:rFonts w:ascii="MicrosoftYaHei" w:hAnsi="MicrosoftYaHei" w:eastAsia="MicrosoftYaHei"/>
          <w:sz w:val="22"/>
        </w:rPr>
        <w:t>基于Q4的先行信号和政策节奏，预判2025上半年市场将呈现以下趋势：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宏观温度</w:t>
      </w:r>
      <w:r>
        <w:rPr>
          <w:rFonts w:ascii="MicrosoftYaHei" w:hAnsi="MicrosoftYaHei" w:eastAsia="MicrosoftYaHei"/>
          <w:sz w:val="22"/>
        </w:rPr>
        <w:t>：大概率延续“温和复苏”基调，政策将继续保持逆周期调节力度，但内需真正回暖还得看消费者信心和就业环境能否改善。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需求弹性</w:t>
      </w:r>
      <w:r>
        <w:rPr>
          <w:rFonts w:ascii="MicrosoftYaHei" w:hAnsi="MicrosoftYaHei" w:eastAsia="MicrosoftYaHei"/>
          <w:sz w:val="22"/>
        </w:rPr>
        <w:t>：消费需求仍将维持谨慎，高端和非必需品类承压，而以旧换新等政策驱动的品类将继续获得支撑。银发经济和下沉市场的结构性需求有望进一步释放。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技术突破节奏</w:t>
      </w:r>
      <w:r>
        <w:rPr>
          <w:rFonts w:ascii="MicrosoftYaHei" w:hAnsi="MicrosoftYaHei" w:eastAsia="MicrosoftYaHei"/>
          <w:sz w:val="22"/>
        </w:rPr>
        <w:t>：AI应用将在更多行业进入落地验证期，能提供可量化投资回报的解决方案会更受市场欢迎。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格局变动</w:t>
      </w:r>
      <w:r>
        <w:rPr>
          <w:rFonts w:ascii="MicrosoftYaHei" w:hAnsi="MicrosoftYaHei" w:eastAsia="MicrosoftYaHei"/>
          <w:sz w:val="22"/>
        </w:rPr>
        <w:t>：行业集中度可能继续上升，兼具技术能力和生态资源的企业地位会更加稳固，而缺乏核心竞争力的中小企业面临生存考验。</w:t>
      </w:r>
    </w:p>
    <w:p>
      <w:pPr/>
      <w:r>
        <w:rPr>
          <w:rFonts w:ascii="MicrosoftYaHei" w:hAnsi="MicrosoftYaHei" w:eastAsia="MicrosoftYaHei"/>
          <w:b/>
          <w:sz w:val="22"/>
        </w:rPr>
        <w:t>最值得跟踪的观测变量</w:t>
      </w:r>
      <w:r>
        <w:rPr>
          <w:rFonts w:ascii="MicrosoftYaHei" w:hAnsi="MicrosoftYaHei" w:eastAsia="MicrosoftYaHei"/>
          <w:sz w:val="22"/>
        </w:rPr>
        <w:t>包括：消费者信心指数、固定资产投资增速（特别是房地产领域）、政策（以旧换新、设备更新）的延续力度，以及AI应用在头部企业的收入和利润占比变化。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参考来源</w:t>
      </w:r>
    </w:p>
    <w:p>
      <w:pPr/>
      <w:r>
        <w:rPr>
          <w:rFonts w:ascii="MicrosoftYaHei" w:hAnsi="MicrosoftYaHei" w:eastAsia="MicrosoftYaHei"/>
          <w:sz w:val="22"/>
        </w:rPr>
        <w:t>[1] 2024年第四季度市场分析研究摘要（综合各行业技术趋势报告）</w:t>
      </w:r>
    </w:p>
    <w:p>
      <w:pPr/>
      <w:r>
        <w:rPr>
          <w:rFonts w:ascii="MicrosoftYaHei" w:hAnsi="MicrosoftYaHei" w:eastAsia="MicrosoftYaHei"/>
          <w:sz w:val="22"/>
        </w:rPr>
        <w:t>[2] 2024年第四季度汽车行业及出口数据分析</w:t>
      </w:r>
    </w:p>
    <w:p>
      <w:pPr/>
      <w:r>
        <w:rPr>
          <w:rFonts w:ascii="MicrosoftYaHei" w:hAnsi="MicrosoftYaHei" w:eastAsia="MicrosoftYaHei"/>
          <w:sz w:val="22"/>
        </w:rPr>
        <w:t>[3] 2024年第四季度宏观经济报告（固定资产投资、出口、CPI数据）</w:t>
      </w:r>
    </w:p>
    <w:p>
      <w:pPr/>
      <w:r>
        <w:rPr>
          <w:rFonts w:ascii="MicrosoftYaHei" w:hAnsi="MicrosoftYaHei" w:eastAsia="MicrosoftYaHei"/>
          <w:sz w:val="22"/>
        </w:rPr>
        <w:t>[4] 2024年第四季度金融市场展望（A股、美联储降息预期）</w:t>
      </w:r>
    </w:p>
    <w:p>
      <w:pPr/>
      <w:r>
        <w:rPr>
          <w:rFonts w:ascii="MicrosoftYaHei" w:hAnsi="MicrosoftYaHei" w:eastAsia="MicrosoftYaHei"/>
          <w:sz w:val="22"/>
        </w:rPr>
        <w:t>[5] 2024年第四季度基建与房地产投资分析</w:t>
      </w:r>
    </w:p>
    <w:p>
      <w:pPr/>
      <w:r>
        <w:rPr>
          <w:rFonts w:ascii="MicrosoftYaHei" w:hAnsi="MicrosoftYaHei" w:eastAsia="MicrosoftYaHei"/>
          <w:sz w:val="22"/>
        </w:rPr>
        <w:t>[6] 麦肯锡2024年第四季度中国消费者调研报告</w:t>
      </w:r>
    </w:p>
    <w:p>
      <w:pPr/>
      <w:r>
        <w:rPr>
          <w:rFonts w:ascii="MicrosoftYaHei" w:hAnsi="MicrosoftYaHei" w:eastAsia="MicrosoftYaHei"/>
          <w:sz w:val="22"/>
        </w:rPr>
        <w:t>[7] 尼尔森IQ 2024年第四季度全球消费者信心报告</w:t>
      </w:r>
    </w:p>
    <w:p>
      <w:pPr/>
      <w:r>
        <w:rPr>
          <w:rFonts w:ascii="MicrosoftYaHei" w:hAnsi="MicrosoftYaHei" w:eastAsia="MicrosoftYaHei"/>
          <w:sz w:val="22"/>
        </w:rPr>
        <w:t>[8] 毕马威2024年第四季度中国经济与政策分析</w:t>
      </w:r>
    </w:p>
    <w:p>
      <w:pPr/>
      <w:r>
        <w:rPr>
          <w:rFonts w:ascii="MicrosoftYaHei" w:hAnsi="MicrosoftYaHei" w:eastAsia="MicrosoftYaHei"/>
          <w:sz w:val="22"/>
        </w:rPr>
        <w:t>[9] 2024年第四季度小微经营者生存状况调研</w:t>
      </w:r>
    </w:p>
    <w:p>
      <w:pPr/>
      <w:r>
        <w:rPr>
          <w:rFonts w:ascii="MicrosoftYaHei" w:hAnsi="MicrosoftYaHei" w:eastAsia="MicrosoftYaHei"/>
          <w:sz w:val="22"/>
        </w:rPr>
        <w:t>[10] 2024年第四季度消费者意愿指数与就业市场分析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YaHei" w:hAnsi="MicrosoftYaHei" w:eastAsia="Microsoft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YaHei" w:hAnsi="MicrosoftYaHei" w:eastAsia="Microsoft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YaHei" w:hAnsi="MicrosoftYaHei" w:eastAsia="Microsoft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