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 xml:space="preserve">Cross-attention fusion also provided superior robustness to missing modalities compared to self-attention alternatives (55.6% vs. 43.0% performance retention with three modalities missing). In an independent METABRIC cohort (n = 1,980), predicted Tamoxifen and Fulvestrant IC50 values were markedly lower in ER-positive tumors (Mann–Whitney p </w:t>
      </w:r>
      <w:r>
        <w:rPr>
          <w:rFonts w:ascii="Cambria Math" w:hAnsi="Cambria Math" w:cs="Cambria Math" w:eastAsia="Cambria Math"/>
        </w:rPr>
        <w:t>≈</w:t>
      </w:r>
      <w:r>
        <w:t xml:space="preserve"> 10-30) and drug-drug correlation structure was almost perfectly preserved against TCGA (Spearman </w:t>
      </w:r>
      <w:r>
        <w:rPr>
          <w:rFonts w:ascii="Cambria Math" w:hAnsi="Cambria Math" w:cs="Cambria Math" w:eastAsia="Cambria Math"/>
        </w:rPr>
        <w:t>ρ</w:t>
      </w:r>
      <w:r>
        <w:t xml:space="preserve"> = 0.961), confirming that the model captures platform-invariant pharmacology. Bootstrap 95% CIs on the clinical AUCs are reported to quantify uncertainty under small outcome-imbalanced subsets.</w:t>
      </w:r>
    </w:p>
    <w:p>
      <w:r>
        <w:t>The model captured biologically meaningful patterns: predicted drug sensitivity stratified patients by RPPA-defined molecular subtypes with significant subtype-specific differences for 9 of 13 drugs (p &lt; 0.05), and drug clustering by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w:t>
      </w:r>
      <w:r>
        <w:rPr>
          <w:rFonts w:ascii="Cambria Math" w:hAnsi="Cambria Math" w:cs="Cambria Math" w:eastAsia="Cambria Math"/>
          <w:vertAlign w:val="subscript"/>
        </w:rPr>
        <w:t>5</w:t>
      </w:r>
      <w:r>
        <w:rPr>
          <w:rFonts w:ascii="Cambria Math" w:hAnsi="Cambria Math" w:cs="Cambria Math" w:eastAsia="Cambria Math"/>
          <w:vertAlign w:val="subscript"/>
        </w:rPr>
        <w:t>0</w:t>
      </w:r>
      <w:r>
        <w:t>,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 xml:space="preserve">Protein-level measurements provide a distinct layer of biological information that is not fully captured by transcriptomic profiling. While mRNA abundance correlates only moderately with protein levels (r </w:t>
      </w:r>
      <w:r>
        <w:rPr>
          <w:rFonts w:ascii="Cambria Math" w:hAnsi="Cambria Math" w:cs="Cambria Math" w:eastAsia="Cambria Math"/>
        </w:rPr>
        <w:t>≈</w:t>
      </w:r>
      <w:r>
        <w:t xml:space="preserve">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 xml:space="preserve">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w:t>
      </w:r>
      <w:r>
        <w:rPr>
          <w:rFonts w:ascii="Cambria Math" w:hAnsi="Cambria Math" w:cs="Cambria Math" w:eastAsia="Cambria Math"/>
        </w:rPr>
        <w:t>×</w:t>
      </w:r>
      <w:r>
        <w:t xml:space="preserve">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w:t>
      </w:r>
      <w:r>
        <w:rPr>
          <w:rFonts w:ascii="Cambria Math" w:hAnsi="Cambria Math" w:cs="Cambria Math" w:eastAsia="Cambria Math"/>
          <w:vertAlign w:val="subscript"/>
        </w:rPr>
        <w:t>1</w:t>
      </w:r>
      <w:r>
        <w:rPr>
          <w:rFonts w:ascii="Cambria Math" w:hAnsi="Cambria Math" w:cs="Cambria Math" w:eastAsia="Cambria Math"/>
          <w:vertAlign w:val="subscript"/>
        </w:rPr>
        <w:t>p</w:t>
      </w:r>
      <w:r>
        <w:t>-transformed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w:t>
      </w:r>
      <w:r>
        <w:rPr>
          <w:rFonts w:ascii="Cambria Math" w:hAnsi="Cambria Math" w:cs="Cambria Math" w:eastAsia="Cambria Math"/>
          <w:vertAlign w:val="subscript"/>
        </w:rPr>
        <w:t>2</w:t>
      </w:r>
      <w:r>
        <w:t xml:space="preserve">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ln(IC50) for each drug independently. Models were then applied to TCGA patient RNA-seq profiles (log1p-transformed TPM, standardized to the training distribution) to generate predicted IC50 values. A total of 181 drug models with adequate training data (</w:t>
      </w:r>
      <w:r>
        <w:rPr>
          <w:rFonts w:ascii="Cambria Math" w:hAnsi="Cambria Math" w:cs="Cambria Math" w:eastAsia="Cambria Math"/>
        </w:rPr>
        <w:t>≥</w:t>
      </w:r>
      <w:r>
        <w:t xml:space="preserve">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IC50 matrix (1,095 patients </w:t>
      </w:r>
      <w:r>
        <w:rPr>
          <w:rFonts w:ascii="Cambria Math" w:hAnsi="Cambria Math" w:cs="Cambria Math" w:eastAsia="Cambria Math"/>
        </w:rPr>
        <w:t>×</w:t>
      </w:r>
      <w:r>
        <w:t xml:space="preserve">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w:t>
      </w:r>
      <w:r>
        <w:rPr>
          <w:rFonts w:ascii="Cambria Math" w:hAnsi="Cambria Math" w:cs="Cambria Math" w:eastAsia="Cambria Math"/>
        </w:rPr>
        <w:t>×</w:t>
      </w:r>
      <w:r>
        <w:t>512 resolution to eliminate background regions, followed by (2) pixel-level tissue detection requiring &gt;70% tissue content (mean RGB intensity &lt; 220). Patches of 256</w:t>
      </w:r>
      <w:r>
        <w:rPr>
          <w:rFonts w:ascii="Cambria Math" w:hAnsi="Cambria Math" w:cs="Cambria Math" w:eastAsia="Cambria Math"/>
        </w:rPr>
        <w:t>×</w:t>
      </w:r>
      <w:r>
        <w:t>256 pixels at 20</w:t>
      </w:r>
      <w:r>
        <w:rPr>
          <w:rFonts w:ascii="Cambria Math" w:hAnsi="Cambria Math" w:cs="Cambria Math" w:eastAsia="Cambria Math"/>
        </w:rPr>
        <w:t>×</w:t>
      </w:r>
      <w:r>
        <w:t xml:space="preserve"> magnification were extracted from each slide by reading level-1 pyramid images (128</w:t>
      </w:r>
      <w:r>
        <w:rPr>
          <w:rFonts w:ascii="Cambria Math" w:hAnsi="Cambria Math" w:cs="Cambria Math" w:eastAsia="Cambria Math"/>
        </w:rPr>
        <w:t>×</w:t>
      </w:r>
      <w:r>
        <w:t>128 at ~10</w:t>
      </w:r>
      <w:r>
        <w:rPr>
          <w:rFonts w:ascii="Cambria Math" w:hAnsi="Cambria Math" w:cs="Cambria Math" w:eastAsia="Cambria Math"/>
        </w:rPr>
        <w:t>×</w:t>
      </w:r>
      <w:r>
        <w:t xml:space="preserve">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w:t>
      </w:r>
      <w:r>
        <w:rPr>
          <w:rFonts w:ascii="Cambria Math" w:hAnsi="Cambria Math" w:cs="Cambria Math" w:eastAsia="Cambria Math"/>
        </w:rPr>
        <w:t>×</w:t>
      </w:r>
      <w:r>
        <w:t>256 patch was resized to 224</w:t>
      </w:r>
      <w:r>
        <w:rPr>
          <w:rFonts w:ascii="Cambria Math" w:hAnsi="Cambria Math" w:cs="Cambria Math" w:eastAsia="Cambria Math"/>
        </w:rPr>
        <w:t>×</w:t>
      </w:r>
      <w:r>
        <w:t>224, normalized with ImageNet statistics (mean=[0.485, 0.456, 0.406], std=[0.229, 0.224, 0.225]), and passed through UNI to obtain a 1,024-dimensional feature vector. Features from all slides of the same patient were concatenated, yielding per-patient feature matrices of shape (Npatches,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w:t>
      </w:r>
      <w:r>
        <w:rPr>
          <w:rFonts w:ascii="Cambria Math" w:hAnsi="Cambria Math" w:cs="Cambria Math" w:eastAsia="Cambria Math"/>
        </w:rPr>
        <w:t>×</w:t>
      </w:r>
      <w:r>
        <w:t xml:space="preserve">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multiple drugs simultaneously. The model contains ~4.9M trainable parameters (with histopathology branch) or ~4.5M parameters (omics-only mode).</w:t>
      </w:r>
    </w:p>
    <w:p>
      <w:pPr/>
      <w:r>
        <w:t xml:space="preserve">for each modality m </w:t>
      </w:r>
      <w:r>
        <w:rPr>
          <w:rFonts w:ascii="Cambria Math" w:hAnsi="Cambria Math" w:cs="Cambria Math" w:eastAsia="Cambria Math"/>
        </w:rPr>
        <w:t>∈</w:t>
      </w:r>
      <w:r>
        <w:t xml:space="preserve"> {genomic, transcriptomic, proteomic, histology}. This regularization ensures the model does not become overly dependent on any single modality.</w:t>
      </w:r>
    </w:p>
    <w:p>
      <w:pPr/>
      <w:r>
        <w:t>T</w:t>
      </w:r>
      <w:r>
        <w:rPr>
          <w:rFonts w:ascii="Cambria Math" w:hAnsi="Cambria Math" w:cs="Cambria Math" w:eastAsia="Cambria Math"/>
          <w:vertAlign w:val="subscript"/>
        </w:rPr>
        <w:t>m</w:t>
      </w:r>
      <w:r>
        <w:t xml:space="preserve"> = { 0, with probability p</w:t>
      </w:r>
      <w:r>
        <w:rPr>
          <w:rFonts w:ascii="Cambria Math" w:hAnsi="Cambria Math" w:cs="Cambria Math" w:eastAsia="Cambria Math"/>
          <w:vertAlign w:val="subscript"/>
        </w:rPr>
        <w:t>drop</w:t>
      </w:r>
      <w:r>
        <w:t>; T</w:t>
      </w:r>
      <w:r>
        <w:rPr>
          <w:rFonts w:ascii="Cambria Math" w:hAnsi="Cambria Math" w:cs="Cambria Math" w:eastAsia="Cambria Math"/>
          <w:vertAlign w:val="subscript"/>
        </w:rPr>
        <w:t>m</w:t>
      </w:r>
      <w:r>
        <w:t>, otherwise }</w:t>
      </w:r>
    </w:p>
    <w:p>
      <w:pPr/>
      <w:r>
        <w:t>During training, modality dropout is applied independently to each token group with probability p</w:t>
      </w:r>
      <w:r>
        <w:rPr>
          <w:rFonts w:ascii="Cambria Math" w:hAnsi="Cambria Math" w:cs="Cambria Math" w:eastAsia="Cambria Math"/>
          <w:vertAlign w:val="subscript"/>
        </w:rPr>
        <w:t>drop</w:t>
      </w:r>
      <w:r>
        <w:t xml:space="preserve">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 xml:space="preserve">ŷdpatient = Xpatient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0</w:t>
      </w:r>
    </w:p>
    <w:p>
      <w:pPr/>
      <w:r>
        <w:t xml:space="preserve">with </w:t>
      </w:r>
      <w:r>
        <w:rPr>
          <w:rFonts w:ascii="Cambria Math" w:hAnsi="Cambria Math" w:cs="Cambria Math" w:eastAsia="Cambria Math"/>
        </w:rPr>
        <w:t>λ</w:t>
      </w:r>
      <w:r>
        <w:t xml:space="preserve"> selected by cross-validation on the cell line data. The trained model is then applied to TCGA patient expression profiles to obtain imputed IC50 values:</w:t>
      </w:r>
    </w:p>
    <w:p>
      <w:pPr/>
      <w:r>
        <w:t xml:space="preserve">ŷdcell = Xcell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 xml:space="preserve">0, where </w:t>
      </w:r>
      <w:r>
        <w:rPr>
          <w:rFonts w:ascii="Cambria Math" w:hAnsi="Cambria Math" w:cs="Cambria Math" w:eastAsia="Cambria Math"/>
        </w:rPr>
        <w:t>β</w:t>
      </w:r>
      <w:r>
        <w:t>d = argmin</w:t>
      </w:r>
      <w:r>
        <w:rPr>
          <w:rFonts w:ascii="Cambria Math" w:hAnsi="Cambria Math" w:cs="Cambria Math" w:eastAsia="Cambria Math"/>
        </w:rPr>
        <w:t>β</w:t>
      </w:r>
      <w:r>
        <w:t xml:space="preserve"> ||Xcell </w:t>
      </w:r>
      <w:r>
        <w:rPr>
          <w:rFonts w:ascii="Cambria Math" w:hAnsi="Cambria Math" w:cs="Cambria Math" w:eastAsia="Cambria Math"/>
        </w:rPr>
        <w:t>·</w:t>
      </w:r>
      <w:r>
        <w:t xml:space="preserve"> </w:t>
      </w:r>
      <w:r>
        <w:rPr>
          <w:rFonts w:ascii="Cambria Math" w:hAnsi="Cambria Math" w:cs="Cambria Math" w:eastAsia="Cambria Math"/>
        </w:rPr>
        <w:t>β</w:t>
      </w:r>
      <w:r>
        <w:t xml:space="preserve"> - ydcell||22 + </w:t>
      </w:r>
      <w:r>
        <w:rPr>
          <w:rFonts w:ascii="Cambria Math" w:hAnsi="Cambria Math" w:cs="Cambria Math" w:eastAsia="Cambria Math"/>
        </w:rPr>
        <w:t>λ</w:t>
      </w:r>
      <w:r>
        <w:t>||</w:t>
      </w:r>
      <w:r>
        <w:rPr>
          <w:rFonts w:ascii="Cambria Math" w:hAnsi="Cambria Math" w:cs="Cambria Math" w:eastAsia="Cambria Math"/>
        </w:rPr>
        <w:t>β</w:t>
      </w:r>
      <w:r>
        <w:t>||22</w:t>
      </w:r>
    </w:p>
    <w:p>
      <w:pPr/>
      <w:r>
        <w:t>For each drug d in the GDSC database, a Ridge regression model is trained on breast cancer cell line expression data:</w:t>
      </w:r>
    </w:p>
    <w:p>
      <w:pPr>
        <w:pStyle w:val="Heading3"/>
      </w:pPr>
      <w:r>
        <w:t>Drug response imputation</w:t>
      </w:r>
    </w:p>
    <w:p>
      <w:pPr/>
      <w:r>
        <w:t>The omics token sequence is formed by concatenation: Tomics = [t1gen; ...; tK</w:t>
      </w:r>
      <w:r>
        <w:rPr>
          <w:rFonts w:ascii="Cambria Math" w:hAnsi="Cambria Math" w:cs="Cambria Math" w:eastAsia="Cambria Math"/>
          <w:vertAlign w:val="subscript"/>
        </w:rPr>
        <w:t>gengen</w:t>
      </w:r>
      <w:r>
        <w:t>; t1trans; ...; tN</w:t>
      </w:r>
      <w:r>
        <w:rPr>
          <w:rFonts w:ascii="Cambria Math" w:hAnsi="Cambria Math" w:cs="Cambria Math" w:eastAsia="Cambria Math"/>
          <w:vertAlign w:val="subscript"/>
        </w:rPr>
        <w:t>transtrans</w:t>
      </w:r>
      <w:r>
        <w:t>; t1prot; ...; tK</w:t>
      </w:r>
      <w:r>
        <w:rPr>
          <w:rFonts w:ascii="Cambria Math" w:hAnsi="Cambria Math" w:cs="Cambria Math" w:eastAsia="Cambria Math"/>
          <w:vertAlign w:val="subscript"/>
        </w:rPr>
        <w:t>protprot</w:t>
      </w:r>
      <w:r>
        <w:t xml:space="preserve">] </w:t>
      </w:r>
      <w:r>
        <w:rPr>
          <w:rFonts w:ascii="Cambria Math" w:hAnsi="Cambria Math" w:cs="Cambria Math" w:eastAsia="Cambria Math"/>
        </w:rPr>
        <w:t>∈</w:t>
      </w:r>
      <w:r>
        <w:t xml:space="preserve"> </w:t>
      </w:r>
      <w:r>
        <w:rPr>
          <w:rFonts w:ascii="Cambria Math" w:hAnsi="Cambria Math" w:cs="Cambria Math" w:eastAsia="Cambria Math"/>
        </w:rPr>
        <w:t>ℝ</w:t>
      </w:r>
      <w:r>
        <w:t>(K</w:t>
      </w:r>
      <w:r>
        <w:rPr>
          <w:rFonts w:ascii="Cambria Math" w:hAnsi="Cambria Math" w:cs="Cambria Math" w:eastAsia="Cambria Math"/>
          <w:vertAlign w:val="subscript"/>
        </w:rPr>
        <w:t>gen</w:t>
      </w:r>
      <w:r>
        <w:t xml:space="preserve"> + N</w:t>
      </w:r>
      <w:r>
        <w:rPr>
          <w:rFonts w:ascii="Cambria Math" w:hAnsi="Cambria Math" w:cs="Cambria Math" w:eastAsia="Cambria Math"/>
          <w:vertAlign w:val="subscript"/>
        </w:rPr>
        <w:t>trans</w:t>
      </w:r>
      <w:r>
        <w:t xml:space="preserve"> + K</w:t>
      </w:r>
      <w:r>
        <w:rPr>
          <w:rFonts w:ascii="Cambria Math" w:hAnsi="Cambria Math" w:cs="Cambria Math" w:eastAsia="Cambria Math"/>
          <w:vertAlign w:val="subscript"/>
        </w:rPr>
        <w:t>prot</w:t>
      </w:r>
      <w:r>
        <w:t xml:space="preserve">) </w:t>
      </w:r>
      <w:r>
        <w:rPr>
          <w:rFonts w:ascii="Cambria Math" w:hAnsi="Cambria Math" w:cs="Cambria Math" w:eastAsia="Cambria Math"/>
        </w:rPr>
        <w:t>×</w:t>
      </w:r>
      <w:r>
        <w:t xml:space="preserve"> d, where d = 256.</w:t>
      </w:r>
    </w:p>
    <w:p>
      <w:pPr/>
      <w:r>
        <w:t xml:space="preserve">tjtrans = LayerNorm(MLPtrans(xtrans,j)) </w:t>
      </w:r>
      <w:r>
        <w:rPr>
          <w:rFonts w:ascii="Cambria Math" w:hAnsi="Cambria Math" w:cs="Cambria Math" w:eastAsia="Cambria Math"/>
        </w:rPr>
        <w:t>∈</w:t>
      </w:r>
      <w:r>
        <w:t xml:space="preserve"> </w:t>
      </w:r>
      <w:r>
        <w:rPr>
          <w:rFonts w:ascii="Cambria Math" w:hAnsi="Cambria Math" w:cs="Cambria Math" w:eastAsia="Cambria Math"/>
        </w:rPr>
        <w:t>ℝ</w:t>
      </w:r>
      <w:r>
        <w:t>d, for j = 1, ..., Ntrans</w:t>
      </w:r>
    </w:p>
    <w:p>
      <w:pPr/>
      <w:r>
        <w:t xml:space="preserve">where Kgen = 8. The proteomic encoder follows an identical architecture with Kprot = 16 tokens and an expanded intermediate dimension (2d). For transcriptomic features xtrans </w:t>
      </w:r>
      <w:r>
        <w:rPr>
          <w:rFonts w:ascii="Cambria Math" w:hAnsi="Cambria Math" w:cs="Cambria Math" w:eastAsia="Cambria Math"/>
        </w:rPr>
        <w:t>∈</w:t>
      </w:r>
      <w:r>
        <w:t xml:space="preserve"> </w:t>
      </w:r>
      <w:r>
        <w:rPr>
          <w:rFonts w:ascii="Cambria Math" w:hAnsi="Cambria Math" w:cs="Cambria Math" w:eastAsia="Cambria Math"/>
        </w:rPr>
        <w:t>ℝ</w:t>
      </w:r>
      <w:r>
        <w:t>2000 (gene expression values), each gene is independently projected and layer-normalized to produce Ntrans = 2,000 pathway tokens:</w:t>
      </w:r>
    </w:p>
    <w:p>
      <w:pPr/>
      <w:r>
        <w:t xml:space="preserve">tkgen = wgen,k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d, for k = 1, ..., Kgen</w:t>
      </w:r>
    </w:p>
    <w:p>
      <w:pPr/>
      <w:r>
        <w:t xml:space="preserve">wgen = softmax(Wtoken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K</w:t>
      </w:r>
      <w:r>
        <w:rPr>
          <w:rFonts w:ascii="Cambria Math" w:hAnsi="Cambria Math" w:cs="Cambria Math" w:eastAsia="Cambria Math"/>
          <w:vertAlign w:val="subscript"/>
        </w:rPr>
        <w:t>gen</w:t>
      </w:r>
    </w:p>
    <w:p>
      <w:pPr/>
      <w:r>
        <w:t xml:space="preserve">hgen = MLPgen(xgen) = GELU(W2 </w:t>
      </w:r>
      <w:r>
        <w:rPr>
          <w:rFonts w:ascii="Cambria Math" w:hAnsi="Cambria Math" w:cs="Cambria Math" w:eastAsia="Cambria Math"/>
        </w:rPr>
        <w:t>·</w:t>
      </w:r>
      <w:r>
        <w:t xml:space="preserve"> GELU(W1 </w:t>
      </w:r>
      <w:r>
        <w:rPr>
          <w:rFonts w:ascii="Cambria Math" w:hAnsi="Cambria Math" w:cs="Cambria Math" w:eastAsia="Cambria Math"/>
        </w:rPr>
        <w:t>·</w:t>
      </w:r>
      <w:r>
        <w:t xml:space="preserve"> xgen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Each omics modality is encoded into a set of tokens through learned decomposition. For genomic features xgen </w:t>
      </w:r>
      <w:r>
        <w:rPr>
          <w:rFonts w:ascii="Cambria Math" w:hAnsi="Cambria Math" w:cs="Cambria Math" w:eastAsia="Cambria Math"/>
        </w:rPr>
        <w:t>∈</w:t>
      </w:r>
      <w:r>
        <w:t xml:space="preserve"> </w:t>
      </w:r>
      <w:r>
        <w:rPr>
          <w:rFonts w:ascii="Cambria Math" w:hAnsi="Cambria Math" w:cs="Cambria Math" w:eastAsia="Cambria Math"/>
        </w:rPr>
        <w:t>ℝ</w:t>
      </w:r>
      <w:r>
        <w:t>193 (binary mutations + TMB):</w:t>
      </w:r>
    </w:p>
    <w:p>
      <w:pPr>
        <w:pStyle w:val="Heading3"/>
      </w:pPr>
      <w:r>
        <w:t>Modality-specific tokenization</w:t>
      </w:r>
    </w:p>
    <w:p>
      <w:pPr/>
      <w:r>
        <w:t xml:space="preserve">tkhisto = </w:t>
      </w:r>
      <w:r>
        <w:rPr>
          <w:rFonts w:ascii="Cambria Math" w:hAnsi="Cambria Math" w:cs="Cambria Math" w:eastAsia="Cambria Math"/>
        </w:rPr>
        <w:t>Σ</w:t>
      </w:r>
      <w:r>
        <w:t xml:space="preserve">i ᾱk,i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d, for k = 1, ..., K</w:t>
      </w:r>
    </w:p>
    <w:p>
      <w:pPr/>
      <w:r>
        <w:t>The K slide-level tokens are obtained by weighted aggregation:</w:t>
      </w:r>
    </w:p>
    <w:p>
      <w:pPr/>
      <w:r>
        <w:t xml:space="preserve">ᾱk,i = exp(ak,i) / </w:t>
      </w:r>
      <w:r>
        <w:rPr>
          <w:rFonts w:ascii="Cambria Math" w:hAnsi="Cambria Math" w:cs="Cambria Math" w:eastAsia="Cambria Math"/>
        </w:rPr>
        <w:t>Σ</w:t>
      </w:r>
      <w:r>
        <w:t>j exp(ak,j)</w:t>
      </w:r>
    </w:p>
    <w:p>
      <w:pPr/>
      <w:r>
        <w:t xml:space="preserve">where V, U </w:t>
      </w:r>
      <w:r>
        <w:rPr>
          <w:rFonts w:ascii="Cambria Math" w:hAnsi="Cambria Math" w:cs="Cambria Math" w:eastAsia="Cambria Math"/>
        </w:rPr>
        <w:t>∈</w:t>
      </w:r>
      <w:r>
        <w:t xml:space="preserve"> </w:t>
      </w:r>
      <w:r>
        <w:rPr>
          <w:rFonts w:ascii="Cambria Math" w:hAnsi="Cambria Math" w:cs="Cambria Math" w:eastAsia="Cambria Math"/>
        </w:rPr>
        <w:t>ℝ</w:t>
      </w:r>
      <w:r>
        <w:t xml:space="preserve">(d/2) </w:t>
      </w:r>
      <w:r>
        <w:rPr>
          <w:rFonts w:ascii="Cambria Math" w:hAnsi="Cambria Math" w:cs="Cambria Math" w:eastAsia="Cambria Math"/>
        </w:rPr>
        <w:t>×</w:t>
      </w:r>
      <w:r>
        <w:t xml:space="preserve"> d, Wattn </w:t>
      </w:r>
      <w:r>
        <w:rPr>
          <w:rFonts w:ascii="Cambria Math" w:hAnsi="Cambria Math" w:cs="Cambria Math" w:eastAsia="Cambria Math"/>
        </w:rPr>
        <w:t>∈</w:t>
      </w:r>
      <w:r>
        <w:t xml:space="preserve"> </w:t>
      </w:r>
      <w:r>
        <w:rPr>
          <w:rFonts w:ascii="Cambria Math" w:hAnsi="Cambria Math" w:cs="Cambria Math" w:eastAsia="Cambria Math"/>
        </w:rPr>
        <w:t>ℝ</w:t>
      </w:r>
      <w:r>
        <w:t xml:space="preserve">K </w:t>
      </w:r>
      <w:r>
        <w:rPr>
          <w:rFonts w:ascii="Cambria Math" w:hAnsi="Cambria Math" w:cs="Cambria Math" w:eastAsia="Cambria Math"/>
        </w:rPr>
        <w:t>×</w:t>
      </w:r>
      <w:r>
        <w:t xml:space="preserve"> (d/2), tanh and </w:t>
      </w:r>
      <w:r>
        <w:rPr>
          <w:rFonts w:ascii="Cambria Math" w:hAnsi="Cambria Math" w:cs="Cambria Math" w:eastAsia="Cambria Math"/>
        </w:rPr>
        <w:t>σ</w:t>
      </w:r>
      <w:r>
        <w:t xml:space="preserve"> denote the hyperbolic tangent and sigmoid activation functions respectively, and </w:t>
      </w:r>
      <w:r>
        <w:rPr>
          <w:rFonts w:ascii="Cambria Math" w:hAnsi="Cambria Math" w:cs="Cambria Math" w:eastAsia="Cambria Math"/>
        </w:rPr>
        <w:t>⊙</w:t>
      </w:r>
      <w:r>
        <w:t xml:space="preserve"> denotes element-wise multiplication. The attention coefficients are normalized via softmax over patches for each of K = 16 tokens:</w:t>
      </w:r>
    </w:p>
    <w:p>
      <w:pPr/>
      <w:r>
        <w:t xml:space="preserve">ai = Wattn </w:t>
      </w:r>
      <w:r>
        <w:rPr>
          <w:rFonts w:ascii="Cambria Math" w:hAnsi="Cambria Math" w:cs="Cambria Math" w:eastAsia="Cambria Math"/>
        </w:rPr>
        <w:t>·</w:t>
      </w:r>
      <w:r>
        <w:t xml:space="preserve"> (tanh(V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σ</w:t>
      </w:r>
      <w:r>
        <w:t xml:space="preserve">(U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K</w:t>
      </w:r>
    </w:p>
    <w:p>
      <w:pPr/>
      <w:r>
        <w:t>Gated attention weights are computed as:</w:t>
      </w:r>
    </w:p>
    <w:p>
      <w:pPr/>
      <w:r>
        <w:t xml:space="preserve">hi = GELU(Wproj </w:t>
      </w:r>
      <w:r>
        <w:rPr>
          <w:rFonts w:ascii="Cambria Math" w:hAnsi="Cambria Math" w:cs="Cambria Math" w:eastAsia="Cambria Math"/>
        </w:rPr>
        <w:t>·</w:t>
      </w:r>
      <w:r>
        <w:t xml:space="preserve"> pi + bproj)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Given N patch features {p1, ..., pN} </w:t>
      </w:r>
      <w:r>
        <w:rPr>
          <w:rFonts w:ascii="Cambria Math" w:hAnsi="Cambria Math" w:cs="Cambria Math" w:eastAsia="Cambria Math"/>
        </w:rPr>
        <w:t>∈</w:t>
      </w:r>
      <w:r>
        <w:t xml:space="preserve"> </w:t>
      </w:r>
      <w:r>
        <w:rPr>
          <w:rFonts w:ascii="Cambria Math" w:hAnsi="Cambria Math" w:cs="Cambria Math" w:eastAsia="Cambria Math"/>
        </w:rPr>
        <w:t>ℝ</w:t>
      </w:r>
      <w:r>
        <w:t>1024 extracted by UNI, the ABMIL module first projects each patch to a hidden representation:</w:t>
      </w:r>
    </w:p>
    <w:p>
      <w:pPr>
        <w:pStyle w:val="Heading3"/>
      </w:pPr>
      <w:r>
        <w:t>Histopathology aggregation (ABMIL)</w:t>
      </w:r>
    </w:p>
    <w:p>
      <w:pPr/>
      <w:r>
        <w:t xml:space="preserve">Zfused = SelfAttn([Tomics(L); Thisto(L)]) </w:t>
      </w:r>
      <w:r>
        <w:rPr>
          <w:rFonts w:ascii="Cambria Math" w:hAnsi="Cambria Math" w:cs="Cambria Math" w:eastAsia="Cambria Math"/>
        </w:rPr>
        <w:t>∈</w:t>
      </w:r>
      <w:r>
        <w:t xml:space="preserve"> </w:t>
      </w:r>
      <w:r>
        <w:rPr>
          <w:rFonts w:ascii="Cambria Math" w:hAnsi="Cambria Math" w:cs="Cambria Math" w:eastAsia="Cambria Math"/>
        </w:rPr>
        <w:t>ℝ</w:t>
      </w:r>
      <w:r>
        <w:t>(N</w:t>
      </w:r>
      <w:r>
        <w:rPr>
          <w:rFonts w:ascii="Cambria Math" w:hAnsi="Cambria Math" w:cs="Cambria Math" w:eastAsia="Cambria Math"/>
          <w:vertAlign w:val="subscript"/>
        </w:rPr>
        <w:t>omics</w:t>
      </w:r>
      <w:r>
        <w:t xml:space="preserve"> + N</w:t>
      </w:r>
      <w:r>
        <w:rPr>
          <w:rFonts w:ascii="Cambria Math" w:hAnsi="Cambria Math" w:cs="Cambria Math" w:eastAsia="Cambria Math"/>
          <w:vertAlign w:val="subscript"/>
        </w:rPr>
        <w:t>histo</w:t>
      </w:r>
      <w:r>
        <w:t xml:space="preserve">) </w:t>
      </w:r>
      <w:r>
        <w:rPr>
          <w:rFonts w:ascii="Cambria Math" w:hAnsi="Cambria Math" w:cs="Cambria Math" w:eastAsia="Cambria Math"/>
        </w:rPr>
        <w:t>×</w:t>
      </w:r>
      <w:r>
        <w:t xml:space="preserve"> d</w:t>
      </w:r>
    </w:p>
    <w:p>
      <w:pPr/>
      <w:r>
        <w:t>where MHA denotes multi-head attention with H = 8 heads and FFN is a two-layer feed-forward network with GELU activation and expansion ratio 4. After L layers, all tokens are concatenated and processed by a self-attention layer:</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K=T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V=T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K=T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V=T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w:t>
      </w:r>
    </w:p>
    <w:p>
      <w:pPr/>
      <w:r>
        <w:t xml:space="preserve">The cross-attention fusion module applies L = 2 layers of bidirectional cross-attention between omics tokens Tomics </w:t>
      </w:r>
      <w:r>
        <w:rPr>
          <w:rFonts w:ascii="Cambria Math" w:hAnsi="Cambria Math" w:cs="Cambria Math" w:eastAsia="Cambria Math"/>
        </w:rPr>
        <w:t>∈</w:t>
      </w:r>
      <w:r>
        <w:t xml:space="preserve"> </w:t>
      </w:r>
      <w:r>
        <w:rPr>
          <w:rFonts w:ascii="Cambria Math" w:hAnsi="Cambria Math" w:cs="Cambria Math" w:eastAsia="Cambria Math"/>
        </w:rPr>
        <w:t>ℝ</w:t>
      </w:r>
      <w:r>
        <w:t>N</w:t>
      </w:r>
      <w:r>
        <w:rPr>
          <w:rFonts w:ascii="Cambria Math" w:hAnsi="Cambria Math" w:cs="Cambria Math" w:eastAsia="Cambria Math"/>
          <w:vertAlign w:val="subscript"/>
        </w:rPr>
        <w:t>omics</w:t>
      </w:r>
      <w:r>
        <w:t xml:space="preserve"> </w:t>
      </w:r>
      <w:r>
        <w:rPr>
          <w:rFonts w:ascii="Cambria Math" w:hAnsi="Cambria Math" w:cs="Cambria Math" w:eastAsia="Cambria Math"/>
        </w:rPr>
        <w:t>×</w:t>
      </w:r>
      <w:r>
        <w:t xml:space="preserve"> d and histology tokens Thisto </w:t>
      </w:r>
      <w:r>
        <w:rPr>
          <w:rFonts w:ascii="Cambria Math" w:hAnsi="Cambria Math" w:cs="Cambria Math" w:eastAsia="Cambria Math"/>
        </w:rPr>
        <w:t>∈</w:t>
      </w:r>
      <w:r>
        <w:t xml:space="preserve"> </w:t>
      </w:r>
      <w:r>
        <w:rPr>
          <w:rFonts w:ascii="Cambria Math" w:hAnsi="Cambria Math" w:cs="Cambria Math" w:eastAsia="Cambria Math"/>
        </w:rPr>
        <w:t>ℝ</w:t>
      </w:r>
      <w:r>
        <w:t>N</w:t>
      </w:r>
      <w:r>
        <w:rPr>
          <w:rFonts w:ascii="Cambria Math" w:hAnsi="Cambria Math" w:cs="Cambria Math" w:eastAsia="Cambria Math"/>
          <w:vertAlign w:val="subscript"/>
        </w:rPr>
        <w:t>histo</w:t>
      </w:r>
      <w:r>
        <w:t xml:space="preserve"> </w:t>
      </w:r>
      <w:r>
        <w:rPr>
          <w:rFonts w:ascii="Cambria Math" w:hAnsi="Cambria Math" w:cs="Cambria Math" w:eastAsia="Cambria Math"/>
        </w:rPr>
        <w:t>×</w:t>
      </w:r>
      <w:r>
        <w:t xml:space="preserve"> d. In each layer l:</w:t>
      </w:r>
    </w:p>
    <w:p>
      <w:pPr>
        <w:pStyle w:val="Heading3"/>
      </w:pPr>
      <w:r>
        <w:t>Cross-attention fusion</w:t>
      </w:r>
    </w:p>
    <w:p>
      <w:pPr/>
      <w:r>
        <w:t>where D = 13 is the number of drugs and z</w:t>
      </w:r>
      <w:r>
        <w:rPr>
          <w:rFonts w:ascii="Cambria Math" w:hAnsi="Cambria Math" w:cs="Cambria Math" w:eastAsia="Cambria Math"/>
          <w:vertAlign w:val="subscript"/>
        </w:rPr>
        <w:t>global</w:t>
      </w:r>
      <w:r>
        <w:t xml:space="preserve"> is the global patient representation.</w:t>
      </w:r>
    </w:p>
    <w:p>
      <w:pPr/>
      <w:r>
        <w:t xml:space="preserve">ŷ = W2 </w:t>
      </w:r>
      <w:r>
        <w:rPr>
          <w:rFonts w:ascii="Cambria Math" w:hAnsi="Cambria Math" w:cs="Cambria Math" w:eastAsia="Cambria Math"/>
        </w:rPr>
        <w:t>·</w:t>
      </w:r>
      <w:r>
        <w:t xml:space="preserve"> GELU(W1 </w:t>
      </w:r>
      <w:r>
        <w:rPr>
          <w:rFonts w:ascii="Cambria Math" w:hAnsi="Cambria Math" w:cs="Cambria Math" w:eastAsia="Cambria Math"/>
        </w:rPr>
        <w:t>·</w:t>
      </w:r>
      <w:r>
        <w:t xml:space="preserve"> zglobal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zglobal = </w:t>
      </w:r>
      <w:r>
        <w:rPr>
          <w:rFonts w:ascii="Cambria Math" w:hAnsi="Cambria Math" w:cs="Cambria Math" w:eastAsia="Cambria Math"/>
        </w:rPr>
        <w:t>Σ</w:t>
      </w:r>
      <w:r>
        <w:t xml:space="preserve">i </w:t>
      </w:r>
      <w:r>
        <w:rPr>
          <w:rFonts w:ascii="Cambria Math" w:hAnsi="Cambria Math" w:cs="Cambria Math" w:eastAsia="Cambria Math"/>
        </w:rPr>
        <w:t>α</w:t>
      </w:r>
      <w:r>
        <w:t xml:space="preserve">i </w:t>
      </w:r>
      <w:r>
        <w:rPr>
          <w:rFonts w:ascii="Cambria Math" w:hAnsi="Cambria Math" w:cs="Cambria Math" w:eastAsia="Cambria Math"/>
        </w:rPr>
        <w:t>·</w:t>
      </w:r>
      <w:r>
        <w:t xml:space="preserve"> zi </w:t>
      </w:r>
      <w:r>
        <w:rPr>
          <w:rFonts w:ascii="Cambria Math" w:hAnsi="Cambria Math" w:cs="Cambria Math" w:eastAsia="Cambria Math"/>
        </w:rPr>
        <w:t>∈</w:t>
      </w:r>
      <w:r>
        <w:t xml:space="preserve"> </w:t>
      </w:r>
      <w:r>
        <w:rPr>
          <w:rFonts w:ascii="Cambria Math" w:hAnsi="Cambria Math" w:cs="Cambria Math" w:eastAsia="Cambria Math"/>
        </w:rPr>
        <w:t>ℝ</w:t>
      </w:r>
      <w:r>
        <w:t>d</w:t>
      </w:r>
    </w:p>
    <w:p>
      <w:pPr/>
      <w:r>
        <w:rPr>
          <w:rFonts w:ascii="Cambria Math" w:hAnsi="Cambria Math" w:cs="Cambria Math" w:eastAsia="Cambria Math"/>
        </w:rPr>
        <w:t>α</w:t>
      </w:r>
      <w:r>
        <w:t xml:space="preserve">i = softmaxi(wpoolT zi), where wpool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The prediction head applies attention-weighted pooling over the fused token sequence Zfused </w:t>
      </w:r>
      <w:r>
        <w:rPr>
          <w:rFonts w:ascii="Cambria Math" w:hAnsi="Cambria Math" w:cs="Cambria Math" w:eastAsia="Cambria Math"/>
        </w:rPr>
        <w:t>∈</w:t>
      </w:r>
      <w:r>
        <w:t xml:space="preserve"> </w:t>
      </w:r>
      <w:r>
        <w:rPr>
          <w:rFonts w:ascii="Cambria Math" w:hAnsi="Cambria Math" w:cs="Cambria Math" w:eastAsia="Cambria Math"/>
        </w:rPr>
        <w:t>ℝ</w:t>
      </w:r>
      <w:r>
        <w:t>N</w:t>
      </w:r>
      <w:r>
        <w:rPr>
          <w:rFonts w:ascii="Cambria Math" w:hAnsi="Cambria Math" w:cs="Cambria Math" w:eastAsia="Cambria Math"/>
          <w:vertAlign w:val="subscript"/>
        </w:rPr>
        <w:t>total</w:t>
      </w:r>
      <w:r>
        <w:t xml:space="preserve"> </w:t>
      </w:r>
      <w:r>
        <w:rPr>
          <w:rFonts w:ascii="Cambria Math" w:hAnsi="Cambria Math" w:cs="Cambria Math" w:eastAsia="Cambria Math"/>
        </w:rPr>
        <w:t>×</w:t>
      </w:r>
      <w:r>
        <w:t xml:space="preserve"> d:</w:t>
      </w:r>
    </w:p>
    <w:p>
      <w:pPr>
        <w:pStyle w:val="Heading3"/>
      </w:pPr>
      <w:r>
        <w:t>Prediction head</w:t>
      </w:r>
    </w:p>
    <w:p>
      <w:pPr/>
      <w:r>
        <w:t xml:space="preserve">where E is the set of uncensored patients, R(ti) is the risk set at time ti, ri = wT zi is the risk score from a linear layer on the fused embedding zi, and </w:t>
      </w:r>
      <w:r>
        <w:rPr>
          <w:rFonts w:ascii="Cambria Math" w:hAnsi="Cambria Math" w:cs="Cambria Math" w:eastAsia="Cambria Math"/>
        </w:rPr>
        <w:t>λ</w:t>
      </w:r>
      <w:r>
        <w:t xml:space="preserve"> = 0.1.</w:t>
      </w:r>
    </w:p>
    <w:p>
      <w:pPr/>
      <w:r>
        <w:t xml:space="preserve">Ltotal = Ldrug + </w:t>
      </w:r>
      <w:r>
        <w:rPr>
          <w:rFonts w:ascii="Cambria Math" w:hAnsi="Cambria Math" w:cs="Cambria Math" w:eastAsia="Cambria Math"/>
        </w:rPr>
        <w:t>λ</w:t>
      </w:r>
      <w:r>
        <w:t xml:space="preserve"> </w:t>
      </w:r>
      <w:r>
        <w:rPr>
          <w:rFonts w:ascii="Cambria Math" w:hAnsi="Cambria Math" w:cs="Cambria Math" w:eastAsia="Cambria Math"/>
        </w:rPr>
        <w:t>·</w:t>
      </w:r>
      <w:r>
        <w:t xml:space="preserve"> Lcox, where Lcox = </w:t>
      </w:r>
      <w:r>
        <w:rPr>
          <w:rFonts w:ascii="Cambria Math" w:hAnsi="Cambria Math" w:cs="Cambria Math" w:eastAsia="Cambria Math"/>
        </w:rPr>
        <w:t>−</w:t>
      </w:r>
      <w:r>
        <w:t xml:space="preserve">(1/|E|) </w:t>
      </w:r>
      <w:r>
        <w:rPr>
          <w:rFonts w:ascii="Cambria Math" w:hAnsi="Cambria Math" w:cs="Cambria Math" w:eastAsia="Cambria Math"/>
        </w:rPr>
        <w:t>Σ</w:t>
      </w:r>
      <w:r>
        <w:t>i</w:t>
      </w:r>
      <w:r>
        <w:rPr>
          <w:rFonts w:ascii="Cambria Math" w:hAnsi="Cambria Math" w:cs="Cambria Math" w:eastAsia="Cambria Math"/>
        </w:rPr>
        <w:t>∈</w:t>
      </w:r>
      <w:r>
        <w:t xml:space="preserve">E [ri </w:t>
      </w:r>
      <w:r>
        <w:rPr>
          <w:rFonts w:ascii="Cambria Math" w:hAnsi="Cambria Math" w:cs="Cambria Math" w:eastAsia="Cambria Math"/>
        </w:rPr>
        <w:t>−</w:t>
      </w:r>
      <w:r>
        <w:t xml:space="preserve"> log(</w:t>
      </w:r>
      <w:r>
        <w:rPr>
          <w:rFonts w:ascii="Cambria Math" w:hAnsi="Cambria Math" w:cs="Cambria Math" w:eastAsia="Cambria Math"/>
        </w:rPr>
        <w:t>Σ</w:t>
      </w:r>
      <w:r>
        <w:t>j</w:t>
      </w:r>
      <w:r>
        <w:rPr>
          <w:rFonts w:ascii="Cambria Math" w:hAnsi="Cambria Math" w:cs="Cambria Math" w:eastAsia="Cambria Math"/>
        </w:rPr>
        <w:t>∈</w:t>
      </w:r>
      <w:r>
        <w:t>R(t</w:t>
      </w:r>
      <w:r>
        <w:rPr>
          <w:rFonts w:ascii="Cambria Math" w:hAnsi="Cambria Math" w:cs="Cambria Math" w:eastAsia="Cambria Math"/>
          <w:vertAlign w:val="subscript"/>
        </w:rPr>
        <w:t>i</w:t>
      </w:r>
      <w:r>
        <w:t>) exp(rj))]</w:t>
      </w:r>
    </w:p>
    <w:p>
      <w:pPr/>
      <w:r>
        <w:t xml:space="preserve">with </w:t>
      </w:r>
      <w:r>
        <w:rPr>
          <w:rFonts w:ascii="Cambria Math" w:hAnsi="Cambria Math" w:cs="Cambria Math" w:eastAsia="Cambria Math"/>
        </w:rPr>
        <w:t>δ</w:t>
      </w:r>
      <w:r>
        <w:t xml:space="preserve"> = 1.0. For the multi-task extension, the joint loss combines drug prediction and survival:</w:t>
      </w:r>
    </w:p>
    <w:p>
      <w:pPr/>
      <w:r>
        <w:t xml:space="preserve">Ldrug = (1/D) </w:t>
      </w:r>
      <w:r>
        <w:rPr>
          <w:rFonts w:ascii="Cambria Math" w:hAnsi="Cambria Math" w:cs="Cambria Math" w:eastAsia="Cambria Math"/>
        </w:rPr>
        <w:t>Σ</w:t>
      </w:r>
      <w:r>
        <w:t>d L</w:t>
      </w:r>
      <w:r>
        <w:rPr>
          <w:rFonts w:ascii="Cambria Math" w:hAnsi="Cambria Math" w:cs="Cambria Math" w:eastAsia="Cambria Math"/>
        </w:rPr>
        <w:t>δ</w:t>
      </w:r>
      <w:r>
        <w:t>(ŷd, yd), where L</w:t>
      </w:r>
      <w:r>
        <w:rPr>
          <w:rFonts w:ascii="Cambria Math" w:hAnsi="Cambria Math" w:cs="Cambria Math" w:eastAsia="Cambria Math"/>
        </w:rPr>
        <w:t>δ</w:t>
      </w:r>
      <w:r>
        <w:t xml:space="preserve">(a,b) = { 0.5(a-b)2 if |a-b| </w:t>
      </w:r>
      <w:r>
        <w:rPr>
          <w:rFonts w:ascii="Cambria Math" w:hAnsi="Cambria Math" w:cs="Cambria Math" w:eastAsia="Cambria Math"/>
        </w:rPr>
        <w:t>≤</w:t>
      </w:r>
      <w:r>
        <w:t xml:space="preserve"> </w:t>
      </w:r>
      <w:r>
        <w:rPr>
          <w:rFonts w:ascii="Cambria Math" w:hAnsi="Cambria Math" w:cs="Cambria Math" w:eastAsia="Cambria Math"/>
        </w:rPr>
        <w:t>δ</w:t>
      </w:r>
      <w:r>
        <w:t xml:space="preserve">; </w:t>
      </w:r>
      <w:r>
        <w:rPr>
          <w:rFonts w:ascii="Cambria Math" w:hAnsi="Cambria Math" w:cs="Cambria Math" w:eastAsia="Cambria Math"/>
        </w:rPr>
        <w:t>δ</w:t>
      </w:r>
      <w:r>
        <w:t>(|a-b| - 0.5</w:t>
      </w:r>
      <w:r>
        <w:rPr>
          <w:rFonts w:ascii="Cambria Math" w:hAnsi="Cambria Math" w:cs="Cambria Math" w:eastAsia="Cambria Math"/>
        </w:rPr>
        <w:t>δ</w:t>
      </w:r>
      <w:r>
        <w:t>) otherwise }</w:t>
      </w:r>
    </w:p>
    <w:p>
      <w:pPr/>
      <w:r>
        <w:t>The model is trained end-to-end using the Huber loss (smooth L1) for multi-drug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w:t>
      </w:r>
      <w:r>
        <w:rPr>
          <w:rFonts w:ascii="Cambria Math" w:hAnsi="Cambria Math" w:cs="Cambria Math" w:eastAsia="Cambria Math"/>
        </w:rPr>
        <w:t>×</w:t>
      </w:r>
      <w:r>
        <w:t>10-4, weight decay=10-4), cosine annealing scheduler, HuberLoss (</w:t>
      </w:r>
      <w:r>
        <w:rPr>
          <w:rFonts w:ascii="Cambria Math" w:hAnsi="Cambria Math" w:cs="Cambria Math" w:eastAsia="Cambria Math"/>
        </w:rPr>
        <w:t>δ</w:t>
      </w:r>
      <w:r>
        <w:t>=1.0),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were similarly standardized.</w:t>
      </w:r>
    </w:p>
    <w:p>
      <w:r>
        <w:t xml:space="preserve">Training used the AdamW optimizer (learning rate = 3 </w:t>
      </w:r>
      <w:r>
        <w:rPr>
          <w:rFonts w:ascii="Cambria Math" w:hAnsi="Cambria Math" w:cs="Cambria Math" w:eastAsia="Cambria Math"/>
        </w:rPr>
        <w:t>×</w:t>
      </w:r>
      <w:r>
        <w:t xml:space="preserve"> 10-4, weight decay = 10-4) with cosine annealing learning rate schedule. Huber loss (</w:t>
      </w:r>
      <w:r>
        <w:rPr>
          <w:rFonts w:ascii="Cambria Math" w:hAnsi="Cambria Math" w:cs="Cambria Math" w:eastAsia="Cambria Math"/>
        </w:rPr>
        <w:t>δ</w:t>
      </w:r>
      <w:r>
        <w:t xml:space="preserve">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w:t>
      </w:r>
      <w:r>
        <w:rPr>
          <w:rFonts w:ascii="Cambria Math" w:hAnsi="Cambria Math" w:cs="Cambria Math" w:eastAsia="Cambria Math"/>
        </w:rPr>
        <w:t>Δ</w:t>
      </w:r>
      <w:r>
        <w:t xml:space="preserve">PCC) quantified its contribution. Second, feature-level attribution was computed using gradient </w:t>
      </w:r>
      <w:r>
        <w:rPr>
          <w:rFonts w:ascii="Cambria Math" w:hAnsi="Cambria Math" w:cs="Cambria Math" w:eastAsia="Cambria Math"/>
        </w:rPr>
        <w:t>×</w:t>
      </w:r>
      <w:r>
        <w:t xml:space="preserve">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 xml:space="preserve">The transcriptomic-only baseline achieved a global PCC of 0.923 </w:t>
      </w:r>
      <w:r>
        <w:rPr>
          <w:rFonts w:ascii="Cambria Math" w:hAnsi="Cambria Math" w:cs="Cambria Math" w:eastAsia="Cambria Math"/>
        </w:rPr>
        <w:t>±</w:t>
      </w:r>
      <w:r>
        <w:t xml:space="preserve"> 0.001 and R2 of 0.851 </w:t>
      </w:r>
      <w:r>
        <w:rPr>
          <w:rFonts w:ascii="Cambria Math" w:hAnsi="Cambria Math" w:cs="Cambria Math" w:eastAsia="Cambria Math"/>
        </w:rPr>
        <w:t>±</w:t>
      </w:r>
      <w:r>
        <w:t xml:space="preserve"> 0.001. Adding genomic features (mutations + TMB) yielded no meaningful improvement (PCC = 0.922 </w:t>
      </w:r>
      <w:r>
        <w:rPr>
          <w:rFonts w:ascii="Cambria Math" w:hAnsi="Cambria Math" w:cs="Cambria Math" w:eastAsia="Cambria Math"/>
        </w:rPr>
        <w:t>±</w:t>
      </w:r>
      <w:r>
        <w:t xml:space="preserve"> 0.001, R2 = 0.851 </w:t>
      </w:r>
      <w:r>
        <w:rPr>
          <w:rFonts w:ascii="Cambria Math" w:hAnsi="Cambria Math" w:cs="Cambria Math" w:eastAsia="Cambria Math"/>
        </w:rPr>
        <w:t>±</w:t>
      </w:r>
      <w:r>
        <w:t xml:space="preserve"> 0.001), consistent with prior literature showing that gene expression captures the majority of drug response signal. In contrast, the addition of RPPA proteomic features yielded a substantial improvement in per-drug prediction accuracy (mean per-drug PCC: 0.353 </w:t>
      </w:r>
      <w:r>
        <w:rPr>
          <w:rFonts w:ascii="Cambria Math" w:hAnsi="Cambria Math" w:cs="Cambria Math" w:eastAsia="Cambria Math"/>
        </w:rPr>
        <w:t>→</w:t>
      </w:r>
      <w:r>
        <w:t xml:space="preserve"> 0.432; +22.4%), despite the smaller sample size (431 vs. 964 patients). The global PCC also improved to 0.932 </w:t>
      </w:r>
      <w:r>
        <w:rPr>
          <w:rFonts w:ascii="Cambria Math" w:hAnsi="Cambria Math" w:cs="Cambria Math" w:eastAsia="Cambria Math"/>
        </w:rPr>
        <w:t>±</w:t>
      </w:r>
      <w:r>
        <w:t xml:space="preserve"> 0.008 and R2 to 0.868 </w:t>
      </w:r>
      <w:r>
        <w:rPr>
          <w:rFonts w:ascii="Cambria Math" w:hAnsi="Cambria Math" w:cs="Cambria Math" w:eastAsia="Cambria Math"/>
        </w:rPr>
        <w:t>±</w:t>
      </w:r>
      <w:r>
        <w:t xml:space="preserve">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 xml:space="preserve">We examined per-drug prediction accuracy for the 13 clinically relevant drugs in the three-modal configuration (Fig. 3d). The highest prediction accuracy was observed for AZD5991, a selective MCL-1 inhibitor (PCC = 0.468 </w:t>
      </w:r>
      <w:r>
        <w:rPr>
          <w:rFonts w:ascii="Cambria Math" w:hAnsi="Cambria Math" w:cs="Cambria Math" w:eastAsia="Cambria Math"/>
        </w:rPr>
        <w:t>±</w:t>
      </w:r>
      <w:r>
        <w:t xml:space="preserve"> 0.116), Gemcitabine (PCC = 0.437 </w:t>
      </w:r>
      <w:r>
        <w:rPr>
          <w:rFonts w:ascii="Cambria Math" w:hAnsi="Cambria Math" w:cs="Cambria Math" w:eastAsia="Cambria Math"/>
        </w:rPr>
        <w:t>±</w:t>
      </w:r>
      <w:r>
        <w:t xml:space="preserve"> 0.115), Docetaxel (PCC = 0.433 </w:t>
      </w:r>
      <w:r>
        <w:rPr>
          <w:rFonts w:ascii="Cambria Math" w:hAnsi="Cambria Math" w:cs="Cambria Math" w:eastAsia="Cambria Math"/>
        </w:rPr>
        <w:t>±</w:t>
      </w:r>
      <w:r>
        <w:t xml:space="preserve"> 0.131), and Cisplatin (PCC = 0.411 </w:t>
      </w:r>
      <w:r>
        <w:rPr>
          <w:rFonts w:ascii="Cambria Math" w:hAnsi="Cambria Math" w:cs="Cambria Math" w:eastAsia="Cambria Math"/>
        </w:rPr>
        <w:t>±</w:t>
      </w:r>
      <w:r>
        <w:t xml:space="preserve">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 xml:space="preserve">Adding UNI-extracted H&amp;E features as a fourth modality yielded consistent improvements in per-drug prediction accuracy (Table 1). The four-modal PathOmicDRP achieved a mean per-drug PCC of 0.455 </w:t>
      </w:r>
      <w:r>
        <w:rPr>
          <w:rFonts w:ascii="Cambria Math" w:hAnsi="Cambria Math" w:cs="Cambria Math" w:eastAsia="Cambria Math"/>
        </w:rPr>
        <w:t>±</w:t>
      </w:r>
      <w:r>
        <w:t xml:space="preserve"> 0.023, compared to 0.445 </w:t>
      </w:r>
      <w:r>
        <w:rPr>
          <w:rFonts w:ascii="Cambria Math" w:hAnsi="Cambria Math" w:cs="Cambria Math" w:eastAsia="Cambria Math"/>
        </w:rPr>
        <w:t>±</w:t>
      </w:r>
      <w:r>
        <w:t xml:space="preserve">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w:t>
      </w:r>
      <w:r>
        <w:rPr>
          <w:rFonts w:ascii="Cambria Math" w:hAnsi="Cambria Math" w:cs="Cambria Math" w:eastAsia="Cambria Math"/>
        </w:rPr>
        <w:t>Δ</w:t>
      </w:r>
      <w:r>
        <w:t>PCC = +0.095), Vinblastine (+0.075), and Paclitaxel (+0.066), all of which are drugs whose efficacy is known to be influenced by tumor morphological characteristics such as cellularity, stromal composition, and mitotic activity. Conversely, modest decreases were observed for Gemcitabine (</w:t>
      </w:r>
      <w:r>
        <w:rPr>
          <w:rFonts w:ascii="Cambria Math" w:hAnsi="Cambria Math" w:cs="Cambria Math" w:eastAsia="Cambria Math"/>
        </w:rPr>
        <w:t>−</w:t>
      </w:r>
      <w:r>
        <w:t>0.064) and Venetoclax (</w:t>
      </w:r>
      <w:r>
        <w:rPr>
          <w:rFonts w:ascii="Cambria Math" w:hAnsi="Cambria Math" w:cs="Cambria Math" w:eastAsia="Cambria Math"/>
        </w:rPr>
        <w:t>−</w:t>
      </w:r>
      <w:r>
        <w:t>0.068), suggesting that the response to these agents may be more strongly driven by molecular features than histological patterns in breast cancer (Fig. 5C).</w:t>
      </w:r>
    </w:p>
    <w:p>
      <w:r>
        <w:t>Global PCC (0.931) and R</w:t>
      </w:r>
      <w:r>
        <w:rPr>
          <w:rFonts w:ascii="Cambria Math" w:hAnsi="Cambria Math" w:cs="Cambria Math" w:eastAsia="Cambria Math"/>
          <w:vertAlign w:val="superscript"/>
        </w:rPr>
        <w:t>2</w:t>
      </w:r>
      <w:r>
        <w:t xml:space="preserve">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PCCdrug improvement from 0.445 </w:t>
      </w:r>
      <w:r>
        <w:rPr>
          <w:rFonts w:ascii="Cambria Math" w:hAnsi="Cambria Math" w:cs="Cambria Math" w:eastAsia="Cambria Math"/>
        </w:rPr>
        <w:t>±</w:t>
      </w:r>
      <w:r>
        <w:t xml:space="preserve"> 0.057 (3-modal) to 0.455 </w:t>
      </w:r>
      <w:r>
        <w:rPr>
          <w:rFonts w:ascii="Cambria Math" w:hAnsi="Cambria Math" w:cs="Cambria Math" w:eastAsia="Cambria Math"/>
        </w:rPr>
        <w:t>±</w:t>
      </w:r>
      <w:r>
        <w:t xml:space="preserve">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w:t>
      </w:r>
      <w:r>
        <w:rPr>
          <w:rFonts w:ascii="Cambria Math" w:hAnsi="Cambria Math" w:cs="Cambria Math" w:eastAsia="Cambria Math"/>
        </w:rPr>
        <w:t>Δ</w:t>
      </w:r>
      <w:r>
        <w:t>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IC50 measurements. All 13 drugs were successfully matched to GDSC entries. The drug-drug Spearman correlation matrices showed significant conservation between TCGA predictions and GDSC ground truth (Pearson r = 0.399, p = 2.95 </w:t>
      </w:r>
      <w:r>
        <w:rPr>
          <w:rFonts w:ascii="Cambria Math" w:hAnsi="Cambria Math" w:cs="Cambria Math" w:eastAsia="Cambria Math"/>
        </w:rPr>
        <w:t>×</w:t>
      </w:r>
      <w:r>
        <w:t xml:space="preserve"> 10-4; Spearman </w:t>
      </w:r>
      <w:r>
        <w:rPr>
          <w:rFonts w:ascii="Cambria Math" w:hAnsi="Cambria Math" w:cs="Cambria Math" w:eastAsia="Cambria Math"/>
        </w:rPr>
        <w:t>ρ</w:t>
      </w:r>
      <w:r>
        <w:t xml:space="preserve"> = 0.422, p = 1.17 </w:t>
      </w:r>
      <w:r>
        <w:rPr>
          <w:rFonts w:ascii="Cambria Math" w:hAnsi="Cambria Math" w:cs="Cambria Math" w:eastAsia="Cambria Math"/>
        </w:rPr>
        <w:t>×</w:t>
      </w:r>
      <w:r>
        <w:t xml:space="preserve"> 10-4;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w:t>
      </w:r>
      <w:r>
        <w:rPr>
          <w:rFonts w:ascii="Cambria Math" w:hAnsi="Cambria Math" w:cs="Cambria Math" w:eastAsia="Cambria Math"/>
        </w:rPr>
        <w:t>Δ</w:t>
      </w:r>
      <w:r>
        <w:t xml:space="preserve">PCC of +0.045 upon adding histopathology, compared to +0.012 for cytotoxic drugs (Cisplatin, Docetaxel, Paclitaxel, Gemcitabine, Vinblastine) and </w:t>
      </w:r>
      <w:r>
        <w:rPr>
          <w:rFonts w:ascii="Cambria Math" w:hAnsi="Cambria Math" w:cs="Cambria Math" w:eastAsia="Cambria Math"/>
        </w:rPr>
        <w:t>−</w:t>
      </w:r>
      <w:r>
        <w:t>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w:t>
      </w:r>
      <w:r>
        <w:rPr>
          <w:rFonts w:ascii="Cambria Math" w:hAnsi="Cambria Math" w:cs="Cambria Math" w:eastAsia="Cambria Math"/>
          <w:vertAlign w:val="subscript"/>
        </w:rPr>
        <w:t>drug</w:t>
      </w:r>
      <w:r>
        <w:t xml:space="preserve">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 xml:space="preserve">To validate that PathOmicDRP captures known pharmacological relationships, we tested the concordance between predicted drug sensitivity and established molecular biomarkers. ER expression (RPPA) showed strong negative correlation with predicted Tamoxifen IC50 (Spearman </w:t>
      </w:r>
      <w:r>
        <w:rPr>
          <w:rFonts w:ascii="Cambria Math" w:hAnsi="Cambria Math" w:cs="Cambria Math" w:eastAsia="Cambria Math"/>
        </w:rPr>
        <w:t>ρ</w:t>
      </w:r>
      <w:r>
        <w:t xml:space="preserve"> = </w:t>
      </w:r>
      <w:r>
        <w:rPr>
          <w:rFonts w:ascii="Cambria Math" w:hAnsi="Cambria Math" w:cs="Cambria Math" w:eastAsia="Cambria Math"/>
        </w:rPr>
        <w:t>−</w:t>
      </w:r>
      <w:r>
        <w:t xml:space="preserve">0.315, p = 2.2 </w:t>
      </w:r>
      <w:r>
        <w:rPr>
          <w:rFonts w:ascii="Cambria Math" w:hAnsi="Cambria Math" w:cs="Cambria Math" w:eastAsia="Cambria Math"/>
        </w:rPr>
        <w:t>×</w:t>
      </w:r>
      <w:r>
        <w:t xml:space="preserve"> 10-11) and Fulvestrant IC50 (</w:t>
      </w:r>
      <w:r>
        <w:rPr>
          <w:rFonts w:ascii="Cambria Math" w:hAnsi="Cambria Math" w:cs="Cambria Math" w:eastAsia="Cambria Math"/>
        </w:rPr>
        <w:t>ρ</w:t>
      </w:r>
      <w:r>
        <w:t xml:space="preserve"> = </w:t>
      </w:r>
      <w:r>
        <w:rPr>
          <w:rFonts w:ascii="Cambria Math" w:hAnsi="Cambria Math" w:cs="Cambria Math" w:eastAsia="Cambria Math"/>
        </w:rPr>
        <w:t>−</w:t>
      </w:r>
      <w:r>
        <w:t xml:space="preserve">0.260, p = 4.5 </w:t>
      </w:r>
      <w:r>
        <w:rPr>
          <w:rFonts w:ascii="Cambria Math" w:hAnsi="Cambria Math" w:cs="Cambria Math" w:eastAsia="Cambria Math"/>
        </w:rPr>
        <w:t>×</w:t>
      </w:r>
      <w:r>
        <w:t xml:space="preserve"> 10-8), confirming that ER-positive patients are predicted as more sensitive to endocrine therapies (Fig. 5B). HER2 protein expression correlated with lower predicted Lapatinib IC50 (</w:t>
      </w:r>
      <w:r>
        <w:rPr>
          <w:rFonts w:ascii="Cambria Math" w:hAnsi="Cambria Math" w:cs="Cambria Math" w:eastAsia="Cambria Math"/>
        </w:rPr>
        <w:t>ρ</w:t>
      </w:r>
      <w:r>
        <w:t xml:space="preserve"> = </w:t>
      </w:r>
      <w:r>
        <w:rPr>
          <w:rFonts w:ascii="Cambria Math" w:hAnsi="Cambria Math" w:cs="Cambria Math" w:eastAsia="Cambria Math"/>
        </w:rPr>
        <w:t>−</w:t>
      </w:r>
      <w:r>
        <w:t xml:space="preserve">0.256, p = 7.3 </w:t>
      </w:r>
      <w:r>
        <w:rPr>
          <w:rFonts w:ascii="Cambria Math" w:hAnsi="Cambria Math" w:cs="Cambria Math" w:eastAsia="Cambria Math"/>
        </w:rPr>
        <w:t>×</w:t>
      </w:r>
      <w:r>
        <w:t xml:space="preserve"> 10-8) (Fig. 5C). TP53 mutations were associated with higher predicted Cisplatin IC50 (p = 5 </w:t>
      </w:r>
      <w:r>
        <w:rPr>
          <w:rFonts w:ascii="Cambria Math" w:hAnsi="Cambria Math" w:cs="Cambria Math" w:eastAsia="Cambria Math"/>
        </w:rPr>
        <w:t>×</w:t>
      </w:r>
      <w:r>
        <w:t xml:space="preserve"> 10-4),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w:t>
      </w:r>
      <w:r>
        <w:rPr>
          <w:rFonts w:ascii="Cambria Math" w:hAnsi="Cambria Math" w:cs="Cambria Math" w:eastAsia="Cambria Math"/>
        </w:rPr>
        <w:t>Δ</w:t>
      </w:r>
      <w:r>
        <w:t xml:space="preserve">PCC = +0.235 </w:t>
      </w:r>
      <w:r>
        <w:rPr>
          <w:rFonts w:ascii="Cambria Math" w:hAnsi="Cambria Math" w:cs="Cambria Math" w:eastAsia="Cambria Math"/>
        </w:rPr>
        <w:t>±</w:t>
      </w:r>
      <w:r>
        <w:t xml:space="preserve"> 0.033, 95% CI [0.20, 0.28]; 79.8% of total modality-ablation drop), followed by transcriptomics (</w:t>
      </w:r>
      <w:r>
        <w:rPr>
          <w:rFonts w:ascii="Cambria Math" w:hAnsi="Cambria Math" w:cs="Cambria Math" w:eastAsia="Cambria Math"/>
        </w:rPr>
        <w:t>Δ</w:t>
      </w:r>
      <w:r>
        <w:t xml:space="preserve">PCC = +0.054 </w:t>
      </w:r>
      <w:r>
        <w:rPr>
          <w:rFonts w:ascii="Cambria Math" w:hAnsi="Cambria Math" w:cs="Cambria Math" w:eastAsia="Cambria Math"/>
        </w:rPr>
        <w:t>±</w:t>
      </w:r>
      <w:r>
        <w:t xml:space="preserve"> 0.041, 95% CI [0.02, 0.11]; 18.4%). Genomic (</w:t>
      </w:r>
      <w:r>
        <w:rPr>
          <w:rFonts w:ascii="Cambria Math" w:hAnsi="Cambria Math" w:cs="Cambria Math" w:eastAsia="Cambria Math"/>
        </w:rPr>
        <w:t>Δ</w:t>
      </w:r>
      <w:r>
        <w:t xml:space="preserve">PCC = +0.000 </w:t>
      </w:r>
      <w:r>
        <w:rPr>
          <w:rFonts w:ascii="Cambria Math" w:hAnsi="Cambria Math" w:cs="Cambria Math" w:eastAsia="Cambria Math"/>
        </w:rPr>
        <w:t>±</w:t>
      </w:r>
      <w:r>
        <w:t xml:space="preserve"> 0.001) and proteomic (</w:t>
      </w:r>
      <w:r>
        <w:rPr>
          <w:rFonts w:ascii="Cambria Math" w:hAnsi="Cambria Math" w:cs="Cambria Math" w:eastAsia="Cambria Math"/>
        </w:rPr>
        <w:t>Δ</w:t>
      </w:r>
      <w:r>
        <w:t xml:space="preserve">PCC = +0.005 </w:t>
      </w:r>
      <w:r>
        <w:rPr>
          <w:rFonts w:ascii="Cambria Math" w:hAnsi="Cambria Math" w:cs="Cambria Math" w:eastAsia="Cambria Math"/>
        </w:rPr>
        <w:t>±</w:t>
      </w:r>
      <w:r>
        <w:t xml:space="preserve">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 xml:space="preserve">The dominant contribution of histopathology is not a raw accuracy gain (the three-modal vs four-modal mean PCCdrug difference was +0.010, paired t = 0.76, n.s.) but rather a ~60% reduction in cross-fold variance (SD 0.057 </w:t>
      </w:r>
      <w:r>
        <w:rPr>
          <w:rFonts w:ascii="Cambria Math" w:hAnsi="Cambria Math" w:cs="Cambria Math" w:eastAsia="Cambria Math"/>
        </w:rPr>
        <w:t>→</w:t>
      </w:r>
      <w:r>
        <w:t xml:space="preserve">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—using identical clinical outcome labels and evaluation protocol. ElasticNet’s 13-dimensional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with near-perfect accuracy (PCC = 0.925) but failing on clinical outcomes—confirms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pPr/>
      <w:r>
        <w:t>A key question is whether PathOmicDRP’s learned representations encode information beyond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 used for training. To test this, we extracted 256-dimensional fused embeddings from the cross-attention fusion layer and compared their clinical predictive power against the 13-dimensional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Logistic regression classifiers trained on PathOmicDRP embeddings achieved a mean clinical AUC of 0.735, compared to 0.423 for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features and 0.418 for single-drug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values—a +0.312 AUC advantage (Fig. 7B). This demonstrates that multi-modal fusion acts as a representation learning framework: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 xml:space="preserve">Exploratory multi-task survival prediction yielded modest results (C-index = 0.521 </w:t>
      </w:r>
      <w:r>
        <w:rPr>
          <w:rFonts w:ascii="Cambria Math" w:hAnsi="Cambria Math" w:cs="Cambria Math" w:eastAsia="Cambria Math"/>
        </w:rPr>
        <w:t>±</w:t>
      </w:r>
      <w:r>
        <w:t xml:space="preserve">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 xml:space="preserve">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IC50 for Tamoxifen (npos = 1506 vs nneg = 474, </w:t>
      </w:r>
      <w:r>
        <w:rPr>
          <w:rFonts w:ascii="Cambria Math" w:hAnsi="Cambria Math" w:cs="Cambria Math" w:eastAsia="Cambria Math"/>
        </w:rPr>
        <w:t>Δ</w:t>
      </w:r>
      <w:r>
        <w:t>IC50 = -0.66, Mann–Whitney p = 1.4e-30) and Fulvestrant (</w:t>
      </w:r>
      <w:r>
        <w:rPr>
          <w:rFonts w:ascii="Cambria Math" w:hAnsi="Cambria Math" w:cs="Cambria Math" w:eastAsia="Cambria Math"/>
        </w:rPr>
        <w:t>Δ</w:t>
      </w:r>
      <w:r>
        <w:t xml:space="preserve">IC50 = -0.58, p = 8.9e-34); HER2-positive tumors showed directionally lower predicted Lapatinib IC50 (npos = 247, p = 0.12, limited by class imbalance). Drug-drug correlation structure between TCGA predictions and METABRIC predictions was nearly perfectly conserved (Spearman </w:t>
      </w:r>
      <w:r>
        <w:rPr>
          <w:rFonts w:ascii="Cambria Math" w:hAnsi="Cambria Math" w:cs="Cambria Math" w:eastAsia="Cambria Math"/>
        </w:rPr>
        <w:t>ρ</w:t>
      </w:r>
      <w:r>
        <w:t xml:space="preserve"> = 0.961, p = 4.4e-44, 78 drug pairs), indicating that the model captures platform-invariant pharmacological relationships. Cox proportional-hazards analysis on overall survival (n = 1980) showed that higher predicted resistance (larger IC50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p>
    <w:p>
      <w:pPr/>
      <w:r>
        <w:t xml:space="preserve">To validate that PathOmicDRP captures genuine pharmacological relationships beyond the training cohort, we compared the model’s predicted drug sensitivity patterns against experimentally measured IC50 values from 51 GDSC breast cancer cell lines. Drug-drug correlation structures showed strong conservation between TCGA patient predictions and GDSC ground truth (Mantel test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78 drug pairs) (Fig. S16A). Mean drug sensitivity rankings were significantly correlated between the two datasets (</w:t>
      </w:r>
      <w:r>
        <w:rPr>
          <w:rFonts w:ascii="Cambria Math" w:hAnsi="Cambria Math" w:cs="Cambria Math" w:eastAsia="Cambria Math"/>
        </w:rPr>
        <w:t>ρ</w:t>
      </w:r>
      <w:r>
        <w:t xml:space="preserve">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accuracy—where all attention-based models performed similarly (PCC</w:t>
      </w:r>
      <w:r>
        <w:rPr>
          <w:rFonts w:ascii="Cambria Math" w:hAnsi="Cambria Math" w:cs="Cambria Math" w:eastAsia="Cambria Math"/>
          <w:vertAlign w:val="subscript"/>
        </w:rPr>
        <w:t>drug</w:t>
      </w:r>
      <w:r>
        <w:t xml:space="preserve">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 xml:space="preserve">We conducted comprehensive benchmarking against both traditional machine learning and alternative deep learning fusion architectures. On the imputed IC50 prediction task, ElasticNet achieved PCCdrug = 0.925 </w:t>
      </w:r>
      <w:r>
        <w:rPr>
          <w:rFonts w:ascii="Cambria Math" w:hAnsi="Cambria Math" w:cs="Cambria Math" w:eastAsia="Cambria Math"/>
        </w:rPr>
        <w:t>±</w:t>
      </w:r>
      <w:r>
        <w:t xml:space="preserve"> 0.003, substantially outperforming PathOmicDRP (0.455 </w:t>
      </w:r>
      <w:r>
        <w:rPr>
          <w:rFonts w:ascii="Cambria Math" w:hAnsi="Cambria Math" w:cs="Cambria Math" w:eastAsia="Cambria Math"/>
        </w:rPr>
        <w:t>±</w:t>
      </w:r>
      <w:r>
        <w:t xml:space="preserve"> 0.023). This result is expected and informative: the imputed IC50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 xml:space="preserve">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IC50 targets (clinical AUC 0.735 vs. 0.423), confirming that multi-modal cross-attention fusion acts as a representation learning framework that transcends its training signal. External validation against 51 GDSC breast cancer cell lines with experimentally measured IC50 further demonstrated that learned drug relationships reflect real pharmacology (Spearman </w:t>
      </w:r>
      <w:r>
        <w:rPr>
          <w:rFonts w:ascii="Cambria Math" w:hAnsi="Cambria Math" w:cs="Cambria Math" w:eastAsia="Cambria Math"/>
        </w:rPr>
        <w:t>ρ</w:t>
      </w:r>
      <w:r>
        <w:t xml:space="preserve"> = 0.670, p = 0.012). Together, these findings establish that imputed IC50 accuracy is a fundamentally misleading metric for evaluating drug response models, and that cross-modal deep learning captures non-linear interactions essential for clinical prediction.</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 xml:space="preserve">Beyond the imputed IC50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w:t>
      </w:r>
      <w:r>
        <w:rPr>
          <w:rFonts w:ascii="Cambria Math" w:hAnsi="Cambria Math" w:cs="Cambria Math" w:eastAsia="Cambria Math"/>
        </w:rPr>
        <w:t>×</w:t>
      </w:r>
      <w:r>
        <w:t xml:space="preserve"> 10-11), HER2 predicted Lapatinib sensitivity (p = 7.3 </w:t>
      </w:r>
      <w:r>
        <w:rPr>
          <w:rFonts w:ascii="Cambria Math" w:hAnsi="Cambria Math" w:cs="Cambria Math" w:eastAsia="Cambria Math"/>
        </w:rPr>
        <w:t>×</w:t>
      </w:r>
      <w:r>
        <w:t xml:space="preserve"> 10-8),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 xml:space="preserve">Docetaxel emerged as the most promising candidate for clinical validation. Patients who achieved complete response (CR, n=66) had significantly lower predicted IC50 values (mean = </w:t>
      </w:r>
      <w:r>
        <w:rPr>
          <w:rFonts w:ascii="Cambria Math" w:hAnsi="Cambria Math" w:cs="Cambria Math" w:eastAsia="Cambria Math"/>
        </w:rPr>
        <w:t>−</w:t>
      </w:r>
      <w:r>
        <w:t xml:space="preserve">7.61 </w:t>
      </w:r>
      <w:r>
        <w:rPr>
          <w:rFonts w:ascii="Cambria Math" w:hAnsi="Cambria Math" w:cs="Cambria Math" w:eastAsia="Cambria Math"/>
        </w:rPr>
        <w:t>±</w:t>
      </w:r>
      <w:r>
        <w:t xml:space="preserve"> 1.52) compared to patients with progressive disease (PD, n=3; mean = </w:t>
      </w:r>
      <w:r>
        <w:rPr>
          <w:rFonts w:ascii="Cambria Math" w:hAnsi="Cambria Math" w:cs="Cambria Math" w:eastAsia="Cambria Math"/>
        </w:rPr>
        <w:t>−</w:t>
      </w:r>
      <w:r>
        <w:t xml:space="preserve">6.59 </w:t>
      </w:r>
      <w:r>
        <w:rPr>
          <w:rFonts w:ascii="Cambria Math" w:hAnsi="Cambria Math" w:cs="Cambria Math" w:eastAsia="Cambria Math"/>
        </w:rPr>
        <w:t>±</w:t>
      </w:r>
      <w:r>
        <w:t xml:space="preserve"> 0.68), yielding an AUC of 0.763 (Mann-Whitney p = 0.068, Cohen's d = 0.86). Although the p-value did not reach conventional significance at </w:t>
      </w:r>
      <w:r>
        <w:rPr>
          <w:rFonts w:ascii="Cambria Math" w:hAnsi="Cambria Math" w:cs="Cambria Math" w:eastAsia="Cambria Math"/>
        </w:rPr>
        <w:t>α</w:t>
      </w:r>
      <w:r>
        <w:t xml:space="preserve"> = 0.05, the large effect size and consistent directionality — lower predicted IC50 corresponding to better clinical response — provide encouraging evidence that the model captures clinically meaningful drug sensitivity variation for this taxane.</w:t>
      </w:r>
    </w:p>
    <w:p>
      <w:r>
        <w:t>For the remaining drugs, no significant associations were observed between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IC50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w:t>
      </w:r>
      <w:r>
        <w:rPr>
          <w:rFonts w:ascii="Cambria Math" w:hAnsi="Cambria Math" w:cs="Cambria Math" w:eastAsia="Cambria Math"/>
        </w:rPr>
        <w:t>≤</w:t>
      </w:r>
      <w:r>
        <w:t>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w:t>
      </w:r>
      <w:r>
        <w:rPr>
          <w:rFonts w:ascii="Cambria Math" w:hAnsi="Cambria Math" w:cs="Cambria Math" w:eastAsia="Cambria Math"/>
        </w:rPr>
        <w:t>×</w:t>
      </w:r>
      <w:r>
        <w:t xml:space="preserve">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w:t>
      </w:r>
      <w:r>
        <w:rPr>
          <w:rFonts w:ascii="Cambria Math" w:hAnsi="Cambria Math" w:cs="Cambria Math" w:eastAsia="Cambria Math"/>
          <w:vertAlign w:val="subscript"/>
        </w:rPr>
        <w:t>drug</w:t>
      </w:r>
      <w:r>
        <w:t xml:space="preserve"> = mean per-drug Pearson correlation coefficient.</w:t>
      </w:r>
    </w:p>
    <w:p/>
    <w:p>
      <w:r>
        <w:t xml:space="preserve">Table 2. Per-drug PCC comparison between three-modal (G+T+P) and four-modal (G+T+P+H) configurations (5-fold CV). </w:t>
      </w:r>
      <w:r>
        <w:rPr>
          <w:rFonts w:ascii="Cambria Math" w:hAnsi="Cambria Math" w:cs="Cambria Math" w:eastAsia="Cambria Math"/>
        </w:rPr>
        <w:t>Δ</w:t>
      </w:r>
      <w:r>
        <w:t>PCC = change upon adding histopathology.</w:t>
      </w:r>
    </w:p>
    <w:p/>
    <w:p>
      <w:r>
        <w:t>Table 3. Modality importance quantified by PCC drop upon ablation of each modality in the best four-modal model.</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 xml:space="preserve">0.923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2.127 </w:t>
            </w:r>
            <w:r>
              <w:rPr>
                <w:rFonts w:ascii="Cambria Math" w:hAnsi="Cambria Math" w:cs="Cambria Math" w:eastAsia="Cambria Math"/>
              </w:rPr>
              <w:t>±</w:t>
            </w:r>
            <w:r>
              <w:t xml:space="preserve"> 0.009</w:t>
            </w:r>
          </w:p>
        </w:tc>
        <w:tc>
          <w:tcPr>
            <w:tcW w:type="dxa" w:w="1234"/>
          </w:tcPr>
          <w:p>
            <w:r>
              <w:t xml:space="preserve">0.359 </w:t>
            </w:r>
            <w:r>
              <w:rPr>
                <w:rFonts w:ascii="Cambria Math" w:hAnsi="Cambria Math" w:cs="Cambria Math" w:eastAsia="Cambria Math"/>
              </w:rPr>
              <w:t>±</w:t>
            </w:r>
            <w:r>
              <w:t xml:space="preserve">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t xml:space="preserve">0.922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2.128 </w:t>
            </w:r>
            <w:r>
              <w:rPr>
                <w:rFonts w:ascii="Cambria Math" w:hAnsi="Cambria Math" w:cs="Cambria Math" w:eastAsia="Cambria Math"/>
              </w:rPr>
              <w:t>±</w:t>
            </w:r>
            <w:r>
              <w:t xml:space="preserve"> 0.026</w:t>
            </w:r>
          </w:p>
        </w:tc>
        <w:tc>
          <w:tcPr>
            <w:tcW w:type="dxa" w:w="1234"/>
          </w:tcPr>
          <w:p>
            <w:r>
              <w:t xml:space="preserve">0.353 </w:t>
            </w:r>
            <w:r>
              <w:rPr>
                <w:rFonts w:ascii="Cambria Math" w:hAnsi="Cambria Math" w:cs="Cambria Math" w:eastAsia="Cambria Math"/>
              </w:rPr>
              <w:t>±</w:t>
            </w:r>
            <w:r>
              <w:t xml:space="preserve">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t xml:space="preserve">0.932 </w:t>
            </w:r>
            <w:r>
              <w:rPr>
                <w:rFonts w:ascii="Cambria Math" w:hAnsi="Cambria Math" w:cs="Cambria Math" w:eastAsia="Cambria Math"/>
              </w:rPr>
              <w:t>±</w:t>
            </w:r>
            <w:r>
              <w:t xml:space="preserve"> 0.008</w:t>
            </w:r>
          </w:p>
        </w:tc>
        <w:tc>
          <w:tcPr>
            <w:tcW w:type="dxa" w:w="1234"/>
          </w:tcPr>
          <w:p>
            <w:r>
              <w:t xml:space="preserve">0.868 </w:t>
            </w:r>
            <w:r>
              <w:rPr>
                <w:rFonts w:ascii="Cambria Math" w:hAnsi="Cambria Math" w:cs="Cambria Math" w:eastAsia="Cambria Math"/>
              </w:rPr>
              <w:t>±</w:t>
            </w:r>
            <w:r>
              <w:t xml:space="preserve"> 0.016</w:t>
            </w:r>
          </w:p>
        </w:tc>
        <w:tc>
          <w:tcPr>
            <w:tcW w:type="dxa" w:w="1234"/>
          </w:tcPr>
          <w:p>
            <w:r>
              <w:t xml:space="preserve">2.111 </w:t>
            </w:r>
            <w:r>
              <w:rPr>
                <w:rFonts w:ascii="Cambria Math" w:hAnsi="Cambria Math" w:cs="Cambria Math" w:eastAsia="Cambria Math"/>
              </w:rPr>
              <w:t>±</w:t>
            </w:r>
            <w:r>
              <w:t xml:space="preserve"> 0.107</w:t>
            </w:r>
          </w:p>
        </w:tc>
        <w:tc>
          <w:tcPr>
            <w:tcW w:type="dxa" w:w="1234"/>
          </w:tcPr>
          <w:p>
            <w:r>
              <w:t xml:space="preserve">0.432 </w:t>
            </w:r>
            <w:r>
              <w:rPr>
                <w:rFonts w:ascii="Cambria Math" w:hAnsi="Cambria Math" w:cs="Cambria Math" w:eastAsia="Cambria Math"/>
              </w:rPr>
              <w:t>±</w:t>
            </w:r>
            <w:r>
              <w:t xml:space="preserve">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t xml:space="preserve">0.468 </w:t>
            </w:r>
            <w:r>
              <w:rPr>
                <w:rFonts w:ascii="Cambria Math" w:hAnsi="Cambria Math" w:cs="Cambria Math" w:eastAsia="Cambria Math"/>
              </w:rPr>
              <w:t>±</w:t>
            </w:r>
            <w:r>
              <w:t xml:space="preserve">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t xml:space="preserve">0.437 </w:t>
            </w:r>
            <w:r>
              <w:rPr>
                <w:rFonts w:ascii="Cambria Math" w:hAnsi="Cambria Math" w:cs="Cambria Math" w:eastAsia="Cambria Math"/>
              </w:rPr>
              <w:t>±</w:t>
            </w:r>
            <w:r>
              <w:t xml:space="preserve">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t xml:space="preserve">0.433 </w:t>
            </w:r>
            <w:r>
              <w:rPr>
                <w:rFonts w:ascii="Cambria Math" w:hAnsi="Cambria Math" w:cs="Cambria Math" w:eastAsia="Cambria Math"/>
              </w:rPr>
              <w:t>±</w:t>
            </w:r>
            <w:r>
              <w:t xml:space="preserve">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t xml:space="preserve">0.411 </w:t>
            </w:r>
            <w:r>
              <w:rPr>
                <w:rFonts w:ascii="Cambria Math" w:hAnsi="Cambria Math" w:cs="Cambria Math" w:eastAsia="Cambria Math"/>
              </w:rPr>
              <w:t>±</w:t>
            </w:r>
            <w:r>
              <w:t xml:space="preserve">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t xml:space="preserve">0.372 </w:t>
            </w:r>
            <w:r>
              <w:rPr>
                <w:rFonts w:ascii="Cambria Math" w:hAnsi="Cambria Math" w:cs="Cambria Math" w:eastAsia="Cambria Math"/>
              </w:rPr>
              <w:t>±</w:t>
            </w:r>
            <w:r>
              <w:t xml:space="preserve">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t xml:space="preserve">0.367 </w:t>
            </w:r>
            <w:r>
              <w:rPr>
                <w:rFonts w:ascii="Cambria Math" w:hAnsi="Cambria Math" w:cs="Cambria Math" w:eastAsia="Cambria Math"/>
              </w:rPr>
              <w:t>±</w:t>
            </w:r>
            <w:r>
              <w:t xml:space="preserve">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t xml:space="preserve">0.341 </w:t>
            </w:r>
            <w:r>
              <w:rPr>
                <w:rFonts w:ascii="Cambria Math" w:hAnsi="Cambria Math" w:cs="Cambria Math" w:eastAsia="Cambria Math"/>
              </w:rPr>
              <w:t>±</w:t>
            </w:r>
            <w:r>
              <w:t xml:space="preserve">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t xml:space="preserve">0.335 </w:t>
            </w:r>
            <w:r>
              <w:rPr>
                <w:rFonts w:ascii="Cambria Math" w:hAnsi="Cambria Math" w:cs="Cambria Math" w:eastAsia="Cambria Math"/>
              </w:rPr>
              <w:t>±</w:t>
            </w:r>
            <w:r>
              <w:t xml:space="preserve">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t xml:space="preserve">0.286 </w:t>
            </w:r>
            <w:r>
              <w:rPr>
                <w:rFonts w:ascii="Cambria Math" w:hAnsi="Cambria Math" w:cs="Cambria Math" w:eastAsia="Cambria Math"/>
              </w:rPr>
              <w:t>±</w:t>
            </w:r>
            <w:r>
              <w:t xml:space="preserve">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t xml:space="preserve">0.243 </w:t>
            </w:r>
            <w:r>
              <w:rPr>
                <w:rFonts w:ascii="Cambria Math" w:hAnsi="Cambria Math" w:cs="Cambria Math" w:eastAsia="Cambria Math"/>
              </w:rPr>
              <w:t>±</w:t>
            </w:r>
            <w:r>
              <w:t xml:space="preserve">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t xml:space="preserve">0.236 </w:t>
            </w:r>
            <w:r>
              <w:rPr>
                <w:rFonts w:ascii="Cambria Math" w:hAnsi="Cambria Math" w:cs="Cambria Math" w:eastAsia="Cambria Math"/>
              </w:rPr>
              <w:t>±</w:t>
            </w:r>
            <w:r>
              <w:t xml:space="preserve">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t xml:space="preserve">0.220 </w:t>
            </w:r>
            <w:r>
              <w:rPr>
                <w:rFonts w:ascii="Cambria Math" w:hAnsi="Cambria Math" w:cs="Cambria Math" w:eastAsia="Cambria Math"/>
              </w:rPr>
              <w:t>±</w:t>
            </w:r>
            <w:r>
              <w:t xml:space="preserve">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t xml:space="preserve">0.187 </w:t>
            </w:r>
            <w:r>
              <w:rPr>
                <w:rFonts w:ascii="Cambria Math" w:hAnsi="Cambria Math" w:cs="Cambria Math" w:eastAsia="Cambria Math"/>
              </w:rPr>
              <w:t>±</w:t>
            </w:r>
            <w:r>
              <w:t xml:space="preserve">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0.923</w:t>
            </w:r>
            <w:r>
              <w:rPr>
                <w:rFonts w:ascii="Cambria Math" w:hAnsi="Cambria Math" w:cs="Cambria Math" w:eastAsia="Cambria Math"/>
              </w:rPr>
              <w:t>±</w:t>
            </w:r>
            <w:r>
              <w:t>0.001</w:t>
            </w:r>
          </w:p>
        </w:tc>
        <w:tc>
          <w:tcPr>
            <w:tcW w:type="dxa" w:w="1234"/>
          </w:tcPr>
          <w:p>
            <w:r>
              <w:t>0.851</w:t>
            </w:r>
            <w:r>
              <w:rPr>
                <w:rFonts w:ascii="Cambria Math" w:hAnsi="Cambria Math" w:cs="Cambria Math" w:eastAsia="Cambria Math"/>
              </w:rPr>
              <w:t>±</w:t>
            </w:r>
            <w:r>
              <w:t>0.001</w:t>
            </w:r>
          </w:p>
        </w:tc>
        <w:tc>
          <w:tcPr>
            <w:tcW w:type="dxa" w:w="1234"/>
          </w:tcPr>
          <w:p>
            <w:r>
              <w:t>0.359</w:t>
            </w:r>
            <w:r>
              <w:rPr>
                <w:rFonts w:ascii="Cambria Math" w:hAnsi="Cambria Math" w:cs="Cambria Math" w:eastAsia="Cambria Math"/>
              </w:rPr>
              <w:t>±</w:t>
            </w:r>
            <w:r>
              <w:t>0.056</w:t>
            </w:r>
          </w:p>
        </w:tc>
        <w:tc>
          <w:tcPr>
            <w:tcW w:type="dxa" w:w="1234"/>
          </w:tcPr>
          <w:p>
            <w:r>
              <w:t>0.348</w:t>
            </w:r>
            <w:r>
              <w:rPr>
                <w:rFonts w:ascii="Cambria Math" w:hAnsi="Cambria Math" w:cs="Cambria Math" w:eastAsia="Cambria Math"/>
              </w:rPr>
              <w:t>±</w:t>
            </w:r>
            <w:r>
              <w:t>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t>0.922</w:t>
            </w:r>
            <w:r>
              <w:rPr>
                <w:rFonts w:ascii="Cambria Math" w:hAnsi="Cambria Math" w:cs="Cambria Math" w:eastAsia="Cambria Math"/>
              </w:rPr>
              <w:t>±</w:t>
            </w:r>
            <w:r>
              <w:t>0.002</w:t>
            </w:r>
          </w:p>
        </w:tc>
        <w:tc>
          <w:tcPr>
            <w:tcW w:type="dxa" w:w="1234"/>
          </w:tcPr>
          <w:p>
            <w:r>
              <w:t>0.851</w:t>
            </w:r>
            <w:r>
              <w:rPr>
                <w:rFonts w:ascii="Cambria Math" w:hAnsi="Cambria Math" w:cs="Cambria Math" w:eastAsia="Cambria Math"/>
              </w:rPr>
              <w:t>±</w:t>
            </w:r>
            <w:r>
              <w:t>0.004</w:t>
            </w:r>
          </w:p>
        </w:tc>
        <w:tc>
          <w:tcPr>
            <w:tcW w:type="dxa" w:w="1234"/>
          </w:tcPr>
          <w:p>
            <w:r>
              <w:t>0.353</w:t>
            </w:r>
            <w:r>
              <w:rPr>
                <w:rFonts w:ascii="Cambria Math" w:hAnsi="Cambria Math" w:cs="Cambria Math" w:eastAsia="Cambria Math"/>
              </w:rPr>
              <w:t>±</w:t>
            </w:r>
            <w:r>
              <w:t>0.041</w:t>
            </w:r>
          </w:p>
        </w:tc>
        <w:tc>
          <w:tcPr>
            <w:tcW w:type="dxa" w:w="1234"/>
          </w:tcPr>
          <w:p>
            <w:r>
              <w:t>0.336</w:t>
            </w:r>
            <w:r>
              <w:rPr>
                <w:rFonts w:ascii="Cambria Math" w:hAnsi="Cambria Math" w:cs="Cambria Math" w:eastAsia="Cambria Math"/>
              </w:rPr>
              <w:t>±</w:t>
            </w:r>
            <w:r>
              <w:t>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t>0.931</w:t>
            </w:r>
            <w:r>
              <w:rPr>
                <w:rFonts w:ascii="Cambria Math" w:hAnsi="Cambria Math" w:cs="Cambria Math" w:eastAsia="Cambria Math"/>
              </w:rPr>
              <w:t>±</w:t>
            </w:r>
            <w:r>
              <w:t>0.005</w:t>
            </w:r>
          </w:p>
        </w:tc>
        <w:tc>
          <w:tcPr>
            <w:tcW w:type="dxa" w:w="1234"/>
          </w:tcPr>
          <w:p>
            <w:r>
              <w:t>0.867</w:t>
            </w:r>
            <w:r>
              <w:rPr>
                <w:rFonts w:ascii="Cambria Math" w:hAnsi="Cambria Math" w:cs="Cambria Math" w:eastAsia="Cambria Math"/>
              </w:rPr>
              <w:t>±</w:t>
            </w:r>
            <w:r>
              <w:t>0.009</w:t>
            </w:r>
          </w:p>
        </w:tc>
        <w:tc>
          <w:tcPr>
            <w:tcW w:type="dxa" w:w="1234"/>
          </w:tcPr>
          <w:p>
            <w:r>
              <w:t>0.445</w:t>
            </w:r>
            <w:r>
              <w:rPr>
                <w:rFonts w:ascii="Cambria Math" w:hAnsi="Cambria Math" w:cs="Cambria Math" w:eastAsia="Cambria Math"/>
              </w:rPr>
              <w:t>±</w:t>
            </w:r>
            <w:r>
              <w:t>0.057</w:t>
            </w:r>
          </w:p>
        </w:tc>
        <w:tc>
          <w:tcPr>
            <w:tcW w:type="dxa" w:w="1234"/>
          </w:tcPr>
          <w:p>
            <w:r>
              <w:t>0.443</w:t>
            </w:r>
            <w:r>
              <w:rPr>
                <w:rFonts w:ascii="Cambria Math" w:hAnsi="Cambria Math" w:cs="Cambria Math" w:eastAsia="Cambria Math"/>
              </w:rPr>
              <w:t>±</w:t>
            </w:r>
            <w:r>
              <w:t>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t>0.931</w:t>
            </w:r>
            <w:r>
              <w:rPr>
                <w:rFonts w:ascii="Cambria Math" w:hAnsi="Cambria Math" w:cs="Cambria Math" w:eastAsia="Cambria Math"/>
              </w:rPr>
              <w:t>±</w:t>
            </w:r>
            <w:r>
              <w:t>0.007</w:t>
            </w:r>
          </w:p>
        </w:tc>
        <w:tc>
          <w:tcPr>
            <w:tcW w:type="dxa" w:w="1234"/>
          </w:tcPr>
          <w:p>
            <w:r>
              <w:t>0.866</w:t>
            </w:r>
            <w:r>
              <w:rPr>
                <w:rFonts w:ascii="Cambria Math" w:hAnsi="Cambria Math" w:cs="Cambria Math" w:eastAsia="Cambria Math"/>
              </w:rPr>
              <w:t>±</w:t>
            </w:r>
            <w:r>
              <w:t>0.013</w:t>
            </w:r>
          </w:p>
        </w:tc>
        <w:tc>
          <w:tcPr>
            <w:tcW w:type="dxa" w:w="1234"/>
          </w:tcPr>
          <w:p>
            <w:r>
              <w:t>0.455</w:t>
            </w:r>
            <w:r>
              <w:rPr>
                <w:rFonts w:ascii="Cambria Math" w:hAnsi="Cambria Math" w:cs="Cambria Math" w:eastAsia="Cambria Math"/>
              </w:rPr>
              <w:t>±</w:t>
            </w:r>
            <w:r>
              <w:t>0.023</w:t>
            </w:r>
          </w:p>
        </w:tc>
        <w:tc>
          <w:tcPr>
            <w:tcW w:type="dxa" w:w="1234"/>
          </w:tcPr>
          <w:p>
            <w:r>
              <w:t>0.454</w:t>
            </w:r>
            <w:r>
              <w:rPr>
                <w:rFonts w:ascii="Cambria Math" w:hAnsi="Cambria Math" w:cs="Cambria Math" w:eastAsia="Cambria Math"/>
              </w:rPr>
              <w:t>±</w:t>
            </w:r>
            <w:r>
              <w:t>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rFonts w:ascii="Cambria Math" w:hAnsi="Cambria Math" w:cs="Cambria Math" w:eastAsia="Cambria Math"/>
              </w:rPr>
              <w:t>Δ</w:t>
            </w:r>
            <w:r>
              <w:t>PCC</w:t>
            </w:r>
          </w:p>
        </w:tc>
      </w:tr>
      <w:tr>
        <w:tc>
          <w:tcPr>
            <w:tcW w:type="dxa" w:w="2160"/>
          </w:tcPr>
          <w:p>
            <w:r>
              <w:rPr>
                <w:sz w:val="18"/>
              </w:rPr>
              <w:t>Cisplatin</w:t>
            </w:r>
          </w:p>
        </w:tc>
        <w:tc>
          <w:tcPr>
            <w:tcW w:type="dxa" w:w="2160"/>
          </w:tcPr>
          <w:p>
            <w:r>
              <w:t>0.497</w:t>
            </w:r>
            <w:r>
              <w:rPr>
                <w:rFonts w:ascii="Cambria Math" w:hAnsi="Cambria Math" w:cs="Cambria Math" w:eastAsia="Cambria Math"/>
              </w:rPr>
              <w:t>±</w:t>
            </w:r>
            <w:r>
              <w:t>0.099</w:t>
            </w:r>
          </w:p>
        </w:tc>
        <w:tc>
          <w:tcPr>
            <w:tcW w:type="dxa" w:w="2160"/>
          </w:tcPr>
          <w:p>
            <w:r>
              <w:t>0.478</w:t>
            </w:r>
            <w:r>
              <w:rPr>
                <w:rFonts w:ascii="Cambria Math" w:hAnsi="Cambria Math" w:cs="Cambria Math" w:eastAsia="Cambria Math"/>
              </w:rPr>
              <w:t>±</w:t>
            </w:r>
            <w:r>
              <w:t>0.046</w:t>
            </w:r>
          </w:p>
        </w:tc>
        <w:tc>
          <w:tcPr>
            <w:tcW w:type="dxa" w:w="2160"/>
          </w:tcPr>
          <w:p>
            <w:r>
              <w:rPr>
                <w:sz w:val="18"/>
              </w:rPr>
              <w:t>-0.018</w:t>
            </w:r>
          </w:p>
        </w:tc>
      </w:tr>
      <w:tr>
        <w:tc>
          <w:tcPr>
            <w:tcW w:type="dxa" w:w="2160"/>
          </w:tcPr>
          <w:p>
            <w:r>
              <w:rPr>
                <w:sz w:val="18"/>
              </w:rPr>
              <w:t>Docetaxel</w:t>
            </w:r>
          </w:p>
        </w:tc>
        <w:tc>
          <w:tcPr>
            <w:tcW w:type="dxa" w:w="2160"/>
          </w:tcPr>
          <w:p>
            <w:r>
              <w:t>0.511</w:t>
            </w:r>
            <w:r>
              <w:rPr>
                <w:rFonts w:ascii="Cambria Math" w:hAnsi="Cambria Math" w:cs="Cambria Math" w:eastAsia="Cambria Math"/>
              </w:rPr>
              <w:t>±</w:t>
            </w:r>
            <w:r>
              <w:t>0.122</w:t>
            </w:r>
          </w:p>
        </w:tc>
        <w:tc>
          <w:tcPr>
            <w:tcW w:type="dxa" w:w="2160"/>
          </w:tcPr>
          <w:p>
            <w:r>
              <w:t>0.512</w:t>
            </w:r>
            <w:r>
              <w:rPr>
                <w:rFonts w:ascii="Cambria Math" w:hAnsi="Cambria Math" w:cs="Cambria Math" w:eastAsia="Cambria Math"/>
              </w:rPr>
              <w:t>±</w:t>
            </w:r>
            <w:r>
              <w:t>0.077</w:t>
            </w:r>
          </w:p>
        </w:tc>
        <w:tc>
          <w:tcPr>
            <w:tcW w:type="dxa" w:w="2160"/>
          </w:tcPr>
          <w:p>
            <w:r>
              <w:rPr>
                <w:sz w:val="18"/>
              </w:rPr>
              <w:t>+0.001</w:t>
            </w:r>
          </w:p>
        </w:tc>
      </w:tr>
      <w:tr>
        <w:tc>
          <w:tcPr>
            <w:tcW w:type="dxa" w:w="2160"/>
          </w:tcPr>
          <w:p>
            <w:r>
              <w:rPr>
                <w:sz w:val="18"/>
              </w:rPr>
              <w:t>Paclitaxel</w:t>
            </w:r>
          </w:p>
        </w:tc>
        <w:tc>
          <w:tcPr>
            <w:tcW w:type="dxa" w:w="2160"/>
          </w:tcPr>
          <w:p>
            <w:r>
              <w:t>0.389</w:t>
            </w:r>
            <w:r>
              <w:rPr>
                <w:rFonts w:ascii="Cambria Math" w:hAnsi="Cambria Math" w:cs="Cambria Math" w:eastAsia="Cambria Math"/>
              </w:rPr>
              <w:t>±</w:t>
            </w:r>
            <w:r>
              <w:t>0.096</w:t>
            </w:r>
          </w:p>
        </w:tc>
        <w:tc>
          <w:tcPr>
            <w:tcW w:type="dxa" w:w="2160"/>
          </w:tcPr>
          <w:p>
            <w:r>
              <w:t>0.455</w:t>
            </w:r>
            <w:r>
              <w:rPr>
                <w:rFonts w:ascii="Cambria Math" w:hAnsi="Cambria Math" w:cs="Cambria Math" w:eastAsia="Cambria Math"/>
              </w:rPr>
              <w:t>±</w:t>
            </w:r>
            <w:r>
              <w:t>0.057</w:t>
            </w:r>
          </w:p>
        </w:tc>
        <w:tc>
          <w:tcPr>
            <w:tcW w:type="dxa" w:w="2160"/>
          </w:tcPr>
          <w:p>
            <w:r>
              <w:rPr>
                <w:sz w:val="18"/>
              </w:rPr>
              <w:t>+0.065</w:t>
            </w:r>
          </w:p>
        </w:tc>
      </w:tr>
      <w:tr>
        <w:tc>
          <w:tcPr>
            <w:tcW w:type="dxa" w:w="2160"/>
          </w:tcPr>
          <w:p>
            <w:r>
              <w:rPr>
                <w:sz w:val="18"/>
              </w:rPr>
              <w:t>Gemcitabine</w:t>
            </w:r>
          </w:p>
        </w:tc>
        <w:tc>
          <w:tcPr>
            <w:tcW w:type="dxa" w:w="2160"/>
          </w:tcPr>
          <w:p>
            <w:r>
              <w:t>0.538</w:t>
            </w:r>
            <w:r>
              <w:rPr>
                <w:rFonts w:ascii="Cambria Math" w:hAnsi="Cambria Math" w:cs="Cambria Math" w:eastAsia="Cambria Math"/>
              </w:rPr>
              <w:t>±</w:t>
            </w:r>
            <w:r>
              <w:t>0.109</w:t>
            </w:r>
          </w:p>
        </w:tc>
        <w:tc>
          <w:tcPr>
            <w:tcW w:type="dxa" w:w="2160"/>
          </w:tcPr>
          <w:p>
            <w:r>
              <w:t>0.475</w:t>
            </w:r>
            <w:r>
              <w:rPr>
                <w:rFonts w:ascii="Cambria Math" w:hAnsi="Cambria Math" w:cs="Cambria Math" w:eastAsia="Cambria Math"/>
              </w:rPr>
              <w:t>±</w:t>
            </w:r>
            <w:r>
              <w:t>0.069</w:t>
            </w:r>
          </w:p>
        </w:tc>
        <w:tc>
          <w:tcPr>
            <w:tcW w:type="dxa" w:w="2160"/>
          </w:tcPr>
          <w:p>
            <w:r>
              <w:rPr>
                <w:sz w:val="18"/>
              </w:rPr>
              <w:t>-0.064</w:t>
            </w:r>
          </w:p>
        </w:tc>
      </w:tr>
      <w:tr>
        <w:tc>
          <w:tcPr>
            <w:tcW w:type="dxa" w:w="2160"/>
          </w:tcPr>
          <w:p>
            <w:r>
              <w:rPr>
                <w:sz w:val="18"/>
              </w:rPr>
              <w:t>Tamoxifen</w:t>
            </w:r>
          </w:p>
        </w:tc>
        <w:tc>
          <w:tcPr>
            <w:tcW w:type="dxa" w:w="2160"/>
          </w:tcPr>
          <w:p>
            <w:r>
              <w:t>0.350</w:t>
            </w:r>
            <w:r>
              <w:rPr>
                <w:rFonts w:ascii="Cambria Math" w:hAnsi="Cambria Math" w:cs="Cambria Math" w:eastAsia="Cambria Math"/>
              </w:rPr>
              <w:t>±</w:t>
            </w:r>
            <w:r>
              <w:t>0.126</w:t>
            </w:r>
          </w:p>
        </w:tc>
        <w:tc>
          <w:tcPr>
            <w:tcW w:type="dxa" w:w="2160"/>
          </w:tcPr>
          <w:p>
            <w:r>
              <w:t>0.446</w:t>
            </w:r>
            <w:r>
              <w:rPr>
                <w:rFonts w:ascii="Cambria Math" w:hAnsi="Cambria Math" w:cs="Cambria Math" w:eastAsia="Cambria Math"/>
              </w:rPr>
              <w:t>±</w:t>
            </w:r>
            <w:r>
              <w:t>0.075</w:t>
            </w:r>
          </w:p>
        </w:tc>
        <w:tc>
          <w:tcPr>
            <w:tcW w:type="dxa" w:w="2160"/>
          </w:tcPr>
          <w:p>
            <w:r>
              <w:rPr>
                <w:sz w:val="18"/>
              </w:rPr>
              <w:t>+0.095</w:t>
            </w:r>
          </w:p>
        </w:tc>
      </w:tr>
      <w:tr>
        <w:tc>
          <w:tcPr>
            <w:tcW w:type="dxa" w:w="2160"/>
          </w:tcPr>
          <w:p>
            <w:r>
              <w:rPr>
                <w:sz w:val="18"/>
              </w:rPr>
              <w:t>Lapatinib</w:t>
            </w:r>
          </w:p>
        </w:tc>
        <w:tc>
          <w:tcPr>
            <w:tcW w:type="dxa" w:w="2160"/>
          </w:tcPr>
          <w:p>
            <w:r>
              <w:t>0.432</w:t>
            </w:r>
            <w:r>
              <w:rPr>
                <w:rFonts w:ascii="Cambria Math" w:hAnsi="Cambria Math" w:cs="Cambria Math" w:eastAsia="Cambria Math"/>
              </w:rPr>
              <w:t>±</w:t>
            </w:r>
            <w:r>
              <w:t>0.148</w:t>
            </w:r>
          </w:p>
        </w:tc>
        <w:tc>
          <w:tcPr>
            <w:tcW w:type="dxa" w:w="2160"/>
          </w:tcPr>
          <w:p>
            <w:r>
              <w:t>0.458</w:t>
            </w:r>
            <w:r>
              <w:rPr>
                <w:rFonts w:ascii="Cambria Math" w:hAnsi="Cambria Math" w:cs="Cambria Math" w:eastAsia="Cambria Math"/>
              </w:rPr>
              <w:t>±</w:t>
            </w:r>
            <w:r>
              <w:t>0.192</w:t>
            </w:r>
          </w:p>
        </w:tc>
        <w:tc>
          <w:tcPr>
            <w:tcW w:type="dxa" w:w="2160"/>
          </w:tcPr>
          <w:p>
            <w:r>
              <w:rPr>
                <w:sz w:val="18"/>
              </w:rPr>
              <w:t>+0.027</w:t>
            </w:r>
          </w:p>
        </w:tc>
      </w:tr>
      <w:tr>
        <w:tc>
          <w:tcPr>
            <w:tcW w:type="dxa" w:w="2160"/>
          </w:tcPr>
          <w:p>
            <w:r>
              <w:rPr>
                <w:sz w:val="18"/>
              </w:rPr>
              <w:t>Vinblastine</w:t>
            </w:r>
          </w:p>
        </w:tc>
        <w:tc>
          <w:tcPr>
            <w:tcW w:type="dxa" w:w="2160"/>
          </w:tcPr>
          <w:p>
            <w:r>
              <w:t>0.450</w:t>
            </w:r>
            <w:r>
              <w:rPr>
                <w:rFonts w:ascii="Cambria Math" w:hAnsi="Cambria Math" w:cs="Cambria Math" w:eastAsia="Cambria Math"/>
              </w:rPr>
              <w:t>±</w:t>
            </w:r>
            <w:r>
              <w:t>0.097</w:t>
            </w:r>
          </w:p>
        </w:tc>
        <w:tc>
          <w:tcPr>
            <w:tcW w:type="dxa" w:w="2160"/>
          </w:tcPr>
          <w:p>
            <w:r>
              <w:t>0.525</w:t>
            </w:r>
            <w:r>
              <w:rPr>
                <w:rFonts w:ascii="Cambria Math" w:hAnsi="Cambria Math" w:cs="Cambria Math" w:eastAsia="Cambria Math"/>
              </w:rPr>
              <w:t>±</w:t>
            </w:r>
            <w:r>
              <w:t>0.081</w:t>
            </w:r>
          </w:p>
        </w:tc>
        <w:tc>
          <w:tcPr>
            <w:tcW w:type="dxa" w:w="2160"/>
          </w:tcPr>
          <w:p>
            <w:r>
              <w:rPr>
                <w:sz w:val="18"/>
              </w:rPr>
              <w:t>+0.075</w:t>
            </w:r>
          </w:p>
        </w:tc>
      </w:tr>
      <w:tr>
        <w:tc>
          <w:tcPr>
            <w:tcW w:type="dxa" w:w="2160"/>
          </w:tcPr>
          <w:p>
            <w:r>
              <w:rPr>
                <w:sz w:val="18"/>
              </w:rPr>
              <w:t>OSI-027</w:t>
            </w:r>
          </w:p>
        </w:tc>
        <w:tc>
          <w:tcPr>
            <w:tcW w:type="dxa" w:w="2160"/>
          </w:tcPr>
          <w:p>
            <w:r>
              <w:t>0.530</w:t>
            </w:r>
            <w:r>
              <w:rPr>
                <w:rFonts w:ascii="Cambria Math" w:hAnsi="Cambria Math" w:cs="Cambria Math" w:eastAsia="Cambria Math"/>
              </w:rPr>
              <w:t>±</w:t>
            </w:r>
            <w:r>
              <w:t>0.084</w:t>
            </w:r>
          </w:p>
        </w:tc>
        <w:tc>
          <w:tcPr>
            <w:tcW w:type="dxa" w:w="2160"/>
          </w:tcPr>
          <w:p>
            <w:r>
              <w:t>0.533</w:t>
            </w:r>
            <w:r>
              <w:rPr>
                <w:rFonts w:ascii="Cambria Math" w:hAnsi="Cambria Math" w:cs="Cambria Math" w:eastAsia="Cambria Math"/>
              </w:rPr>
              <w:t>±</w:t>
            </w:r>
            <w:r>
              <w:t>0.111</w:t>
            </w:r>
          </w:p>
        </w:tc>
        <w:tc>
          <w:tcPr>
            <w:tcW w:type="dxa" w:w="2160"/>
          </w:tcPr>
          <w:p>
            <w:r>
              <w:rPr>
                <w:sz w:val="18"/>
              </w:rPr>
              <w:t>+0.004</w:t>
            </w:r>
          </w:p>
        </w:tc>
      </w:tr>
      <w:tr>
        <w:tc>
          <w:tcPr>
            <w:tcW w:type="dxa" w:w="2160"/>
          </w:tcPr>
          <w:p>
            <w:r>
              <w:rPr>
                <w:sz w:val="18"/>
              </w:rPr>
              <w:t>Daporinad</w:t>
            </w:r>
          </w:p>
        </w:tc>
        <w:tc>
          <w:tcPr>
            <w:tcW w:type="dxa" w:w="2160"/>
          </w:tcPr>
          <w:p>
            <w:r>
              <w:t>0.313</w:t>
            </w:r>
            <w:r>
              <w:rPr>
                <w:rFonts w:ascii="Cambria Math" w:hAnsi="Cambria Math" w:cs="Cambria Math" w:eastAsia="Cambria Math"/>
              </w:rPr>
              <w:t>±</w:t>
            </w:r>
            <w:r>
              <w:t>0.101</w:t>
            </w:r>
          </w:p>
        </w:tc>
        <w:tc>
          <w:tcPr>
            <w:tcW w:type="dxa" w:w="2160"/>
          </w:tcPr>
          <w:p>
            <w:r>
              <w:t>0.313</w:t>
            </w:r>
            <w:r>
              <w:rPr>
                <w:rFonts w:ascii="Cambria Math" w:hAnsi="Cambria Math" w:cs="Cambria Math" w:eastAsia="Cambria Math"/>
              </w:rPr>
              <w:t>±</w:t>
            </w:r>
            <w:r>
              <w:t>0.090</w:t>
            </w:r>
          </w:p>
        </w:tc>
        <w:tc>
          <w:tcPr>
            <w:tcW w:type="dxa" w:w="2160"/>
          </w:tcPr>
          <w:p>
            <w:r>
              <w:rPr>
                <w:sz w:val="18"/>
              </w:rPr>
              <w:t>-0.001</w:t>
            </w:r>
          </w:p>
        </w:tc>
      </w:tr>
      <w:tr>
        <w:tc>
          <w:tcPr>
            <w:tcW w:type="dxa" w:w="2160"/>
          </w:tcPr>
          <w:p>
            <w:r>
              <w:rPr>
                <w:sz w:val="18"/>
              </w:rPr>
              <w:t>Venetoclax</w:t>
            </w:r>
          </w:p>
        </w:tc>
        <w:tc>
          <w:tcPr>
            <w:tcW w:type="dxa" w:w="2160"/>
          </w:tcPr>
          <w:p>
            <w:r>
              <w:t>0.487</w:t>
            </w:r>
            <w:r>
              <w:rPr>
                <w:rFonts w:ascii="Cambria Math" w:hAnsi="Cambria Math" w:cs="Cambria Math" w:eastAsia="Cambria Math"/>
              </w:rPr>
              <w:t>±</w:t>
            </w:r>
            <w:r>
              <w:t>0.103</w:t>
            </w:r>
          </w:p>
        </w:tc>
        <w:tc>
          <w:tcPr>
            <w:tcW w:type="dxa" w:w="2160"/>
          </w:tcPr>
          <w:p>
            <w:r>
              <w:t>0.419</w:t>
            </w:r>
            <w:r>
              <w:rPr>
                <w:rFonts w:ascii="Cambria Math" w:hAnsi="Cambria Math" w:cs="Cambria Math" w:eastAsia="Cambria Math"/>
              </w:rPr>
              <w:t>±</w:t>
            </w:r>
            <w:r>
              <w:t>0.070</w:t>
            </w:r>
          </w:p>
        </w:tc>
        <w:tc>
          <w:tcPr>
            <w:tcW w:type="dxa" w:w="2160"/>
          </w:tcPr>
          <w:p>
            <w:r>
              <w:rPr>
                <w:sz w:val="18"/>
              </w:rPr>
              <w:t>-0.068</w:t>
            </w:r>
          </w:p>
        </w:tc>
      </w:tr>
      <w:tr>
        <w:tc>
          <w:tcPr>
            <w:tcW w:type="dxa" w:w="2160"/>
          </w:tcPr>
          <w:p>
            <w:r>
              <w:rPr>
                <w:sz w:val="18"/>
              </w:rPr>
              <w:t>ABT737</w:t>
            </w:r>
          </w:p>
        </w:tc>
        <w:tc>
          <w:tcPr>
            <w:tcW w:type="dxa" w:w="2160"/>
          </w:tcPr>
          <w:p>
            <w:r>
              <w:t>0.378</w:t>
            </w:r>
            <w:r>
              <w:rPr>
                <w:rFonts w:ascii="Cambria Math" w:hAnsi="Cambria Math" w:cs="Cambria Math" w:eastAsia="Cambria Math"/>
              </w:rPr>
              <w:t>±</w:t>
            </w:r>
            <w:r>
              <w:t>0.050</w:t>
            </w:r>
          </w:p>
        </w:tc>
        <w:tc>
          <w:tcPr>
            <w:tcW w:type="dxa" w:w="2160"/>
          </w:tcPr>
          <w:p>
            <w:r>
              <w:t>0.366</w:t>
            </w:r>
            <w:r>
              <w:rPr>
                <w:rFonts w:ascii="Cambria Math" w:hAnsi="Cambria Math" w:cs="Cambria Math" w:eastAsia="Cambria Math"/>
              </w:rPr>
              <w:t>±</w:t>
            </w:r>
            <w:r>
              <w:t>0.042</w:t>
            </w:r>
          </w:p>
        </w:tc>
        <w:tc>
          <w:tcPr>
            <w:tcW w:type="dxa" w:w="2160"/>
          </w:tcPr>
          <w:p>
            <w:r>
              <w:rPr>
                <w:sz w:val="18"/>
              </w:rPr>
              <w:t>-0.012</w:t>
            </w:r>
          </w:p>
        </w:tc>
      </w:tr>
      <w:tr>
        <w:tc>
          <w:tcPr>
            <w:tcW w:type="dxa" w:w="2160"/>
          </w:tcPr>
          <w:p>
            <w:r>
              <w:rPr>
                <w:sz w:val="18"/>
              </w:rPr>
              <w:t>AZD5991</w:t>
            </w:r>
          </w:p>
        </w:tc>
        <w:tc>
          <w:tcPr>
            <w:tcW w:type="dxa" w:w="2160"/>
          </w:tcPr>
          <w:p>
            <w:r>
              <w:t>0.484</w:t>
            </w:r>
            <w:r>
              <w:rPr>
                <w:rFonts w:ascii="Cambria Math" w:hAnsi="Cambria Math" w:cs="Cambria Math" w:eastAsia="Cambria Math"/>
              </w:rPr>
              <w:t>±</w:t>
            </w:r>
            <w:r>
              <w:t>0.034</w:t>
            </w:r>
          </w:p>
        </w:tc>
        <w:tc>
          <w:tcPr>
            <w:tcW w:type="dxa" w:w="2160"/>
          </w:tcPr>
          <w:p>
            <w:r>
              <w:t>0.506</w:t>
            </w:r>
            <w:r>
              <w:rPr>
                <w:rFonts w:ascii="Cambria Math" w:hAnsi="Cambria Math" w:cs="Cambria Math" w:eastAsia="Cambria Math"/>
              </w:rPr>
              <w:t>±</w:t>
            </w:r>
            <w:r>
              <w:t>0.030</w:t>
            </w:r>
          </w:p>
        </w:tc>
        <w:tc>
          <w:tcPr>
            <w:tcW w:type="dxa" w:w="2160"/>
          </w:tcPr>
          <w:p>
            <w:r>
              <w:rPr>
                <w:sz w:val="18"/>
              </w:rPr>
              <w:t>+0.022</w:t>
            </w:r>
          </w:p>
        </w:tc>
      </w:tr>
      <w:tr>
        <w:tc>
          <w:tcPr>
            <w:tcW w:type="dxa" w:w="2160"/>
          </w:tcPr>
          <w:p>
            <w:r>
              <w:rPr>
                <w:sz w:val="18"/>
              </w:rPr>
              <w:t>Fulvestrant</w:t>
            </w:r>
          </w:p>
        </w:tc>
        <w:tc>
          <w:tcPr>
            <w:tcW w:type="dxa" w:w="2160"/>
          </w:tcPr>
          <w:p>
            <w:r>
              <w:t>0.419</w:t>
            </w:r>
            <w:r>
              <w:rPr>
                <w:rFonts w:ascii="Cambria Math" w:hAnsi="Cambria Math" w:cs="Cambria Math" w:eastAsia="Cambria Math"/>
              </w:rPr>
              <w:t>±</w:t>
            </w:r>
            <w:r>
              <w:t>0.122</w:t>
            </w:r>
          </w:p>
        </w:tc>
        <w:tc>
          <w:tcPr>
            <w:tcW w:type="dxa" w:w="2160"/>
          </w:tcPr>
          <w:p>
            <w:r>
              <w:t>0.432</w:t>
            </w:r>
            <w:r>
              <w:rPr>
                <w:rFonts w:ascii="Cambria Math" w:hAnsi="Cambria Math" w:cs="Cambria Math" w:eastAsia="Cambria Math"/>
              </w:rPr>
              <w:t>±</w:t>
            </w:r>
            <w:r>
              <w:t>0.059</w:t>
            </w:r>
          </w:p>
        </w:tc>
        <w:tc>
          <w:tcPr>
            <w:tcW w:type="dxa" w:w="2160"/>
          </w:tcPr>
          <w:p>
            <w:r>
              <w:rPr>
                <w:sz w:val="18"/>
              </w:rPr>
              <w:t>+0.013</w:t>
            </w:r>
          </w:p>
        </w:tc>
      </w:tr>
      <w:tr>
        <w:tc>
          <w:tcPr>
            <w:tcW w:type="dxa" w:w="2160"/>
          </w:tcPr>
          <w:p>
            <w:r>
              <w:rPr>
                <w:sz w:val="18"/>
              </w:rPr>
              <w:t>Mean</w:t>
            </w:r>
          </w:p>
        </w:tc>
        <w:tc>
          <w:tcPr>
            <w:tcW w:type="dxa" w:w="2160"/>
          </w:tcPr>
          <w:p>
            <w:r>
              <w:t>0.445</w:t>
            </w:r>
            <w:r>
              <w:rPr>
                <w:rFonts w:ascii="Cambria Math" w:hAnsi="Cambria Math" w:cs="Cambria Math" w:eastAsia="Cambria Math"/>
              </w:rPr>
              <w:t>±</w:t>
            </w:r>
            <w:r>
              <w:t>0.057</w:t>
            </w:r>
          </w:p>
        </w:tc>
        <w:tc>
          <w:tcPr>
            <w:tcW w:type="dxa" w:w="2160"/>
          </w:tcPr>
          <w:p>
            <w:r>
              <w:t>0.455</w:t>
            </w:r>
            <w:r>
              <w:rPr>
                <w:rFonts w:ascii="Cambria Math" w:hAnsi="Cambria Math" w:cs="Cambria Math" w:eastAsia="Cambria Math"/>
              </w:rPr>
              <w:t>±</w:t>
            </w:r>
            <w:r>
              <w:t>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rFonts w:ascii="Cambria Math" w:hAnsi="Cambria Math" w:cs="Cambria Math" w:eastAsia="Cambria Math"/>
              </w:rPr>
              <w:t>Δ</w:t>
            </w:r>
            <w:r>
              <w:t>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t>Figure 2. Model performance. (A) Progressive modality integration showing per-drug PCC improvement. (B) Predicted vs. actual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scatter (global PCC = 0.952). (C) Benchmark comparison against traditional ML methods. (D) Per-drug PCC for 3-modal vs. 4-modal with significance annotations. (E) Cross-validation stability showing reduced variance in 4-modal model.</w:t>
      </w:r>
    </w:p>
    <w:p>
      <w:r>
        <w:t>Figure 3. Clinical validation and biomarker concordance. (A) Direct treatment outcome prediction AUC: 4-modal vs. 3-modal embeddings. (B) ER status stratification of predicted Tamoxifen and Fulvestrant IC</w:t>
      </w:r>
      <w:r>
        <w:rPr>
          <w:rFonts w:ascii="Cambria Math" w:hAnsi="Cambria Math" w:cs="Cambria Math" w:eastAsia="Cambria Math"/>
          <w:vertAlign w:val="subscript"/>
        </w:rPr>
        <w:t>5</w:t>
      </w:r>
      <w:r>
        <w:rPr>
          <w:rFonts w:ascii="Cambria Math" w:hAnsi="Cambria Math" w:cs="Cambria Math" w:eastAsia="Cambria Math"/>
          <w:vertAlign w:val="subscript"/>
        </w:rPr>
        <w:t>0</w:t>
      </w:r>
      <w:r>
        <w:t>. (C) HER2 status stratification of predicted Lapatinib IC</w:t>
      </w:r>
      <w:r>
        <w:rPr>
          <w:rFonts w:ascii="Cambria Math" w:hAnsi="Cambria Math" w:cs="Cambria Math" w:eastAsia="Cambria Math"/>
          <w:vertAlign w:val="subscript"/>
        </w:rPr>
        <w:t>5</w:t>
      </w:r>
      <w:r>
        <w:rPr>
          <w:rFonts w:ascii="Cambria Math" w:hAnsi="Cambria Math" w:cs="Cambria Math" w:eastAsia="Cambria Math"/>
          <w:vertAlign w:val="subscript"/>
        </w:rPr>
        <w:t>0</w:t>
      </w:r>
      <w:r>
        <w:t>. (D) PIK3CA mutation effects on predicted drug sensitivity. (E) Docetaxel clinical validation waterfall. (F) Biomarker-drug concordance significance.</w:t>
      </w:r>
    </w:p>
    <w:p>
      <w:r>
        <w:t>Figure 4. Biological insights. (A) UMAP of fused 4-modal embeddings by molecular subtype. (B) UMAP by predicted Tamoxifen IC</w:t>
      </w:r>
      <w:r>
        <w:rPr>
          <w:rFonts w:ascii="Cambria Math" w:hAnsi="Cambria Math" w:cs="Cambria Math" w:eastAsia="Cambria Math"/>
          <w:vertAlign w:val="subscript"/>
        </w:rPr>
        <w:t>5</w:t>
      </w:r>
      <w:r>
        <w:rPr>
          <w:rFonts w:ascii="Cambria Math" w:hAnsi="Cambria Math" w:cs="Cambria Math" w:eastAsia="Cambria Math"/>
          <w:vertAlign w:val="subscript"/>
        </w:rPr>
        <w:t>0</w:t>
      </w:r>
      <w:r>
        <w:t>. (C) Subtype-specific drug sensitivity heatmap with Kruskal-Wallis significance. (D) Drug clustering by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with MOA annotations. (E) ABMIL attention heatmap on H&amp;E tissue with zoom inset of high-attention region. (F) Drug sensitivity radar by subtype.</w:t>
      </w:r>
    </w:p>
    <w:p>
      <w:r>
        <w:t xml:space="preserve">Figure 5. Interpretability. (A) Modality importance by PCC drop upon ablation. (B) Top 12 genomic features by gradient </w:t>
      </w:r>
      <w:r>
        <w:rPr>
          <w:rFonts w:ascii="Cambria Math" w:hAnsi="Cambria Math" w:cs="Cambria Math" w:eastAsia="Cambria Math"/>
        </w:rPr>
        <w:t>×</w:t>
      </w:r>
      <w:r>
        <w:t xml:space="preserve"> input attribution. (C) Per-drug </w:t>
      </w:r>
      <w:r>
        <w:rPr>
          <w:rFonts w:ascii="Cambria Math" w:hAnsi="Cambria Math" w:cs="Cambria Math" w:eastAsia="Cambria Math"/>
        </w:rPr>
        <w:t>Δ</w:t>
      </w:r>
      <w:r>
        <w:t>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t>Figure 7. Performance dissociation between imputed and clinical metrics. (A)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 accuracy (PCC</w:t>
      </w:r>
      <w:r>
        <w:rPr>
          <w:rFonts w:ascii="Cambria Math" w:hAnsi="Cambria Math" w:cs="Cambria Math" w:eastAsia="Cambria Math"/>
          <w:vertAlign w:val="subscript"/>
        </w:rPr>
        <w:t>drug</w:t>
      </w:r>
      <w:r>
        <w:t>)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 xml:space="preserve">Figure S16. External validation against GDSC pharmacological data. (A) Drug-drug correlation structure conservation between TCGA patient predictions and GDSC cell line real IC50 (Mantel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(B) IC50 variance comparison across 13 drugs. (C) Mean drug sensitivity ranking correlation (</w:t>
      </w:r>
      <w:r>
        <w:rPr>
          <w:rFonts w:ascii="Cambria Math" w:hAnsi="Cambria Math" w:cs="Cambria Math" w:eastAsia="Cambria Math"/>
        </w:rPr>
        <w:t>ρ</w:t>
      </w:r>
      <w:r>
        <w:t xml:space="preserve"> = 0.670, p = 0.012). (D) Drug-drug correlation heatmap (upper triangle: TCGA predictions; lower triangle: GDSC real IC50).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