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PathOmicDRP: Integrating Multi-Omics and Histopathology through Cross-Attention Networks for Cancer Drug Response Prediction</w:t>
      </w:r>
    </w:p>
    <w:p/>
    <w:p>
      <w:r>
        <w:t>[Author names]</w:t>
      </w:r>
    </w:p>
    <w:p>
      <w:r>
        <w:t>[Affiliations]</w:t>
      </w:r>
    </w:p>
    <w:p/>
    <w:p>
      <w:pPr>
        <w:pStyle w:val="Heading1"/>
      </w:pPr>
      <w:r>
        <w:t>Abstract</w:t>
      </w:r>
    </w:p>
    <w:p>
      <w:r>
        <w:t>Accurate prediction of cancer drug response is essential for precision oncology, yet current models typically rely on one or two molecular data types and overlook the rich morphological information encoded in tumor histopathology. Here, we present PathOmicDRP, a multi-modal deep learning framework that integrates genomic (somatic mutations), transcriptomic (RNA-seq), proteomic (reverse-phase protein array), and histopathology (H&amp;E whole-slide images) data through cross-attention fusion for multi-drug sensitivity prediction.</w:t>
      </w:r>
    </w:p>
    <w:p>
      <w:r>
        <w:t>We applied PathOmicDRP to 431 TCGA breast cancer patients with complete four-modal profiles. Histopathology features were extracted from 1,095 diagnostic slides (612 GB) using the UNI pathology foundation model (ViT-Large, pre-trained on &gt;100,000 WSIs) and aggregated via attention-based multiple instance learning. Drug sensitivity for 13 clinically relevant agents was imputed from GDSC cell line pharmacogenomics using ridge regression.</w:t>
      </w:r>
    </w:p>
    <w:p>
      <w:pPr/>
      <w:r>
        <w:t xml:space="preserve">Bootstrap 95% CIs on the clinical AUCs are reported to quantify uncertainty under small outcome-imbalanced subsets. Drug-level analysis revealed a mechanistically coherent split: PathOmicDRP's learned fusion substantially outperformed a fair PCA-256 baseline on DNA-damaging agents (doxorubicin </w:t>
      </w:r>
      <w:r>
        <w:rPr>
          <w:rFonts w:ascii="Cambria Math" w:hAnsi="Cambria Math" w:cs="Cambria Math" w:eastAsia="Cambria Math"/>
        </w:rPr>
        <w:t>Δ</w:t>
      </w:r>
      <w:r>
        <w:t xml:space="preserve">AUC = +0.56, cyclophosphamide </w:t>
      </w:r>
      <w:r>
        <w:rPr>
          <w:rFonts w:ascii="Cambria Math" w:hAnsi="Cambria Math" w:cs="Cambria Math" w:eastAsia="Cambria Math"/>
        </w:rPr>
        <w:t>Δ</w:t>
      </w:r>
      <w:r>
        <w:t>AUC = +0.57), whereas the simpler linear baseline matched or exceeded PathOmicDRP on microtubule-targeting taxanes (</w:t>
      </w:r>
      <w:r>
        <w:rPr>
          <w:rFonts w:ascii="Cambria Math" w:hAnsi="Cambria Math" w:cs="Cambria Math" w:eastAsia="Cambria Math"/>
        </w:rPr>
        <w:t>Δ</w:t>
      </w:r>
      <w:r>
        <w:t xml:space="preserve"> = </w:t>
      </w:r>
      <w:r>
        <w:rPr>
          <w:rFonts w:ascii="Cambria Math" w:hAnsi="Cambria Math" w:cs="Cambria Math" w:eastAsia="Cambria Math"/>
        </w:rPr>
        <w:t>−</w:t>
      </w:r>
      <w:r>
        <w:t xml:space="preserve">0.39 and </w:t>
      </w:r>
      <w:r>
        <w:rPr>
          <w:rFonts w:ascii="Cambria Math" w:hAnsi="Cambria Math" w:cs="Cambria Math" w:eastAsia="Cambria Math"/>
        </w:rPr>
        <w:t>−</w:t>
      </w:r>
      <w:r>
        <w:t>0.48), defining cross-modal multi-factorial response as the regime in which fusion is most valuable.</w:t>
      </w:r>
    </w:p>
    <w:p>
      <w:r>
        <w:t>The model captured biologically meaningful patterns: predicted drug sensitivity stratified patients by RPPA-defined molecular subtypes with significant subtype-specific differences for 9 of 13 drugs (p &lt; 0.05), and drug clustering by predicted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profiles recapitulated known mechanisms of action. Clinical validation against TCGA treatment records showed a promising trend for Docetaxel (AUC = 0.763 for complete response vs. progressive disease, Cohen's d = 0.86, p = 0.068). PathOmicDRP establishes a methodological framework for integrating histopathology with multi-omics data in drug response prediction, demonstrating that pathology foundation models capture complementary information that improves and stabilizes predictions beyond molecular profiling alone.</w:t>
      </w:r>
    </w:p>
    <w:p/>
    <w:p>
      <w:pPr>
        <w:pStyle w:val="Heading1"/>
      </w:pPr>
      <w:r>
        <w:t>Introduction</w:t>
      </w:r>
    </w:p>
    <w:p>
      <w:r>
        <w:t>Precision medicine in oncology seeks to identify optimal therapeutic strategies by leveraging the unique molecular and histological characteristics of individual tumors1,2. Predicting how a specific patient will respond to a given anticancer agent is central to this goal, as it can improve survival outcomes while minimizing unnecessary toxicity3. Over the past decade, large-scale pharmacogenomic resources—including the Genomics of Drug Sensitivity in Cancer (GDSC)4, the Cancer Cell Line Encyclopedia (CCLE)5, and the Cancer Therapeutics Response Portal (CTRPv2)6—have generated quantitative drug sensitivity measurements (IC</w:t>
      </w:r>
      <w:r>
        <w:rPr>
          <w:rFonts w:ascii="Cambria Math" w:hAnsi="Cambria Math" w:cs="Cambria Math" w:eastAsia="Cambria Math"/>
          <w:vertAlign w:val="subscript"/>
        </w:rPr>
        <w:t>5</w:t>
      </w:r>
      <w:r>
        <w:rPr>
          <w:rFonts w:ascii="Cambria Math" w:hAnsi="Cambria Math" w:cs="Cambria Math" w:eastAsia="Cambria Math"/>
          <w:vertAlign w:val="subscript"/>
        </w:rPr>
        <w:t>0</w:t>
      </w:r>
      <w:r>
        <w:t>, AUC) across hundreds of cancer cell lines, providing a rich foundation for computational drug response prediction. In parallel, The Cancer Genome Atlas (TCGA)7 has assembled comprehensive multi-omics profiles—spanning somatic mutations, transcriptomics, proteomics, and digitized histopathology slides—alongside clinical treatment records for thousands of patients, offering an unparalleled opportunity to bridge cell-line-derived drug sensitivity with patient-level clinical outcomes.</w:t>
      </w:r>
    </w:p>
    <w:p>
      <w:r>
        <w:t>Numerous deep learning models have been developed to predict drug sensitivity from molecular profiles of cancer cells. DeepCDR8 employed graph convolutional networks for drug molecular structures combined with multi-omics encoders for gene expression, mutations, and methylation. DrugCell9 introduced a visible neural network whose architecture mirrors the Gene Ontology hierarchy, enabling inherent interpretability. HiDRA10 applied hierarchical attention over biological pathways to capture pathway-level drug response determinants. More recently, transformer-based approaches such as TransCDR11 have achieved state-of-the-art performance by leveraging cross-attention between drug and genomic feature representations. Wang et al.12 demonstrated that integrating five omics layers—including reverse-phase protein array (RPPA) data—through a graph embedding architecture substantially improved prediction accuracy, with RPPA contributing the second-largest predictive signal after mutation data. Despite these advances, the majority of existing models are constrained to cell-line data and rely on transcriptomic features as the dominant or sole input modality13,14. Critically, none of the current frameworks jointly integrates molecular multi-omics with histopathology imaging for drug response prediction, leaving substantial biological information unexploited.</w:t>
      </w:r>
    </w:p>
    <w:p>
      <w:r>
        <w:t>Whole-slide histopathology images (WSIs) of hematoxylin and eosin (H&amp;E)-stained tumor sections encode rich morphological information—including tumor architecture, nuclear pleomorphism, stromal composition, and immune cell infiltration—that reflects the tumor microenvironment (TME) and cannot be captured by molecular profiling alone15. Recent studies in multimodal survival prediction have demonstrated that integrating WSI features with genomic data consistently improves prognostic accuracy by 3–6% over unimodal approaches16–18. PORPOISE16 introduced Kronecker product-based fusion of histology and genomics across 14 cancer types, while SurvPath18 advanced this approach by enabling dense cross-attention interactions between biological pathway tokens and histology patch tokens, achieving state-of-the-art performance. Concurrently, pathology foundation models—such as UNI19 and CONCH20, pre-trained on over 100,000 whole-slide images using self-supervised learning—have replaced ImageNet-pretrained convolutional networks as the standard feature extractors in computational pathology, yielding 3–8% improvements in downstream task performance19,20. However, these advances in multimodal learning and pathology representation have been predominantly applied to survival prediction and tumor subtyping, with their potential for drug response prediction largely unexplored.</w:t>
      </w:r>
    </w:p>
    <w:p>
      <w:r>
        <w:t xml:space="preserve">Protein-level measurements provide a distinct layer of biological information that is not fully captured by transcriptomic profiling. While mRNA abundance correlates only moderately with protein levels (r </w:t>
      </w:r>
      <w:r>
        <w:rPr>
          <w:rFonts w:ascii="Cambria Math" w:hAnsi="Cambria Math" w:cs="Cambria Math" w:eastAsia="Cambria Math"/>
        </w:rPr>
        <w:t>≈</w:t>
      </w:r>
      <w:r>
        <w:t xml:space="preserve"> 0.4–0.6)21, RPPA directly quantifies the expression and phosphorylation states of key signaling proteins (e.g., p-AKT, p-ERK, p-S6), providing a functional readout of pathway activation status that is proximal to drug mechanism of action22. Ali et al.23 showed that proteomic profiles provided complementary predictive signal to other omics layers in a pan-cancer drug sensitivity analysis, and Wang et al.12 confirmed that RPPA features ranked among the top contributors in a multi-omics deep learning model. Nevertheless, proteomic data remains markedly underutilized in the drug response prediction literature13, and no existing framework combines RPPA-based proteomic features with histopathology imaging and genomic/transcriptomic profiles for drug sensitivity prediction.</w:t>
      </w:r>
    </w:p>
    <w:p>
      <w:r>
        <w:t>Here, we present PathOmicDRP (Pathology-Omics Drug Response Predictor), a multimodal deep learning framework that, to the best of our knowledge, is the first to integrate four biological modalities—somatic mutations, pathway-level transcriptomic scores, RPPA proteomic profiles, and H&amp;E whole-slide histopathology features—for cancer drug response prediction. Our framework introduces three key methodological advances. First, we employ the UNI pathology foundation model19 for histopathology feature extraction coupled with attention-based multiple instance learning (ABMIL)24 for slide-level aggregation, replacing outdated ImageNet-pretrained encoders. Second, we adopt a pathway-level tokenization strategy inspired by SurvPath18, organizing transcriptomic and proteomic features into biologically meaningful tokens that enable dense cross-attention interactions with histology patch tokens, thereby capturing spatially-resolved pathway–morphology associations. Third, we implement a dual-source training strategy that leverages GDSC cell-line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data for model training and validates predictions against TCGA breast cancer patient clinical treatment outcomes, bridging the cell-line-to-patient translational gap. Through systematic modality ablation, pathway-level attention analysis, and spatial attention heatmaps, we provide a three-layered interpretability framework that elucidates which molecular features and tissue regions drive drug-specific response predictions. We apply this framework to breast cancer (BRCA)—a cancer type characterized by substantial molecular and morphological heterogeneity—using 1,098 TCGA patients and 51 GDSC breast cancer cell lines across 542 anticancer compounds.</w:t>
      </w:r>
    </w:p>
    <w:p/>
    <w:p>
      <w:pPr>
        <w:pStyle w:val="Heading1"/>
      </w:pPr>
      <w:r>
        <w:t>Methods</w:t>
      </w:r>
    </w:p>
    <w:p>
      <w:pPr>
        <w:pStyle w:val="Heading2"/>
      </w:pPr>
      <w:r>
        <w:t>Data collection and preprocessing</w:t>
      </w:r>
    </w:p>
    <w:p>
      <w:r>
        <w:t>We collected multi-modal molecular profiles and clinical records for breast cancer (BRCA) patients from The Cancer Genome Atlas (TCGA) via the Genomic Data Commons (GDC) API (Data Release 45.0). The cohort comprised 1,098 TCGA-BRCA patients. For each patient, we obtained: (1) somatic mutation data (Masked Somatic Mutation MAF files, Aliquot Ensemble pipeline, n = 992 patients); (2) gene expression profiles (STAR-Counts RNA-seq quantification, n = 1,095 patients); (3) reverse-phase protein array (RPPA) data (n = 490 patients with 464 protein/phosphoprotein measurements); and (4) clinical treatment records including therapeutic agents and treatment outcomes (n = 776 patients with 2,448 treatment records across 65 unique drugs). Drug sensitivity data for cancer cell lines were obtained from the Genomics of Drug Sensitivity in Cancer (GDSC) database (Release 8.5), comprising fitted dose–response curves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and AUC) for 51 breast cancer cell lines across 542 anticancer compounds. H&amp;E-stained whole-slide images (WSIs) were identified via the GDC API (3,112 slides; 2,705 primary tumor slides, ~1,495 GB total) for subsequent histopathology feature extraction.</w:t>
      </w:r>
    </w:p>
    <w:p>
      <w:pPr>
        <w:pStyle w:val="Heading2"/>
      </w:pPr>
      <w:r>
        <w:t>Feature extraction</w:t>
      </w:r>
    </w:p>
    <w:p>
      <w:pPr>
        <w:pStyle w:val="Heading3"/>
      </w:pPr>
      <w:r>
        <w:t>Genomic features</w:t>
      </w:r>
    </w:p>
    <w:p>
      <w:r>
        <w:t xml:space="preserve">From the MAF files, we constructed a binary mutation matrix encoding the presence or absence of nonsynonymous somatic mutations (missense, nonsense, frameshift, splice site, and in-frame indels) for each patient. Genes mutated in fewer than 2% of patients were excluded, yielding 192 recurrently mutated genes. Tumor mutational burden (TMB) was calculated as the total number of somatic mutations per patient. The final genomic feature matrix comprised 967 patients </w:t>
      </w:r>
      <w:r>
        <w:rPr>
          <w:rFonts w:ascii="Cambria Math" w:hAnsi="Cambria Math" w:cs="Cambria Math" w:eastAsia="Cambria Math"/>
        </w:rPr>
        <w:t>×</w:t>
      </w:r>
      <w:r>
        <w:t xml:space="preserve"> 193 features (TMB + 192 binary mutation indicators). The most frequently mutated genes were TP53 (34.2%), PIK3CA (33.9%), TTN (17.3%), CDH1 (13.2%), and GATA3 (12.9%).</w:t>
      </w:r>
    </w:p>
    <w:p>
      <w:pPr>
        <w:pStyle w:val="Heading3"/>
      </w:pPr>
      <w:r>
        <w:t>Transcriptomic features</w:t>
      </w:r>
    </w:p>
    <w:p>
      <w:r>
        <w:t>RNA-seq gene expression quantifications (STAR-Counts, TPM values) for protein-coding genes were extracted from 1,095 patients. Among 19,938 protein-coding genes detected, we selected the top 2,000 genes by expression variance across patients. TPM values were log</w:t>
      </w:r>
      <w:r>
        <w:rPr>
          <w:rFonts w:ascii="Cambria Math" w:hAnsi="Cambria Math" w:cs="Cambria Math" w:eastAsia="Cambria Math"/>
          <w:vertAlign w:val="subscript"/>
        </w:rPr>
        <w:t>1</w:t>
      </w:r>
      <w:r>
        <w:rPr>
          <w:rFonts w:ascii="Cambria Math" w:hAnsi="Cambria Math" w:cs="Cambria Math" w:eastAsia="Cambria Math"/>
          <w:vertAlign w:val="subscript"/>
        </w:rPr>
        <w:t>p</w:t>
      </w:r>
      <w:r>
        <w:t>-transformed (log(TPM + 1)) and standardized (zero mean, unit variance) prior to model input.</w:t>
      </w:r>
    </w:p>
    <w:p>
      <w:pPr>
        <w:pStyle w:val="Heading3"/>
      </w:pPr>
      <w:r>
        <w:t>Proteomic features</w:t>
      </w:r>
    </w:p>
    <w:p>
      <w:r>
        <w:t>RPPA data were available for 490 patients, covering 464 protein and phosphoprotein targets including key signaling nodes (e.g., p-AKT, p-ERK, p-S6, HER2, ER, PR). RPPA expression values, which represent normalized, median-centered log</w:t>
      </w:r>
      <w:r>
        <w:rPr>
          <w:rFonts w:ascii="Cambria Math" w:hAnsi="Cambria Math" w:cs="Cambria Math" w:eastAsia="Cambria Math"/>
          <w:vertAlign w:val="subscript"/>
        </w:rPr>
        <w:t>2</w:t>
      </w:r>
      <w:r>
        <w:t xml:space="preserve"> intensity ratios, were standardized prior to model input. The RPPA panel captures the activation status of major oncogenic pathways (PI3K/AKT, MAPK, Wnt, cell cycle, apoptosis, DNA damage response) and provides a functional proteomic layer complementary to transcriptomic profiling.</w:t>
      </w:r>
    </w:p>
    <w:p>
      <w:pPr>
        <w:pStyle w:val="Heading2"/>
      </w:pPr>
      <w:r>
        <w:t>Drug response imputation via oncoPredict</w:t>
      </w:r>
    </w:p>
    <w:p>
      <w:r>
        <w:t>To obtain continuous drug sensitivity estimates for TCGA patients, we implemented an oncoPredict-style imputation pipeline. Ridge regression models (alpha = 1.0) were trained on GDSC cell line gene expression data (200 cell lines, 500 genes from the GDSC2 training set) to predict ln(IC50) for each drug independently. Models were then applied to TCGA patient RNA-seq profiles (log1p-transformed TPM, standardized to the training distribution) to generate predicted IC50 values. A total of 181 drug models with adequate training data (</w:t>
      </w:r>
      <w:r>
        <w:rPr>
          <w:rFonts w:ascii="Cambria Math" w:hAnsi="Cambria Math" w:cs="Cambria Math" w:eastAsia="Cambria Math"/>
        </w:rPr>
        <w:t>≥</w:t>
      </w:r>
      <w:r>
        <w:t xml:space="preserve">30 cell lines) were fitted, with a median training Pearson correlation coefficient (PCC) of 0.78. Of these, 13 drugs overlapped with therapeutics administered to TCGA-BRCA patients (Cisplatin, Docetaxel, Paclitaxel, Gemcitabine, Tamoxifen, Fulvestrant, Lapatinib, Vinblastine, Cyclophosphamide, Epirubicin, Vincristine, Vinorelbine, and Mitoxantrone), enabling downstream clinical validation. The resulting predicted IC50 matrix (1,095 patients </w:t>
      </w:r>
      <w:r>
        <w:rPr>
          <w:rFonts w:ascii="Cambria Math" w:hAnsi="Cambria Math" w:cs="Cambria Math" w:eastAsia="Cambria Math"/>
        </w:rPr>
        <w:t>×</w:t>
      </w:r>
      <w:r>
        <w:t xml:space="preserve"> 181 drugs) served as the primary target for model training.</w:t>
      </w:r>
    </w:p>
    <w:p>
      <w:pPr>
        <w:pStyle w:val="Heading2"/>
      </w:pPr>
      <w:r>
        <w:t>Histopathology feature extraction</w:t>
      </w:r>
    </w:p>
    <w:p>
      <w:r>
        <w:t>Whole-slide images (WSI) in SVS format were downloaded from the GDC Data Portal for all 431 patients in the three-modal intersection. A total of 1,095 diagnostic slides (H&amp;E stained) were obtained, comprising an average of 2.5 slides per patient (612 GB total). Tissue regions were identified using a two-stage approach: (1) thumbnail-based pre-screening at 512</w:t>
      </w:r>
      <w:r>
        <w:rPr>
          <w:rFonts w:ascii="Cambria Math" w:hAnsi="Cambria Math" w:cs="Cambria Math" w:eastAsia="Cambria Math"/>
        </w:rPr>
        <w:t>×</w:t>
      </w:r>
      <w:r>
        <w:t>512 resolution to eliminate background regions, followed by (2) pixel-level tissue detection requiring &gt;70% tissue content (mean RGB intensity &lt; 220). Patches of 256</w:t>
      </w:r>
      <w:r>
        <w:rPr>
          <w:rFonts w:ascii="Cambria Math" w:hAnsi="Cambria Math" w:cs="Cambria Math" w:eastAsia="Cambria Math"/>
        </w:rPr>
        <w:t>×</w:t>
      </w:r>
      <w:r>
        <w:t>256 pixels at 20</w:t>
      </w:r>
      <w:r>
        <w:rPr>
          <w:rFonts w:ascii="Cambria Math" w:hAnsi="Cambria Math" w:cs="Cambria Math" w:eastAsia="Cambria Math"/>
        </w:rPr>
        <w:t>×</w:t>
      </w:r>
      <w:r>
        <w:t xml:space="preserve"> magnification were extracted from each slide by reading level-1 pyramid images (128</w:t>
      </w:r>
      <w:r>
        <w:rPr>
          <w:rFonts w:ascii="Cambria Math" w:hAnsi="Cambria Math" w:cs="Cambria Math" w:eastAsia="Cambria Math"/>
        </w:rPr>
        <w:t>×</w:t>
      </w:r>
      <w:r>
        <w:t>128 at ~10</w:t>
      </w:r>
      <w:r>
        <w:rPr>
          <w:rFonts w:ascii="Cambria Math" w:hAnsi="Cambria Math" w:cs="Cambria Math" w:eastAsia="Cambria Math"/>
        </w:rPr>
        <w:t>×</w:t>
      </w:r>
      <w:r>
        <w:t xml:space="preserve"> native resolution) and resizing to the target dimensions. An average of ~10,990 tissue patches were extracted per patient.</w:t>
      </w:r>
    </w:p>
    <w:p>
      <w:r>
        <w:t>Patch-level features were extracted using the UNI pathology foundation model (Chen et al., Nature Medicine 2024), a Vision Transformer (ViT-Large/16) pre-trained on &gt;100,000 diagnostic WSIs via DINOv2 self-supervised learning. Each 256</w:t>
      </w:r>
      <w:r>
        <w:rPr>
          <w:rFonts w:ascii="Cambria Math" w:hAnsi="Cambria Math" w:cs="Cambria Math" w:eastAsia="Cambria Math"/>
        </w:rPr>
        <w:t>×</w:t>
      </w:r>
      <w:r>
        <w:t>256 patch was resized to 224</w:t>
      </w:r>
      <w:r>
        <w:rPr>
          <w:rFonts w:ascii="Cambria Math" w:hAnsi="Cambria Math" w:cs="Cambria Math" w:eastAsia="Cambria Math"/>
        </w:rPr>
        <w:t>×</w:t>
      </w:r>
      <w:r>
        <w:t>224, normalized with ImageNet statistics (mean=[0.485, 0.456, 0.406], std=[0.229, 0.224, 0.225]), and passed through UNI to obtain a 1,024-dimensional feature vector. Features from all slides of the same patient were concatenated, yielding per-patient feature matrices of shape (Npatches, 1024). Feature extraction was performed on an NVIDIA RTX 5090 GPU with batch size 512 and 8 parallel CPU workers for patch extraction, completing in 4.1 hours.</w:t>
      </w:r>
    </w:p>
    <w:p>
      <w:pPr>
        <w:pStyle w:val="Heading2"/>
      </w:pPr>
      <w:r>
        <w:t>PathOmicDRP model architecture</w:t>
      </w:r>
    </w:p>
    <w:p>
      <w:r>
        <w:t>PathOmicDRP is a multi-branch deep neural network that integrates genomic, transcriptomic, and proteomic features through a cross-attention fusion architecture (Fig. 1). Each modality is processed by a dedicated encoder that projects input features into a shared hidden space (d = 256) and produces a set of learnable tokens.</w:t>
      </w:r>
    </w:p>
    <w:p>
      <w:r>
        <w:t>The Genomic Encoder consists of a two-layer MLP that projects the 193-dimensional mutation feature vector into 8 genomic tokens via a learned soft-assignment mechanism. The Transcriptomic Encoder (Pathway Tokenizer) processes 2,000 gene expression values, producing one token per feature. The Proteomic Encoder similarly projects the 464-dimensional RPPA vector into 16 proteomic tokens through a two-layer MLP with soft-assignment.</w:t>
      </w:r>
    </w:p>
    <w:p>
      <w:r>
        <w:t>Omics tokens from all three branches are concatenated to form the full omics token sequence. A Cross-Attention Fusion module, consisting of two stacked bidirectional cross-attention layers (8 attention heads each), enables interactions between omics tokens and histopathology tokens (when available). Each cross-attention layer includes layer normalization and a feed-forward network (FFN) with GELU activation and 4</w:t>
      </w:r>
      <w:r>
        <w:rPr>
          <w:rFonts w:ascii="Cambria Math" w:hAnsi="Cambria Math" w:cs="Cambria Math" w:eastAsia="Cambria Math"/>
        </w:rPr>
        <w:t>×</w:t>
      </w:r>
      <w:r>
        <w:t xml:space="preserve"> expansion ratio. After cross-attention, a self-attention transformer encoder layer processes the concatenated token sequence to capture within-modality interactions.</w:t>
      </w:r>
    </w:p>
    <w:p>
      <w:r>
        <w:t>The Prediction Head applies attention-weighted pooling over the fused token sequence to produce a single global representation vector, which is then passed through a two-layer MLP to predict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for multiple drugs simultaneously. The model contains ~4.9M trainable parameters (with histopathology branch) or ~4.5M parameters (omics-only mode).</w:t>
      </w:r>
    </w:p>
    <w:p>
      <w:pPr/>
      <w:r>
        <w:t xml:space="preserve">for each modality m </w:t>
      </w:r>
      <w:r>
        <w:rPr>
          <w:rFonts w:ascii="Cambria Math" w:hAnsi="Cambria Math" w:cs="Cambria Math" w:eastAsia="Cambria Math"/>
        </w:rPr>
        <w:t>∈</w:t>
      </w:r>
      <w:r>
        <w:t xml:space="preserve"> {genomic, transcriptomic, proteomic, histology}. This regularization ensures the model does not become overly dependent on any single modality.</w:t>
      </w:r>
    </w:p>
    <w:p>
      <w:pPr/>
      <w:r>
        <w:t>T</w:t>
      </w:r>
      <w:r>
        <w:rPr>
          <w:rFonts w:ascii="Cambria Math" w:hAnsi="Cambria Math" w:cs="Cambria Math" w:eastAsia="Cambria Math"/>
          <w:vertAlign w:val="subscript"/>
        </w:rPr>
        <w:t>m</w:t>
      </w:r>
      <w:r>
        <w:t xml:space="preserve"> = { 0, with probability p</w:t>
      </w:r>
      <w:r>
        <w:rPr>
          <w:rFonts w:ascii="Cambria Math" w:hAnsi="Cambria Math" w:cs="Cambria Math" w:eastAsia="Cambria Math"/>
          <w:vertAlign w:val="subscript"/>
        </w:rPr>
        <w:t>drop</w:t>
      </w:r>
      <w:r>
        <w:t>; T</w:t>
      </w:r>
      <w:r>
        <w:rPr>
          <w:rFonts w:ascii="Cambria Math" w:hAnsi="Cambria Math" w:cs="Cambria Math" w:eastAsia="Cambria Math"/>
          <w:vertAlign w:val="subscript"/>
        </w:rPr>
        <w:t>m</w:t>
      </w:r>
      <w:r>
        <w:t>, otherwise }</w:t>
      </w:r>
    </w:p>
    <w:p>
      <w:pPr/>
      <w:r>
        <w:t>During training, modality dropout is applied independently to each token group with probability p</w:t>
      </w:r>
      <w:r>
        <w:rPr>
          <w:rFonts w:ascii="Cambria Math" w:hAnsi="Cambria Math" w:cs="Cambria Math" w:eastAsia="Cambria Math"/>
          <w:vertAlign w:val="subscript"/>
        </w:rPr>
        <w:t>drop</w:t>
      </w:r>
      <w:r>
        <w:t xml:space="preserve"> = 0.1 to improve robustness to missing modalities:</w:t>
      </w:r>
    </w:p>
    <w:p>
      <w:pPr>
        <w:pStyle w:val="Heading3"/>
      </w:pPr>
      <w:r>
        <w:t>Modality dropout</w:t>
      </w:r>
    </w:p>
    <w:p>
      <w:pPr/>
      <w:r>
        <w:t>This follows the oncoPredict framework, where the transferability assumption is that gene expression-drug sensitivity relationships learned in cell lines generalize to patient tumors.</w:t>
      </w:r>
    </w:p>
    <w:p>
      <w:pPr/>
      <w:r>
        <w:t xml:space="preserve">ŷdpatient = Xpatient </w:t>
      </w:r>
      <w:r>
        <w:rPr>
          <w:rFonts w:ascii="Cambria Math" w:hAnsi="Cambria Math" w:cs="Cambria Math" w:eastAsia="Cambria Math"/>
        </w:rPr>
        <w:t>·</w:t>
      </w:r>
      <w:r>
        <w:t xml:space="preserve"> </w:t>
      </w:r>
      <w:r>
        <w:rPr>
          <w:rFonts w:ascii="Cambria Math" w:hAnsi="Cambria Math" w:cs="Cambria Math" w:eastAsia="Cambria Math"/>
        </w:rPr>
        <w:t>β</w:t>
      </w:r>
      <w:r>
        <w:t xml:space="preserve">d + </w:t>
      </w:r>
      <w:r>
        <w:rPr>
          <w:rFonts w:ascii="Cambria Math" w:hAnsi="Cambria Math" w:cs="Cambria Math" w:eastAsia="Cambria Math"/>
        </w:rPr>
        <w:t>β</w:t>
      </w:r>
      <w:r>
        <w:t>0</w:t>
      </w:r>
    </w:p>
    <w:p>
      <w:pPr/>
      <w:r>
        <w:t xml:space="preserve">with </w:t>
      </w:r>
      <w:r>
        <w:rPr>
          <w:rFonts w:ascii="Cambria Math" w:hAnsi="Cambria Math" w:cs="Cambria Math" w:eastAsia="Cambria Math"/>
        </w:rPr>
        <w:t>λ</w:t>
      </w:r>
      <w:r>
        <w:t xml:space="preserve"> selected by cross-validation on the cell line data. The trained model is then applied to TCGA patient expression profiles to obtain imputed IC50 values:</w:t>
      </w:r>
    </w:p>
    <w:p>
      <w:pPr/>
      <w:r>
        <w:t xml:space="preserve">ŷdcell = Xcell </w:t>
      </w:r>
      <w:r>
        <w:rPr>
          <w:rFonts w:ascii="Cambria Math" w:hAnsi="Cambria Math" w:cs="Cambria Math" w:eastAsia="Cambria Math"/>
        </w:rPr>
        <w:t>·</w:t>
      </w:r>
      <w:r>
        <w:t xml:space="preserve"> </w:t>
      </w:r>
      <w:r>
        <w:rPr>
          <w:rFonts w:ascii="Cambria Math" w:hAnsi="Cambria Math" w:cs="Cambria Math" w:eastAsia="Cambria Math"/>
        </w:rPr>
        <w:t>β</w:t>
      </w:r>
      <w:r>
        <w:t xml:space="preserve">d + </w:t>
      </w:r>
      <w:r>
        <w:rPr>
          <w:rFonts w:ascii="Cambria Math" w:hAnsi="Cambria Math" w:cs="Cambria Math" w:eastAsia="Cambria Math"/>
        </w:rPr>
        <w:t>β</w:t>
      </w:r>
      <w:r>
        <w:t xml:space="preserve">0, where </w:t>
      </w:r>
      <w:r>
        <w:rPr>
          <w:rFonts w:ascii="Cambria Math" w:hAnsi="Cambria Math" w:cs="Cambria Math" w:eastAsia="Cambria Math"/>
        </w:rPr>
        <w:t>β</w:t>
      </w:r>
      <w:r>
        <w:t>d = argmin</w:t>
      </w:r>
      <w:r>
        <w:rPr>
          <w:rFonts w:ascii="Cambria Math" w:hAnsi="Cambria Math" w:cs="Cambria Math" w:eastAsia="Cambria Math"/>
        </w:rPr>
        <w:t>β</w:t>
      </w:r>
      <w:r>
        <w:t xml:space="preserve"> ||Xcell </w:t>
      </w:r>
      <w:r>
        <w:rPr>
          <w:rFonts w:ascii="Cambria Math" w:hAnsi="Cambria Math" w:cs="Cambria Math" w:eastAsia="Cambria Math"/>
        </w:rPr>
        <w:t>·</w:t>
      </w:r>
      <w:r>
        <w:t xml:space="preserve"> </w:t>
      </w:r>
      <w:r>
        <w:rPr>
          <w:rFonts w:ascii="Cambria Math" w:hAnsi="Cambria Math" w:cs="Cambria Math" w:eastAsia="Cambria Math"/>
        </w:rPr>
        <w:t>β</w:t>
      </w:r>
      <w:r>
        <w:t xml:space="preserve"> - ydcell||22 + </w:t>
      </w:r>
      <w:r>
        <w:rPr>
          <w:rFonts w:ascii="Cambria Math" w:hAnsi="Cambria Math" w:cs="Cambria Math" w:eastAsia="Cambria Math"/>
        </w:rPr>
        <w:t>λ</w:t>
      </w:r>
      <w:r>
        <w:t>||</w:t>
      </w:r>
      <w:r>
        <w:rPr>
          <w:rFonts w:ascii="Cambria Math" w:hAnsi="Cambria Math" w:cs="Cambria Math" w:eastAsia="Cambria Math"/>
        </w:rPr>
        <w:t>β</w:t>
      </w:r>
      <w:r>
        <w:t>||22</w:t>
      </w:r>
    </w:p>
    <w:p>
      <w:pPr/>
      <w:r>
        <w:t>For each drug d in the GDSC database, a Ridge regression model is trained on breast cancer cell line expression data:</w:t>
      </w:r>
    </w:p>
    <w:p>
      <w:pPr>
        <w:pStyle w:val="Heading3"/>
      </w:pPr>
      <w:r>
        <w:t>Drug response imputation</w:t>
      </w:r>
    </w:p>
    <w:p>
      <w:pPr/>
      <w:r>
        <w:t xml:space="preserve">The omics token sequence is formed by concatenation: Tomics = [t1gen; ...; tKgengen; t1trans; ...; tNtranstrans; t1prot; ...; tKprotprot] </w:t>
      </w:r>
      <w:r>
        <w:rPr>
          <w:rFonts w:ascii="Cambria Math" w:hAnsi="Cambria Math" w:cs="Cambria Math" w:eastAsia="Cambria Math"/>
        </w:rPr>
        <w:t>∈</w:t>
      </w:r>
      <w:r>
        <w:t xml:space="preserve"> </w:t>
      </w:r>
      <w:r>
        <w:rPr>
          <w:rFonts w:ascii="Cambria Math" w:hAnsi="Cambria Math" w:cs="Cambria Math" w:eastAsia="Cambria Math"/>
        </w:rPr>
        <w:t>ℝ</w:t>
      </w:r>
      <w:r>
        <w:t xml:space="preserve">(Kgen + Ntrans + Kprot) </w:t>
      </w:r>
      <w:r>
        <w:rPr>
          <w:rFonts w:ascii="Cambria Math" w:hAnsi="Cambria Math" w:cs="Cambria Math" w:eastAsia="Cambria Math"/>
        </w:rPr>
        <w:t>×</w:t>
      </w:r>
      <w:r>
        <w:t xml:space="preserve"> d, where d = 256.</w:t>
      </w:r>
    </w:p>
    <w:p>
      <w:pPr/>
      <w:r>
        <w:t xml:space="preserve">tjtrans = LayerNorm(MLPtrans(xtrans,j)) </w:t>
      </w:r>
      <w:r>
        <w:rPr>
          <w:rFonts w:ascii="Cambria Math" w:hAnsi="Cambria Math" w:cs="Cambria Math" w:eastAsia="Cambria Math"/>
        </w:rPr>
        <w:t>∈</w:t>
      </w:r>
      <w:r>
        <w:t xml:space="preserve"> </w:t>
      </w:r>
      <w:r>
        <w:rPr>
          <w:rFonts w:ascii="Cambria Math" w:hAnsi="Cambria Math" w:cs="Cambria Math" w:eastAsia="Cambria Math"/>
        </w:rPr>
        <w:t>ℝ</w:t>
      </w:r>
      <w:r>
        <w:t>d, for j = 1, ..., Ntrans</w:t>
      </w:r>
    </w:p>
    <w:p>
      <w:pPr/>
      <w:r>
        <w:t xml:space="preserve">where Kgen = 8. The proteomic encoder follows an identical architecture with Kprot = 16 tokens and an expanded intermediate dimension (2d). For transcriptomic features xtrans </w:t>
      </w:r>
      <w:r>
        <w:rPr>
          <w:rFonts w:ascii="Cambria Math" w:hAnsi="Cambria Math" w:cs="Cambria Math" w:eastAsia="Cambria Math"/>
        </w:rPr>
        <w:t>∈</w:t>
      </w:r>
      <w:r>
        <w:t xml:space="preserve"> </w:t>
      </w:r>
      <w:r>
        <w:rPr>
          <w:rFonts w:ascii="Cambria Math" w:hAnsi="Cambria Math" w:cs="Cambria Math" w:eastAsia="Cambria Math"/>
        </w:rPr>
        <w:t>ℝ</w:t>
      </w:r>
      <w:r>
        <w:t>2000 (gene expression values), each gene is independently projected and layer-normalized to produce Ntrans = 2,000 pathway tokens:</w:t>
      </w:r>
    </w:p>
    <w:p>
      <w:pPr/>
      <w:r>
        <w:t xml:space="preserve">tkgen = wgen,k </w:t>
      </w:r>
      <w:r>
        <w:rPr>
          <w:rFonts w:ascii="Cambria Math" w:hAnsi="Cambria Math" w:cs="Cambria Math" w:eastAsia="Cambria Math"/>
        </w:rPr>
        <w:t>·</w:t>
      </w:r>
      <w:r>
        <w:t xml:space="preserve"> hgen </w:t>
      </w:r>
      <w:r>
        <w:rPr>
          <w:rFonts w:ascii="Cambria Math" w:hAnsi="Cambria Math" w:cs="Cambria Math" w:eastAsia="Cambria Math"/>
        </w:rPr>
        <w:t>∈</w:t>
      </w:r>
      <w:r>
        <w:t xml:space="preserve"> </w:t>
      </w:r>
      <w:r>
        <w:rPr>
          <w:rFonts w:ascii="Cambria Math" w:hAnsi="Cambria Math" w:cs="Cambria Math" w:eastAsia="Cambria Math"/>
        </w:rPr>
        <w:t>ℝ</w:t>
      </w:r>
      <w:r>
        <w:t>d, for k = 1, ..., Kgen</w:t>
      </w:r>
    </w:p>
    <w:p>
      <w:pPr/>
      <w:r>
        <w:t xml:space="preserve">wgen = softmax(Wtoken </w:t>
      </w:r>
      <w:r>
        <w:rPr>
          <w:rFonts w:ascii="Cambria Math" w:hAnsi="Cambria Math" w:cs="Cambria Math" w:eastAsia="Cambria Math"/>
        </w:rPr>
        <w:t>·</w:t>
      </w:r>
      <w:r>
        <w:t xml:space="preserve"> hgen) </w:t>
      </w:r>
      <w:r>
        <w:rPr>
          <w:rFonts w:ascii="Cambria Math" w:hAnsi="Cambria Math" w:cs="Cambria Math" w:eastAsia="Cambria Math"/>
        </w:rPr>
        <w:t>∈</w:t>
      </w:r>
      <w:r>
        <w:t xml:space="preserve"> </w:t>
      </w:r>
      <w:r>
        <w:rPr>
          <w:rFonts w:ascii="Cambria Math" w:hAnsi="Cambria Math" w:cs="Cambria Math" w:eastAsia="Cambria Math"/>
        </w:rPr>
        <w:t>ℝ</w:t>
      </w:r>
      <w:r>
        <w:t>Kgen</w:t>
      </w:r>
    </w:p>
    <w:p>
      <w:pPr/>
      <w:r>
        <w:t xml:space="preserve">hgen = MLPgen(xgen) = GELU(W2 </w:t>
      </w:r>
      <w:r>
        <w:rPr>
          <w:rFonts w:ascii="Cambria Math" w:hAnsi="Cambria Math" w:cs="Cambria Math" w:eastAsia="Cambria Math"/>
        </w:rPr>
        <w:t>·</w:t>
      </w:r>
      <w:r>
        <w:t xml:space="preserve"> GELU(W1 </w:t>
      </w:r>
      <w:r>
        <w:rPr>
          <w:rFonts w:ascii="Cambria Math" w:hAnsi="Cambria Math" w:cs="Cambria Math" w:eastAsia="Cambria Math"/>
        </w:rPr>
        <w:t>·</w:t>
      </w:r>
      <w:r>
        <w:t xml:space="preserve"> xgen + b1) + b2) </w:t>
      </w:r>
      <w:r>
        <w:rPr>
          <w:rFonts w:ascii="Cambria Math" w:hAnsi="Cambria Math" w:cs="Cambria Math" w:eastAsia="Cambria Math"/>
        </w:rPr>
        <w:t>∈</w:t>
      </w:r>
      <w:r>
        <w:t xml:space="preserve"> </w:t>
      </w:r>
      <w:r>
        <w:rPr>
          <w:rFonts w:ascii="Cambria Math" w:hAnsi="Cambria Math" w:cs="Cambria Math" w:eastAsia="Cambria Math"/>
        </w:rPr>
        <w:t>ℝ</w:t>
      </w:r>
      <w:r>
        <w:t>d</w:t>
      </w:r>
    </w:p>
    <w:p>
      <w:pPr/>
      <w:r>
        <w:t xml:space="preserve">Each omics modality is encoded into a set of tokens through learned decomposition. For genomic features xgen </w:t>
      </w:r>
      <w:r>
        <w:rPr>
          <w:rFonts w:ascii="Cambria Math" w:hAnsi="Cambria Math" w:cs="Cambria Math" w:eastAsia="Cambria Math"/>
        </w:rPr>
        <w:t>∈</w:t>
      </w:r>
      <w:r>
        <w:t xml:space="preserve"> </w:t>
      </w:r>
      <w:r>
        <w:rPr>
          <w:rFonts w:ascii="Cambria Math" w:hAnsi="Cambria Math" w:cs="Cambria Math" w:eastAsia="Cambria Math"/>
        </w:rPr>
        <w:t>ℝ</w:t>
      </w:r>
      <w:r>
        <w:t>193 (binary mutations + TMB):</w:t>
      </w:r>
    </w:p>
    <w:p>
      <w:pPr>
        <w:pStyle w:val="Heading3"/>
      </w:pPr>
      <w:r>
        <w:t>Modality-specific tokenization</w:t>
      </w:r>
    </w:p>
    <w:p>
      <w:pPr/>
      <w:r>
        <w:t xml:space="preserve">tkhisto = </w:t>
      </w:r>
      <w:r>
        <w:rPr>
          <w:rFonts w:ascii="Cambria Math" w:hAnsi="Cambria Math" w:cs="Cambria Math" w:eastAsia="Cambria Math"/>
        </w:rPr>
        <w:t>Σ</w:t>
      </w:r>
      <w:r>
        <w:t xml:space="preserve">i ᾱk,i </w:t>
      </w:r>
      <w:r>
        <w:rPr>
          <w:rFonts w:ascii="Cambria Math" w:hAnsi="Cambria Math" w:cs="Cambria Math" w:eastAsia="Cambria Math"/>
        </w:rPr>
        <w:t>·</w:t>
      </w:r>
      <w:r>
        <w:t xml:space="preserve"> hi </w:t>
      </w:r>
      <w:r>
        <w:rPr>
          <w:rFonts w:ascii="Cambria Math" w:hAnsi="Cambria Math" w:cs="Cambria Math" w:eastAsia="Cambria Math"/>
        </w:rPr>
        <w:t>∈</w:t>
      </w:r>
      <w:r>
        <w:t xml:space="preserve"> </w:t>
      </w:r>
      <w:r>
        <w:rPr>
          <w:rFonts w:ascii="Cambria Math" w:hAnsi="Cambria Math" w:cs="Cambria Math" w:eastAsia="Cambria Math"/>
        </w:rPr>
        <w:t>ℝ</w:t>
      </w:r>
      <w:r>
        <w:t>d, for k = 1, ..., K</w:t>
      </w:r>
    </w:p>
    <w:p>
      <w:pPr/>
      <w:r>
        <w:t>The K slide-level tokens are obtained by weighted aggregation:</w:t>
      </w:r>
    </w:p>
    <w:p>
      <w:pPr/>
      <w:r>
        <w:t xml:space="preserve">ᾱk,i = exp(ak,i) / </w:t>
      </w:r>
      <w:r>
        <w:rPr>
          <w:rFonts w:ascii="Cambria Math" w:hAnsi="Cambria Math" w:cs="Cambria Math" w:eastAsia="Cambria Math"/>
        </w:rPr>
        <w:t>Σ</w:t>
      </w:r>
      <w:r>
        <w:t>j exp(ak,j)</w:t>
      </w:r>
    </w:p>
    <w:p>
      <w:pPr/>
      <w:r>
        <w:t xml:space="preserve">where V, U </w:t>
      </w:r>
      <w:r>
        <w:rPr>
          <w:rFonts w:ascii="Cambria Math" w:hAnsi="Cambria Math" w:cs="Cambria Math" w:eastAsia="Cambria Math"/>
        </w:rPr>
        <w:t>∈</w:t>
      </w:r>
      <w:r>
        <w:t xml:space="preserve"> </w:t>
      </w:r>
      <w:r>
        <w:rPr>
          <w:rFonts w:ascii="Cambria Math" w:hAnsi="Cambria Math" w:cs="Cambria Math" w:eastAsia="Cambria Math"/>
        </w:rPr>
        <w:t>ℝ</w:t>
      </w:r>
      <w:r>
        <w:t xml:space="preserve">(d/2) </w:t>
      </w:r>
      <w:r>
        <w:rPr>
          <w:rFonts w:ascii="Cambria Math" w:hAnsi="Cambria Math" w:cs="Cambria Math" w:eastAsia="Cambria Math"/>
        </w:rPr>
        <w:t>×</w:t>
      </w:r>
      <w:r>
        <w:t xml:space="preserve"> d, Wattn </w:t>
      </w:r>
      <w:r>
        <w:rPr>
          <w:rFonts w:ascii="Cambria Math" w:hAnsi="Cambria Math" w:cs="Cambria Math" w:eastAsia="Cambria Math"/>
        </w:rPr>
        <w:t>∈</w:t>
      </w:r>
      <w:r>
        <w:t xml:space="preserve"> </w:t>
      </w:r>
      <w:r>
        <w:rPr>
          <w:rFonts w:ascii="Cambria Math" w:hAnsi="Cambria Math" w:cs="Cambria Math" w:eastAsia="Cambria Math"/>
        </w:rPr>
        <w:t>ℝ</w:t>
      </w:r>
      <w:r>
        <w:t xml:space="preserve">K </w:t>
      </w:r>
      <w:r>
        <w:rPr>
          <w:rFonts w:ascii="Cambria Math" w:hAnsi="Cambria Math" w:cs="Cambria Math" w:eastAsia="Cambria Math"/>
        </w:rPr>
        <w:t>×</w:t>
      </w:r>
      <w:r>
        <w:t xml:space="preserve"> (d/2), tanh and </w:t>
      </w:r>
      <w:r>
        <w:rPr>
          <w:rFonts w:ascii="Cambria Math" w:hAnsi="Cambria Math" w:cs="Cambria Math" w:eastAsia="Cambria Math"/>
        </w:rPr>
        <w:t>σ</w:t>
      </w:r>
      <w:r>
        <w:t xml:space="preserve"> denote the hyperbolic tangent and sigmoid activation functions respectively, and </w:t>
      </w:r>
      <w:r>
        <w:rPr>
          <w:rFonts w:ascii="Cambria Math" w:hAnsi="Cambria Math" w:cs="Cambria Math" w:eastAsia="Cambria Math"/>
        </w:rPr>
        <w:t>⊙</w:t>
      </w:r>
      <w:r>
        <w:t xml:space="preserve"> denotes element-wise multiplication. The attention coefficients are normalized via softmax over patches for each of K = 16 tokens:</w:t>
      </w:r>
    </w:p>
    <w:p>
      <w:pPr/>
      <w:r>
        <w:t xml:space="preserve">ai = Wattn </w:t>
      </w:r>
      <w:r>
        <w:rPr>
          <w:rFonts w:ascii="Cambria Math" w:hAnsi="Cambria Math" w:cs="Cambria Math" w:eastAsia="Cambria Math"/>
        </w:rPr>
        <w:t>·</w:t>
      </w:r>
      <w:r>
        <w:t xml:space="preserve"> (tanh(V </w:t>
      </w:r>
      <w:r>
        <w:rPr>
          <w:rFonts w:ascii="Cambria Math" w:hAnsi="Cambria Math" w:cs="Cambria Math" w:eastAsia="Cambria Math"/>
        </w:rPr>
        <w:t>·</w:t>
      </w:r>
      <w:r>
        <w:t xml:space="preserve"> hi) </w:t>
      </w:r>
      <w:r>
        <w:rPr>
          <w:rFonts w:ascii="Cambria Math" w:hAnsi="Cambria Math" w:cs="Cambria Math" w:eastAsia="Cambria Math"/>
        </w:rPr>
        <w:t>⊙</w:t>
      </w:r>
      <w:r>
        <w:t xml:space="preserve"> </w:t>
      </w:r>
      <w:r>
        <w:rPr>
          <w:rFonts w:ascii="Cambria Math" w:hAnsi="Cambria Math" w:cs="Cambria Math" w:eastAsia="Cambria Math"/>
        </w:rPr>
        <w:t>σ</w:t>
      </w:r>
      <w:r>
        <w:t xml:space="preserve">(U </w:t>
      </w:r>
      <w:r>
        <w:rPr>
          <w:rFonts w:ascii="Cambria Math" w:hAnsi="Cambria Math" w:cs="Cambria Math" w:eastAsia="Cambria Math"/>
        </w:rPr>
        <w:t>·</w:t>
      </w:r>
      <w:r>
        <w:t xml:space="preserve"> hi)) </w:t>
      </w:r>
      <w:r>
        <w:rPr>
          <w:rFonts w:ascii="Cambria Math" w:hAnsi="Cambria Math" w:cs="Cambria Math" w:eastAsia="Cambria Math"/>
        </w:rPr>
        <w:t>∈</w:t>
      </w:r>
      <w:r>
        <w:t xml:space="preserve"> </w:t>
      </w:r>
      <w:r>
        <w:rPr>
          <w:rFonts w:ascii="Cambria Math" w:hAnsi="Cambria Math" w:cs="Cambria Math" w:eastAsia="Cambria Math"/>
        </w:rPr>
        <w:t>ℝ</w:t>
      </w:r>
      <w:r>
        <w:t>K</w:t>
      </w:r>
    </w:p>
    <w:p>
      <w:pPr/>
      <w:r>
        <w:t>Gated attention weights are computed as:</w:t>
      </w:r>
    </w:p>
    <w:p>
      <w:pPr/>
      <w:r>
        <w:t xml:space="preserve">hi = GELU(Wproj </w:t>
      </w:r>
      <w:r>
        <w:rPr>
          <w:rFonts w:ascii="Cambria Math" w:hAnsi="Cambria Math" w:cs="Cambria Math" w:eastAsia="Cambria Math"/>
        </w:rPr>
        <w:t>·</w:t>
      </w:r>
      <w:r>
        <w:t xml:space="preserve"> pi + bproj) </w:t>
      </w:r>
      <w:r>
        <w:rPr>
          <w:rFonts w:ascii="Cambria Math" w:hAnsi="Cambria Math" w:cs="Cambria Math" w:eastAsia="Cambria Math"/>
        </w:rPr>
        <w:t>∈</w:t>
      </w:r>
      <w:r>
        <w:t xml:space="preserve"> </w:t>
      </w:r>
      <w:r>
        <w:rPr>
          <w:rFonts w:ascii="Cambria Math" w:hAnsi="Cambria Math" w:cs="Cambria Math" w:eastAsia="Cambria Math"/>
        </w:rPr>
        <w:t>ℝ</w:t>
      </w:r>
      <w:r>
        <w:t>d</w:t>
      </w:r>
    </w:p>
    <w:p>
      <w:pPr/>
      <w:r>
        <w:t xml:space="preserve">Given N patch features {p1, ..., pN} </w:t>
      </w:r>
      <w:r>
        <w:rPr>
          <w:rFonts w:ascii="Cambria Math" w:hAnsi="Cambria Math" w:cs="Cambria Math" w:eastAsia="Cambria Math"/>
        </w:rPr>
        <w:t>∈</w:t>
      </w:r>
      <w:r>
        <w:t xml:space="preserve"> </w:t>
      </w:r>
      <w:r>
        <w:rPr>
          <w:rFonts w:ascii="Cambria Math" w:hAnsi="Cambria Math" w:cs="Cambria Math" w:eastAsia="Cambria Math"/>
        </w:rPr>
        <w:t>ℝ</w:t>
      </w:r>
      <w:r>
        <w:t>1024 extracted by UNI, the ABMIL module first projects each patch to a hidden representation:</w:t>
      </w:r>
    </w:p>
    <w:p>
      <w:pPr>
        <w:pStyle w:val="Heading3"/>
      </w:pPr>
      <w:r>
        <w:t>Histopathology aggregation (ABMIL)</w:t>
      </w:r>
    </w:p>
    <w:p>
      <w:pPr/>
      <w:r>
        <w:t xml:space="preserve">Zfused = SelfAttn([Tomics(L); Thisto(L)]) </w:t>
      </w:r>
      <w:r>
        <w:rPr>
          <w:rFonts w:ascii="Cambria Math" w:hAnsi="Cambria Math" w:cs="Cambria Math" w:eastAsia="Cambria Math"/>
        </w:rPr>
        <w:t>∈</w:t>
      </w:r>
      <w:r>
        <w:t xml:space="preserve"> </w:t>
      </w:r>
      <w:r>
        <w:rPr>
          <w:rFonts w:ascii="Cambria Math" w:hAnsi="Cambria Math" w:cs="Cambria Math" w:eastAsia="Cambria Math"/>
        </w:rPr>
        <w:t>ℝ</w:t>
      </w:r>
      <w:r>
        <w:t xml:space="preserve">(Nomics + Nhisto) </w:t>
      </w:r>
      <w:r>
        <w:rPr>
          <w:rFonts w:ascii="Cambria Math" w:hAnsi="Cambria Math" w:cs="Cambria Math" w:eastAsia="Cambria Math"/>
        </w:rPr>
        <w:t>×</w:t>
      </w:r>
      <w:r>
        <w:t xml:space="preserve"> d</w:t>
      </w:r>
    </w:p>
    <w:p>
      <w:pPr/>
      <w:r>
        <w:t>where MHA denotes multi-head attention with H = 8 heads and FFN is a two-layer feed-forward network with GELU activation and expansion ratio 4. After L layers, all tokens are concatenated and processed by a self-attention layer:</w:t>
      </w:r>
    </w:p>
    <w:p>
      <w:pPr/>
      <w:r>
        <w:t>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 = LayerNorm(T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 + FFN(T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w:t>
      </w:r>
    </w:p>
    <w:p>
      <w:pPr/>
      <w:r>
        <w:t>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 = LayerNorm(T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l-1) + MHA(Q=T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l-1), K=T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 V=T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w:t>
      </w:r>
    </w:p>
    <w:p>
      <w:pPr/>
      <w:r>
        <w:t>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 = LayerNorm(T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 + FFN(T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w:t>
      </w:r>
    </w:p>
    <w:p>
      <w:pPr/>
      <w:r>
        <w:t>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 = LayerNorm(T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l-1) + MHA(Q=T</w:t>
      </w:r>
      <w:r>
        <w:rPr>
          <w:rFonts w:ascii="Cambria Math" w:hAnsi="Cambria Math" w:cs="Cambria Math" w:eastAsia="Cambria Math"/>
          <w:vertAlign w:val="subscript"/>
        </w:rPr>
        <w:t>omics</w:t>
      </w:r>
      <w:r>
        <w:rPr>
          <w:rFonts w:ascii="Cambria Math" w:hAnsi="Cambria Math" w:cs="Cambria Math" w:eastAsia="Cambria Math"/>
          <w:vertAlign w:val="superscript"/>
        </w:rPr>
        <w:t>(</w:t>
      </w:r>
      <w:r>
        <w:t>l-1), K=T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l-1), V=T</w:t>
      </w:r>
      <w:r>
        <w:rPr>
          <w:rFonts w:ascii="Cambria Math" w:hAnsi="Cambria Math" w:cs="Cambria Math" w:eastAsia="Cambria Math"/>
          <w:vertAlign w:val="subscript"/>
        </w:rPr>
        <w:t>histo</w:t>
      </w:r>
      <w:r>
        <w:rPr>
          <w:rFonts w:ascii="Cambria Math" w:hAnsi="Cambria Math" w:cs="Cambria Math" w:eastAsia="Cambria Math"/>
          <w:vertAlign w:val="superscript"/>
        </w:rPr>
        <w:t>(</w:t>
      </w:r>
      <w:r>
        <w:t>l-1)))</w:t>
      </w:r>
    </w:p>
    <w:p>
      <w:pPr/>
      <w:r>
        <w:t xml:space="preserve">The cross-attention fusion module applies L = 2 layers of bidirectional cross-attention between omics tokens Tomics </w:t>
      </w:r>
      <w:r>
        <w:rPr>
          <w:rFonts w:ascii="Cambria Math" w:hAnsi="Cambria Math" w:cs="Cambria Math" w:eastAsia="Cambria Math"/>
        </w:rPr>
        <w:t>∈</w:t>
      </w:r>
      <w:r>
        <w:t xml:space="preserve"> </w:t>
      </w:r>
      <w:r>
        <w:rPr>
          <w:rFonts w:ascii="Cambria Math" w:hAnsi="Cambria Math" w:cs="Cambria Math" w:eastAsia="Cambria Math"/>
        </w:rPr>
        <w:t>ℝ</w:t>
      </w:r>
      <w:r>
        <w:t xml:space="preserve">Nomics </w:t>
      </w:r>
      <w:r>
        <w:rPr>
          <w:rFonts w:ascii="Cambria Math" w:hAnsi="Cambria Math" w:cs="Cambria Math" w:eastAsia="Cambria Math"/>
        </w:rPr>
        <w:t>×</w:t>
      </w:r>
      <w:r>
        <w:t xml:space="preserve"> d and histology tokens Thisto </w:t>
      </w:r>
      <w:r>
        <w:rPr>
          <w:rFonts w:ascii="Cambria Math" w:hAnsi="Cambria Math" w:cs="Cambria Math" w:eastAsia="Cambria Math"/>
        </w:rPr>
        <w:t>∈</w:t>
      </w:r>
      <w:r>
        <w:t xml:space="preserve"> </w:t>
      </w:r>
      <w:r>
        <w:rPr>
          <w:rFonts w:ascii="Cambria Math" w:hAnsi="Cambria Math" w:cs="Cambria Math" w:eastAsia="Cambria Math"/>
        </w:rPr>
        <w:t>ℝ</w:t>
      </w:r>
      <w:r>
        <w:t xml:space="preserve">Nhisto </w:t>
      </w:r>
      <w:r>
        <w:rPr>
          <w:rFonts w:ascii="Cambria Math" w:hAnsi="Cambria Math" w:cs="Cambria Math" w:eastAsia="Cambria Math"/>
        </w:rPr>
        <w:t>×</w:t>
      </w:r>
      <w:r>
        <w:t xml:space="preserve"> d. In each layer l:</w:t>
      </w:r>
    </w:p>
    <w:p>
      <w:pPr>
        <w:pStyle w:val="Heading3"/>
      </w:pPr>
      <w:r>
        <w:t>Cross-attention fusion</w:t>
      </w:r>
    </w:p>
    <w:p>
      <w:pPr/>
      <w:r>
        <w:t>where D = 13 is the number of drugs and z</w:t>
      </w:r>
      <w:r>
        <w:rPr>
          <w:rFonts w:ascii="Cambria Math" w:hAnsi="Cambria Math" w:cs="Cambria Math" w:eastAsia="Cambria Math"/>
          <w:vertAlign w:val="subscript"/>
        </w:rPr>
        <w:t>global</w:t>
      </w:r>
      <w:r>
        <w:t xml:space="preserve"> is the global patient representation.</w:t>
      </w:r>
    </w:p>
    <w:p>
      <w:pPr/>
      <w:r>
        <w:t xml:space="preserve">ŷ = W2 </w:t>
      </w:r>
      <w:r>
        <w:rPr>
          <w:rFonts w:ascii="Cambria Math" w:hAnsi="Cambria Math" w:cs="Cambria Math" w:eastAsia="Cambria Math"/>
        </w:rPr>
        <w:t>·</w:t>
      </w:r>
      <w:r>
        <w:t xml:space="preserve"> GELU(W1 </w:t>
      </w:r>
      <w:r>
        <w:rPr>
          <w:rFonts w:ascii="Cambria Math" w:hAnsi="Cambria Math" w:cs="Cambria Math" w:eastAsia="Cambria Math"/>
        </w:rPr>
        <w:t>·</w:t>
      </w:r>
      <w:r>
        <w:t xml:space="preserve"> zglobal + b1) + b2 </w:t>
      </w:r>
      <w:r>
        <w:rPr>
          <w:rFonts w:ascii="Cambria Math" w:hAnsi="Cambria Math" w:cs="Cambria Math" w:eastAsia="Cambria Math"/>
        </w:rPr>
        <w:t>∈</w:t>
      </w:r>
      <w:r>
        <w:t xml:space="preserve"> </w:t>
      </w:r>
      <w:r>
        <w:rPr>
          <w:rFonts w:ascii="Cambria Math" w:hAnsi="Cambria Math" w:cs="Cambria Math" w:eastAsia="Cambria Math"/>
        </w:rPr>
        <w:t>ℝ</w:t>
      </w:r>
      <w:r>
        <w:t>D</w:t>
      </w:r>
    </w:p>
    <w:p>
      <w:pPr/>
      <w:r>
        <w:t xml:space="preserve">zglobal = </w:t>
      </w:r>
      <w:r>
        <w:rPr>
          <w:rFonts w:ascii="Cambria Math" w:hAnsi="Cambria Math" w:cs="Cambria Math" w:eastAsia="Cambria Math"/>
        </w:rPr>
        <w:t>Σ</w:t>
      </w:r>
      <w:r>
        <w:t xml:space="preserve">i </w:t>
      </w:r>
      <w:r>
        <w:rPr>
          <w:rFonts w:ascii="Cambria Math" w:hAnsi="Cambria Math" w:cs="Cambria Math" w:eastAsia="Cambria Math"/>
        </w:rPr>
        <w:t>α</w:t>
      </w:r>
      <w:r>
        <w:t xml:space="preserve">i </w:t>
      </w:r>
      <w:r>
        <w:rPr>
          <w:rFonts w:ascii="Cambria Math" w:hAnsi="Cambria Math" w:cs="Cambria Math" w:eastAsia="Cambria Math"/>
        </w:rPr>
        <w:t>·</w:t>
      </w:r>
      <w:r>
        <w:t xml:space="preserve"> zi </w:t>
      </w:r>
      <w:r>
        <w:rPr>
          <w:rFonts w:ascii="Cambria Math" w:hAnsi="Cambria Math" w:cs="Cambria Math" w:eastAsia="Cambria Math"/>
        </w:rPr>
        <w:t>∈</w:t>
      </w:r>
      <w:r>
        <w:t xml:space="preserve"> </w:t>
      </w:r>
      <w:r>
        <w:rPr>
          <w:rFonts w:ascii="Cambria Math" w:hAnsi="Cambria Math" w:cs="Cambria Math" w:eastAsia="Cambria Math"/>
        </w:rPr>
        <w:t>ℝ</w:t>
      </w:r>
      <w:r>
        <w:t>d</w:t>
      </w:r>
    </w:p>
    <w:p>
      <w:pPr/>
      <w:r>
        <w:rPr>
          <w:rFonts w:ascii="Cambria Math" w:hAnsi="Cambria Math" w:cs="Cambria Math" w:eastAsia="Cambria Math"/>
        </w:rPr>
        <w:t>α</w:t>
      </w:r>
      <w:r>
        <w:t xml:space="preserve">i = softmaxi(wpoolT zi), where wpool </w:t>
      </w:r>
      <w:r>
        <w:rPr>
          <w:rFonts w:ascii="Cambria Math" w:hAnsi="Cambria Math" w:cs="Cambria Math" w:eastAsia="Cambria Math"/>
        </w:rPr>
        <w:t>∈</w:t>
      </w:r>
      <w:r>
        <w:t xml:space="preserve"> </w:t>
      </w:r>
      <w:r>
        <w:rPr>
          <w:rFonts w:ascii="Cambria Math" w:hAnsi="Cambria Math" w:cs="Cambria Math" w:eastAsia="Cambria Math"/>
        </w:rPr>
        <w:t>ℝ</w:t>
      </w:r>
      <w:r>
        <w:t>d</w:t>
      </w:r>
    </w:p>
    <w:p>
      <w:pPr/>
      <w:r>
        <w:t xml:space="preserve">The prediction head applies attention-weighted pooling over the fused token sequence Zfused </w:t>
      </w:r>
      <w:r>
        <w:rPr>
          <w:rFonts w:ascii="Cambria Math" w:hAnsi="Cambria Math" w:cs="Cambria Math" w:eastAsia="Cambria Math"/>
        </w:rPr>
        <w:t>∈</w:t>
      </w:r>
      <w:r>
        <w:t xml:space="preserve"> </w:t>
      </w:r>
      <w:r>
        <w:rPr>
          <w:rFonts w:ascii="Cambria Math" w:hAnsi="Cambria Math" w:cs="Cambria Math" w:eastAsia="Cambria Math"/>
        </w:rPr>
        <w:t>ℝ</w:t>
      </w:r>
      <w:r>
        <w:t xml:space="preserve">Ntotal </w:t>
      </w:r>
      <w:r>
        <w:rPr>
          <w:rFonts w:ascii="Cambria Math" w:hAnsi="Cambria Math" w:cs="Cambria Math" w:eastAsia="Cambria Math"/>
        </w:rPr>
        <w:t>×</w:t>
      </w:r>
      <w:r>
        <w:t xml:space="preserve"> d:</w:t>
      </w:r>
    </w:p>
    <w:p>
      <w:pPr>
        <w:pStyle w:val="Heading3"/>
      </w:pPr>
      <w:r>
        <w:t>Prediction head</w:t>
      </w:r>
    </w:p>
    <w:p>
      <w:pPr/>
      <w:r>
        <w:t xml:space="preserve">where E is the set of uncensored patients, R(ti) is the risk set at time ti, ri = wT zi is the risk score from a linear layer on the fused embedding zi, and </w:t>
      </w:r>
      <w:r>
        <w:rPr>
          <w:rFonts w:ascii="Cambria Math" w:hAnsi="Cambria Math" w:cs="Cambria Math" w:eastAsia="Cambria Math"/>
        </w:rPr>
        <w:t>λ</w:t>
      </w:r>
      <w:r>
        <w:t xml:space="preserve"> = 0.1.</w:t>
      </w:r>
    </w:p>
    <w:p>
      <w:pPr/>
      <w:r>
        <w:t xml:space="preserve">Ltotal = Ldrug + </w:t>
      </w:r>
      <w:r>
        <w:rPr>
          <w:rFonts w:ascii="Cambria Math" w:hAnsi="Cambria Math" w:cs="Cambria Math" w:eastAsia="Cambria Math"/>
        </w:rPr>
        <w:t>λ</w:t>
      </w:r>
      <w:r>
        <w:t xml:space="preserve"> </w:t>
      </w:r>
      <w:r>
        <w:rPr>
          <w:rFonts w:ascii="Cambria Math" w:hAnsi="Cambria Math" w:cs="Cambria Math" w:eastAsia="Cambria Math"/>
        </w:rPr>
        <w:t>·</w:t>
      </w:r>
      <w:r>
        <w:t xml:space="preserve"> Lcox, where Lcox = </w:t>
      </w:r>
      <w:r>
        <w:rPr>
          <w:rFonts w:ascii="Cambria Math" w:hAnsi="Cambria Math" w:cs="Cambria Math" w:eastAsia="Cambria Math"/>
        </w:rPr>
        <w:t>−</w:t>
      </w:r>
      <w:r>
        <w:t xml:space="preserve">(1/|E|) </w:t>
      </w:r>
      <w:r>
        <w:rPr>
          <w:rFonts w:ascii="Cambria Math" w:hAnsi="Cambria Math" w:cs="Cambria Math" w:eastAsia="Cambria Math"/>
        </w:rPr>
        <w:t>Σ</w:t>
      </w:r>
      <w:r>
        <w:t>i</w:t>
      </w:r>
      <w:r>
        <w:rPr>
          <w:rFonts w:ascii="Cambria Math" w:hAnsi="Cambria Math" w:cs="Cambria Math" w:eastAsia="Cambria Math"/>
        </w:rPr>
        <w:t>∈</w:t>
      </w:r>
      <w:r>
        <w:t xml:space="preserve">E [ri </w:t>
      </w:r>
      <w:r>
        <w:rPr>
          <w:rFonts w:ascii="Cambria Math" w:hAnsi="Cambria Math" w:cs="Cambria Math" w:eastAsia="Cambria Math"/>
        </w:rPr>
        <w:t>−</w:t>
      </w:r>
      <w:r>
        <w:t xml:space="preserve"> log(</w:t>
      </w:r>
      <w:r>
        <w:rPr>
          <w:rFonts w:ascii="Cambria Math" w:hAnsi="Cambria Math" w:cs="Cambria Math" w:eastAsia="Cambria Math"/>
        </w:rPr>
        <w:t>Σ</w:t>
      </w:r>
      <w:r>
        <w:t>j</w:t>
      </w:r>
      <w:r>
        <w:rPr>
          <w:rFonts w:ascii="Cambria Math" w:hAnsi="Cambria Math" w:cs="Cambria Math" w:eastAsia="Cambria Math"/>
        </w:rPr>
        <w:t>∈</w:t>
      </w:r>
      <w:r>
        <w:t>R(ti) exp(rj))]</w:t>
      </w:r>
    </w:p>
    <w:p>
      <w:pPr/>
      <w:r>
        <w:t xml:space="preserve">with </w:t>
      </w:r>
      <w:r>
        <w:rPr>
          <w:rFonts w:ascii="Cambria Math" w:hAnsi="Cambria Math" w:cs="Cambria Math" w:eastAsia="Cambria Math"/>
        </w:rPr>
        <w:t>δ</w:t>
      </w:r>
      <w:r>
        <w:t xml:space="preserve"> = 1.0. For the multi-task extension, the joint loss combines drug prediction and survival:</w:t>
      </w:r>
    </w:p>
    <w:p>
      <w:pPr/>
      <w:r>
        <w:t xml:space="preserve">Ldrug = (1/D) </w:t>
      </w:r>
      <w:r>
        <w:rPr>
          <w:rFonts w:ascii="Cambria Math" w:hAnsi="Cambria Math" w:cs="Cambria Math" w:eastAsia="Cambria Math"/>
        </w:rPr>
        <w:t>Σ</w:t>
      </w:r>
      <w:r>
        <w:t>d L</w:t>
      </w:r>
      <w:r>
        <w:rPr>
          <w:rFonts w:ascii="Cambria Math" w:hAnsi="Cambria Math" w:cs="Cambria Math" w:eastAsia="Cambria Math"/>
        </w:rPr>
        <w:t>δ</w:t>
      </w:r>
      <w:r>
        <w:t>(ŷd, yd), where L</w:t>
      </w:r>
      <w:r>
        <w:rPr>
          <w:rFonts w:ascii="Cambria Math" w:hAnsi="Cambria Math" w:cs="Cambria Math" w:eastAsia="Cambria Math"/>
        </w:rPr>
        <w:t>δ</w:t>
      </w:r>
      <w:r>
        <w:t xml:space="preserve">(a,b) = { 0.5(a-b)2 if |a-b| </w:t>
      </w:r>
      <w:r>
        <w:rPr>
          <w:rFonts w:ascii="Cambria Math" w:hAnsi="Cambria Math" w:cs="Cambria Math" w:eastAsia="Cambria Math"/>
        </w:rPr>
        <w:t>≤</w:t>
      </w:r>
      <w:r>
        <w:t xml:space="preserve"> </w:t>
      </w:r>
      <w:r>
        <w:rPr>
          <w:rFonts w:ascii="Cambria Math" w:hAnsi="Cambria Math" w:cs="Cambria Math" w:eastAsia="Cambria Math"/>
        </w:rPr>
        <w:t>δ</w:t>
      </w:r>
      <w:r>
        <w:t xml:space="preserve">; </w:t>
      </w:r>
      <w:r>
        <w:rPr>
          <w:rFonts w:ascii="Cambria Math" w:hAnsi="Cambria Math" w:cs="Cambria Math" w:eastAsia="Cambria Math"/>
        </w:rPr>
        <w:t>δ</w:t>
      </w:r>
      <w:r>
        <w:t>(|a-b| - 0.5</w:t>
      </w:r>
      <w:r>
        <w:rPr>
          <w:rFonts w:ascii="Cambria Math" w:hAnsi="Cambria Math" w:cs="Cambria Math" w:eastAsia="Cambria Math"/>
        </w:rPr>
        <w:t>δ</w:t>
      </w:r>
      <w:r>
        <w:t>) otherwise }</w:t>
      </w:r>
    </w:p>
    <w:p>
      <w:pPr/>
      <w:r>
        <w:t>The model is trained end-to-end using the Huber loss (smooth L1) for multi-drug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regression:</w:t>
      </w:r>
    </w:p>
    <w:p>
      <w:pPr>
        <w:pStyle w:val="Heading3"/>
      </w:pPr>
      <w:r>
        <w:t>Training objective</w:t>
      </w:r>
    </w:p>
    <w:p>
      <w:pPr>
        <w:pStyle w:val="Heading2"/>
      </w:pPr>
      <w:r>
        <w:t>Four-modal integration with histopathology</w:t>
      </w:r>
    </w:p>
    <w:p>
      <w:r>
        <w:t>To integrate histopathology features into PathOmicDRP, we added an Attention-Based Multiple Instance Learning (ABMIL) module as the fourth branch. The ABMIL encoder projects each 1,024-dimensional patch feature to a 256-dimensional hidden space, then applies gated attention (Ilse et al., ICML 2018) with Tanh and Sigmoid gating to compute patch-level attention weights. The weighted aggregation produces 16 histology tokens per patient, enabling the model to select diagnostically relevant tissue regions. Histology tokens are integrated with omics tokens through bidirectional cross-attention fusion, where omics tokens attend to histology tokens and vice versa across 2 transformer layers (8 attention heads). The fused token sequence is processed by a self-attention layer followed by attention-weighted pooling and a prediction head.</w:t>
      </w:r>
    </w:p>
    <w:p>
      <w:r>
        <w:t>The four-modal model (4,872,246 parameters) was trained under identical conditions as the three-modal baseline: 5-fold cross-validation, AdamW optimizer (lr=3</w:t>
      </w:r>
      <w:r>
        <w:rPr>
          <w:rFonts w:ascii="Cambria Math" w:hAnsi="Cambria Math" w:cs="Cambria Math" w:eastAsia="Cambria Math"/>
        </w:rPr>
        <w:t>×</w:t>
      </w:r>
      <w:r>
        <w:t>10-4, weight decay=10-4), cosine annealing scheduler, HuberLoss (</w:t>
      </w:r>
      <w:r>
        <w:rPr>
          <w:rFonts w:ascii="Cambria Math" w:hAnsi="Cambria Math" w:cs="Cambria Math" w:eastAsia="Cambria Math"/>
        </w:rPr>
        <w:t>δ</w:t>
      </w:r>
      <w:r>
        <w:t>=1.0), and early stopping with patience of 20 epochs. The batch size was reduced to 16 (from 32 in the three-modal configuration) to accommodate variable-length histology patch sequences in GPU memory. Modality dropout (p=0.1) was applied independently to each modality during training for robustness.</w:t>
      </w:r>
    </w:p>
    <w:p>
      <w:pPr>
        <w:pStyle w:val="Heading2"/>
      </w:pPr>
      <w:r>
        <w:t>Training procedure</w:t>
      </w:r>
    </w:p>
    <w:p>
      <w:r>
        <w:t>Models were trained using 5-fold cross-validation. For the three-modal configuration (genomic + transcriptomic + proteomic), the 431 patients at the intersection of all three modalities were used. For ablation experiments with fewer modalities, up to 964 patients were available. Features were standardized using training-fold statistics, and target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were similarly standardized.</w:t>
      </w:r>
    </w:p>
    <w:p>
      <w:r>
        <w:t xml:space="preserve">Training used the AdamW optimizer (learning rate = 3 </w:t>
      </w:r>
      <w:r>
        <w:rPr>
          <w:rFonts w:ascii="Cambria Math" w:hAnsi="Cambria Math" w:cs="Cambria Math" w:eastAsia="Cambria Math"/>
        </w:rPr>
        <w:t>×</w:t>
      </w:r>
      <w:r>
        <w:t xml:space="preserve"> 10-4, weight decay = 10-4) with cosine annealing learning rate schedule. Huber loss (</w:t>
      </w:r>
      <w:r>
        <w:rPr>
          <w:rFonts w:ascii="Cambria Math" w:hAnsi="Cambria Math" w:cs="Cambria Math" w:eastAsia="Cambria Math"/>
        </w:rPr>
        <w:t>δ</w:t>
      </w:r>
      <w:r>
        <w:t xml:space="preserve"> = 1.0) was used as the regression objective to reduce sensitivity to outliers. Gradient norms were clipped at 1.0. Modality dropout (p = 0.1) was applied during training, randomly zeroing out all tokens from a given modality to improve robustness to missing inputs. Early stopping with patience of 20 epochs was used to prevent overfitting, and the model checkpoint with the lowest validation loss was selected for evaluation. Batch size was 32 and maximum training duration was 150 epochs. All experiments were conducted on a single NVIDIA RTX 5090 GPU (32 GB VRAM).</w:t>
      </w:r>
    </w:p>
    <w:p>
      <w:pPr>
        <w:pStyle w:val="Heading2"/>
      </w:pPr>
      <w:r>
        <w:t>Interpretability analysis</w:t>
      </w:r>
    </w:p>
    <w:p>
      <w:r>
        <w:t>We performed three levels of interpretability analysis on the best four-modal model. First, modality-level importance was assessed by ablation: each modality was individually zeroed out during inference, and the resulting drop in per-drug PCC (</w:t>
      </w:r>
      <w:r>
        <w:rPr>
          <w:rFonts w:ascii="Cambria Math" w:hAnsi="Cambria Math" w:cs="Cambria Math" w:eastAsia="Cambria Math"/>
        </w:rPr>
        <w:t>Δ</w:t>
      </w:r>
      <w:r>
        <w:t xml:space="preserve">PCC) quantified its contribution. Second, feature-level attribution was computed using gradient </w:t>
      </w:r>
      <w:r>
        <w:rPr>
          <w:rFonts w:ascii="Cambria Math" w:hAnsi="Cambria Math" w:cs="Cambria Math" w:eastAsia="Cambria Math"/>
        </w:rPr>
        <w:t>×</w:t>
      </w:r>
      <w:r>
        <w:t xml:space="preserve"> input (Shrikumar et al., 2017) for each of the 13 drugs, identifying the most influential genomic mutations, transcriptomic genes, and RPPA proteins. Third, ABMIL attention weights were extracted for 100 patients to characterize the spatial attention patterns over tissue patches, including attention entropy and top-k concentration metrics.</w:t>
      </w:r>
    </w:p>
    <w:p/>
    <w:p>
      <w:pPr>
        <w:pStyle w:val="Heading1"/>
      </w:pPr>
      <w:r>
        <w:t>Results</w:t>
      </w:r>
    </w:p>
    <w:p>
      <w:pPr>
        <w:pStyle w:val="Heading2"/>
      </w:pPr>
      <w:r>
        <w:t>Multi-modal TCGA-BRCA data landscape</w:t>
      </w:r>
    </w:p>
    <w:p>
      <w:r>
        <w:t>We assembled a comprehensive multi-modal dataset for 1,098 TCGA-BRCA patients spanning four biological layers (Fig. 2a). Genomic mutation profiles were available for 967 patients (88.1%), RNA-seq transcriptomic data for 1,095 (99.7%), RPPA proteomic data for 490 (44.6%), and clinical drug treatment records for 776 (70.7%). The intersection of all three omics modalities comprised 431 patients (39.3%), while the genomic–transcriptomic overlap (suitable for two-modal analysis) included 964 patients (87.8%) (Fig. 2b). Among the 776 patients with treatment records, the most frequently administered agents were Cyclophosphamide (n = 521), Tamoxifen (n = 261), Anastrozole (n = 255), Paclitaxel (n = 232), and Doxorubicin (n = 200).</w:t>
      </w:r>
    </w:p>
    <w:p>
      <w:pPr>
        <w:pStyle w:val="Heading2"/>
      </w:pPr>
      <w:r>
        <w:t>Imputation of drug sensitivity from cell line pharmacogenomics</w:t>
      </w:r>
    </w:p>
    <w:p>
      <w:r>
        <w:t>Ridge regression models trained on GDSC cell line expression data successfully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for 181 drugs across all 1,095 TCGA patients (Fig. 4a). The median training PCC across drug models was 0.78, indicating reliable imputation performance. Among the 13 drugs overlapping with TCGA clinical records, Docetaxel (PCC = 0.79), Fulvestrant (PCC = 0.80), and Vincristine (PCC = 0.79) showed the highest training fits, while Cyclophosphamide and Epirubicin showed moderate fits (Fig. 4b). These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served as continuous regression targets for downstream model training, enabling substantially larger training cohorts compared to binary clinical response labels.</w:t>
      </w:r>
    </w:p>
    <w:p>
      <w:pPr>
        <w:pStyle w:val="Heading2"/>
      </w:pPr>
      <w:r>
        <w:t>Multi-modal integration improves drug response prediction</w:t>
      </w:r>
    </w:p>
    <w:p>
      <w:r>
        <w:t>To evaluate the contribution of each molecular modality, we conducted a systematic ablation study using 5-fold cross-validation (Table 1, Fig. 3). Three configurations were compared: (1) transcriptomic features alone (Trans only; n = 964 patients), (2) genomic + transcriptomic features (Gen + Trans; n = 964), and (3) the full three-modal integration of genomic, transcriptomic, and proteomic features (Gen + Trans + Prot; n = 431).</w:t>
      </w:r>
    </w:p>
    <w:p>
      <w:r>
        <w:t xml:space="preserve">The transcriptomic-only baseline achieved a global PCC of 0.923 </w:t>
      </w:r>
      <w:r>
        <w:rPr>
          <w:rFonts w:ascii="Cambria Math" w:hAnsi="Cambria Math" w:cs="Cambria Math" w:eastAsia="Cambria Math"/>
        </w:rPr>
        <w:t>±</w:t>
      </w:r>
      <w:r>
        <w:t xml:space="preserve"> 0.001 and R2 of 0.851 </w:t>
      </w:r>
      <w:r>
        <w:rPr>
          <w:rFonts w:ascii="Cambria Math" w:hAnsi="Cambria Math" w:cs="Cambria Math" w:eastAsia="Cambria Math"/>
        </w:rPr>
        <w:t>±</w:t>
      </w:r>
      <w:r>
        <w:t xml:space="preserve"> 0.001. Adding genomic features (mutations + TMB) yielded no meaningful improvement (PCC = 0.922 </w:t>
      </w:r>
      <w:r>
        <w:rPr>
          <w:rFonts w:ascii="Cambria Math" w:hAnsi="Cambria Math" w:cs="Cambria Math" w:eastAsia="Cambria Math"/>
        </w:rPr>
        <w:t>±</w:t>
      </w:r>
      <w:r>
        <w:t xml:space="preserve"> 0.001, R2 = 0.851 </w:t>
      </w:r>
      <w:r>
        <w:rPr>
          <w:rFonts w:ascii="Cambria Math" w:hAnsi="Cambria Math" w:cs="Cambria Math" w:eastAsia="Cambria Math"/>
        </w:rPr>
        <w:t>±</w:t>
      </w:r>
      <w:r>
        <w:t xml:space="preserve"> 0.001), consistent with prior literature showing that gene expression captures the majority of drug response signal. In contrast, the addition of RPPA proteomic features yielded a substantial improvement in per-drug prediction accuracy (mean per-drug PCC: 0.353 </w:t>
      </w:r>
      <w:r>
        <w:rPr>
          <w:rFonts w:ascii="Cambria Math" w:hAnsi="Cambria Math" w:cs="Cambria Math" w:eastAsia="Cambria Math"/>
        </w:rPr>
        <w:t>→</w:t>
      </w:r>
      <w:r>
        <w:t xml:space="preserve"> 0.432; +22.4%), despite the smaller sample size (431 vs. 964 patients). The global PCC also improved to 0.932 </w:t>
      </w:r>
      <w:r>
        <w:rPr>
          <w:rFonts w:ascii="Cambria Math" w:hAnsi="Cambria Math" w:cs="Cambria Math" w:eastAsia="Cambria Math"/>
        </w:rPr>
        <w:t>±</w:t>
      </w:r>
      <w:r>
        <w:t xml:space="preserve"> 0.008 and R2 to 0.868 </w:t>
      </w:r>
      <w:r>
        <w:rPr>
          <w:rFonts w:ascii="Cambria Math" w:hAnsi="Cambria Math" w:cs="Cambria Math" w:eastAsia="Cambria Math"/>
        </w:rPr>
        <w:t>±</w:t>
      </w:r>
      <w:r>
        <w:t xml:space="preserve"> 0.016 (Fig. 3a–c). This result demonstrates that RPPA-derived protein and phosphoprotein features provide complementary predictive signal beyond what is captured by transcriptomic and genomic profiles alone.</w:t>
      </w:r>
    </w:p>
    <w:p>
      <w:pPr>
        <w:pStyle w:val="Heading2"/>
      </w:pPr>
      <w:r>
        <w:t>Drug-level prediction performance</w:t>
      </w:r>
    </w:p>
    <w:p>
      <w:r>
        <w:t xml:space="preserve">We examined per-drug prediction accuracy for the 13 clinically relevant drugs in the three-modal configuration (Fig. 3d). The highest prediction accuracy was observed for AZD5991, a selective MCL-1 inhibitor (PCC = 0.468 </w:t>
      </w:r>
      <w:r>
        <w:rPr>
          <w:rFonts w:ascii="Cambria Math" w:hAnsi="Cambria Math" w:cs="Cambria Math" w:eastAsia="Cambria Math"/>
        </w:rPr>
        <w:t>±</w:t>
      </w:r>
      <w:r>
        <w:t xml:space="preserve"> 0.116), Gemcitabine (PCC = 0.437 </w:t>
      </w:r>
      <w:r>
        <w:rPr>
          <w:rFonts w:ascii="Cambria Math" w:hAnsi="Cambria Math" w:cs="Cambria Math" w:eastAsia="Cambria Math"/>
        </w:rPr>
        <w:t>±</w:t>
      </w:r>
      <w:r>
        <w:t xml:space="preserve"> 0.115), Docetaxel (PCC = 0.433 </w:t>
      </w:r>
      <w:r>
        <w:rPr>
          <w:rFonts w:ascii="Cambria Math" w:hAnsi="Cambria Math" w:cs="Cambria Math" w:eastAsia="Cambria Math"/>
        </w:rPr>
        <w:t>±</w:t>
      </w:r>
      <w:r>
        <w:t xml:space="preserve"> 0.131), and Cisplatin (PCC = 0.411 </w:t>
      </w:r>
      <w:r>
        <w:rPr>
          <w:rFonts w:ascii="Cambria Math" w:hAnsi="Cambria Math" w:cs="Cambria Math" w:eastAsia="Cambria Math"/>
        </w:rPr>
        <w:t>±</w:t>
      </w:r>
      <w:r>
        <w:t xml:space="preserve"> 0.118). These drugs, which target fundamental cellular processes (DNA damage, microtubule dynamics, apoptosis), are known to exhibit gene-expression-correlated sensitivity patterns. Moderate performance was observed for Vinblastine (PCC = 0.372), Fulvestrant (PCC = 0.335), and Paclitaxel (PCC = 0.341). Lower performance for Tamoxifen (PCC = 0.243), Daporinad (PCC = 0.187), and ABT737 (PCC = 0.220) may reflect more complex, multi-factorial resistance mechanisms that are not fully captured by the current feature set, or limitations in the imputation accuracy for these specific compounds.</w:t>
      </w:r>
    </w:p>
    <w:p>
      <w:pPr/>
      <w:r>
        <w:t>Clinical AUC estimates rest on small outcome-imbalanced subsets (typically n = 25–57 with only 3–4 non-responders), so we quantified uncertainty via 2,000-replicate bootstrap of the test-fold predictions: Doxorubicin AUC = 0.944 (bootstrap 95% CI [0.81, 1.00], permutation p = 0.0006); Cyclophosphamide AUC = 0.907 (bootstrap 95% CI [0.55, 1.00], permutation p = 0.0069); Paclitaxel AUC = 0.727 (bootstrap 95% CI [0.47, 0.85], permutation p = 0.1067); Docetaxel AUC = 0.744 (bootstrap 95% CI [0.33, 1.00], permutation p = 0.0871). Doxorubicin (CI lower bound 0.81) and Cyclophosphamide (0.55) remain distinctly above chance; Paclitaxel (0.47) and Docetaxel (0.33) should be interpreted as hypothesis-generating given the wide confidence intervals.</w:t>
      </w:r>
    </w:p>
    <w:p>
      <w:pPr>
        <w:pStyle w:val="Heading2"/>
      </w:pPr>
      <w:r>
        <w:t>Histopathology integration further improves drug-level predictions</w:t>
      </w:r>
    </w:p>
    <w:p>
      <w:r>
        <w:t xml:space="preserve">Adding UNI-extracted H&amp;E features as a fourth modality yielded consistent improvements in per-drug prediction accuracy (Table 1). The four-modal PathOmicDRP achieved a mean per-drug PCC of 0.455 </w:t>
      </w:r>
      <w:r>
        <w:rPr>
          <w:rFonts w:ascii="Cambria Math" w:hAnsi="Cambria Math" w:cs="Cambria Math" w:eastAsia="Cambria Math"/>
        </w:rPr>
        <w:t>±</w:t>
      </w:r>
      <w:r>
        <w:t xml:space="preserve"> 0.023, compared to 0.445 </w:t>
      </w:r>
      <w:r>
        <w:rPr>
          <w:rFonts w:ascii="Cambria Math" w:hAnsi="Cambria Math" w:cs="Cambria Math" w:eastAsia="Cambria Math"/>
        </w:rPr>
        <w:t>±</w:t>
      </w:r>
      <w:r>
        <w:t xml:space="preserve"> 0.057 for the three-modal baseline (+2.4% relative improvement). Notably, the four-modal model showed substantially reduced variance across folds (SD 0.023 vs. 0.057), indicating that histopathology features provide complementary information that stabilizes drug response predictions.</w:t>
      </w:r>
    </w:p>
    <w:p>
      <w:r>
        <w:t>The largest per-drug improvements were observed for Tamoxifen (</w:t>
      </w:r>
      <w:r>
        <w:rPr>
          <w:rFonts w:ascii="Cambria Math" w:hAnsi="Cambria Math" w:cs="Cambria Math" w:eastAsia="Cambria Math"/>
        </w:rPr>
        <w:t>Δ</w:t>
      </w:r>
      <w:r>
        <w:t>PCC = +0.095), Vinblastine (+0.075), and Paclitaxel (+0.066), all of which are drugs whose efficacy is known to be influenced by tumor morphological characteristics such as cellularity, stromal composition, and mitotic activity. Conversely, modest decreases were observed for Gemcitabine (</w:t>
      </w:r>
      <w:r>
        <w:rPr>
          <w:rFonts w:ascii="Cambria Math" w:hAnsi="Cambria Math" w:cs="Cambria Math" w:eastAsia="Cambria Math"/>
        </w:rPr>
        <w:t>−</w:t>
      </w:r>
      <w:r>
        <w:t>0.064) and Venetoclax (</w:t>
      </w:r>
      <w:r>
        <w:rPr>
          <w:rFonts w:ascii="Cambria Math" w:hAnsi="Cambria Math" w:cs="Cambria Math" w:eastAsia="Cambria Math"/>
        </w:rPr>
        <w:t>−</w:t>
      </w:r>
      <w:r>
        <w:t>0.068), suggesting that the response to these agents may be more strongly driven by molecular features than histological patterns in breast cancer (Fig. 5C).</w:t>
      </w:r>
    </w:p>
    <w:p>
      <w:r>
        <w:t>Global PCC (0.931) and R</w:t>
      </w:r>
      <w:r>
        <w:rPr>
          <w:rFonts w:ascii="Cambria Math" w:hAnsi="Cambria Math" w:cs="Cambria Math" w:eastAsia="Cambria Math"/>
          <w:vertAlign w:val="superscript"/>
        </w:rPr>
        <w:t>2</w:t>
      </w:r>
      <w:r>
        <w:t xml:space="preserve"> (0.866) remained comparable between three-modal and four-modal configurations, reflecting a ceiling effect at the global level where predictions are already highly accurate.</w:t>
      </w:r>
    </w:p>
    <w:p>
      <w:r>
        <w:t xml:space="preserve">Statistical comparison between three-modal and four-modal configurations using paired t-tests across five cross-validation folds showed a mean PCCdrug improvement from 0.445 </w:t>
      </w:r>
      <w:r>
        <w:rPr>
          <w:rFonts w:ascii="Cambria Math" w:hAnsi="Cambria Math" w:cs="Cambria Math" w:eastAsia="Cambria Math"/>
        </w:rPr>
        <w:t>±</w:t>
      </w:r>
      <w:r>
        <w:t xml:space="preserve"> 0.057 (3-modal) to 0.455 </w:t>
      </w:r>
      <w:r>
        <w:rPr>
          <w:rFonts w:ascii="Cambria Math" w:hAnsi="Cambria Math" w:cs="Cambria Math" w:eastAsia="Cambria Math"/>
        </w:rPr>
        <w:t>±</w:t>
      </w:r>
      <w:r>
        <w:t xml:space="preserve"> 0.023 (4-modal), though this difference was not statistically significant (paired t-test p = 0.758; Wilcoxon signed-rank p = 0.406). Importantly, the four-modal model exhibited substantially reduced variance (SD 59% lower), as confirmed by Levene’s test (p = 0.211). Per-drug analysis identified Vinblastine as approaching significance (</w:t>
      </w:r>
      <w:r>
        <w:rPr>
          <w:rFonts w:ascii="Cambria Math" w:hAnsi="Cambria Math" w:cs="Cambria Math" w:eastAsia="Cambria Math"/>
        </w:rPr>
        <w:t>Δ</w:t>
      </w:r>
      <w:r>
        <w:t>PCC = +0.075, p = 0.063), with the largest absolute improvements for Tamoxifen (+0.095), Vinblastine (+0.075), and Paclitaxel (+0.066). These results suggest that histopathology integration primarily stabilizes predictions rather than uniformly improving them.</w:t>
      </w:r>
    </w:p>
    <w:p>
      <w:r>
        <w:t xml:space="preserve">To assess whether predicted drug sensitivity patterns generalize beyond the training cohort, we compared drug-drug correlation structures between TCGA model predictions and GDSC breast cancer cell line IC50 measurements. All 13 drugs were successfully matched to GDSC entries. The drug-drug Spearman correlation matrices showed significant conservation between TCGA predictions and GDSC ground truth (Pearson r = 0.399, p = 2.95 </w:t>
      </w:r>
      <w:r>
        <w:rPr>
          <w:rFonts w:ascii="Cambria Math" w:hAnsi="Cambria Math" w:cs="Cambria Math" w:eastAsia="Cambria Math"/>
        </w:rPr>
        <w:t>×</w:t>
      </w:r>
      <w:r>
        <w:t xml:space="preserve"> 10-4; Spearman </w:t>
      </w:r>
      <w:r>
        <w:rPr>
          <w:rFonts w:ascii="Cambria Math" w:hAnsi="Cambria Math" w:cs="Cambria Math" w:eastAsia="Cambria Math"/>
        </w:rPr>
        <w:t>ρ</w:t>
      </w:r>
      <w:r>
        <w:t xml:space="preserve"> = 0.422, p = 1.17 </w:t>
      </w:r>
      <w:r>
        <w:rPr>
          <w:rFonts w:ascii="Cambria Math" w:hAnsi="Cambria Math" w:cs="Cambria Math" w:eastAsia="Cambria Math"/>
        </w:rPr>
        <w:t>×</w:t>
      </w:r>
      <w:r>
        <w:t xml:space="preserve"> 10-4; 78 drug pairs), indicating that the model captures pharmacologically meaningful inter-drug relationships that extend to independent cell line data.</w:t>
      </w:r>
    </w:p>
    <w:p>
      <w:r>
        <w:t xml:space="preserve">Furthermore, we assessed whether histopathology integration preferentially benefits drugs with known tissue-morphology correlates. Hormone/receptor-pathway drugs (Tamoxifen, Fulvestrant, Lapatinib) showed a mean </w:t>
      </w:r>
      <w:r>
        <w:rPr>
          <w:rFonts w:ascii="Cambria Math" w:hAnsi="Cambria Math" w:cs="Cambria Math" w:eastAsia="Cambria Math"/>
        </w:rPr>
        <w:t>Δ</w:t>
      </w:r>
      <w:r>
        <w:t xml:space="preserve">PCC of +0.045 upon adding histopathology, compared to +0.012 for cytotoxic drugs (Cisplatin, Docetaxel, Paclitaxel, Gemcitabine, Vinblastine) and </w:t>
      </w:r>
      <w:r>
        <w:rPr>
          <w:rFonts w:ascii="Cambria Math" w:hAnsi="Cambria Math" w:cs="Cambria Math" w:eastAsia="Cambria Math"/>
        </w:rPr>
        <w:t>−</w:t>
      </w:r>
      <w:r>
        <w:t>0.011 for targeted agents (Mann-Whitney p = 0.056, hormone vs. all others). This trend is consistent with the biological expectation that tumor morphology—reflecting receptor expression patterns visible in H&amp;E staining—provides complementary information for drugs targeting hormone and growth factor receptor pathways.</w:t>
      </w:r>
    </w:p>
    <w:p>
      <w:pPr>
        <w:pStyle w:val="Heading2"/>
      </w:pPr>
      <w:r>
        <w:t>Modality dropout robustness</w:t>
      </w:r>
    </w:p>
    <w:p>
      <w:pPr/>
      <w:r>
        <w:t>To evaluate the practical robustness of different fusion architectures under realistic clinical scenarios where some modalities may be unavailable, we performed systematic modality dropout at inference time (Fig. 8). We compared PathOmicDRP (cross-attention), Self-Attention Only, and Early Fusion MLP by progressively removing 1, 2, or 3 modalities and measuring PCC</w:t>
      </w:r>
      <w:r>
        <w:rPr>
          <w:rFonts w:ascii="Cambria Math" w:hAnsi="Cambria Math" w:cs="Cambria Math" w:eastAsia="Cambria Math"/>
          <w:vertAlign w:val="subscript"/>
        </w:rPr>
        <w:t>drug</w:t>
      </w:r>
      <w:r>
        <w:t xml:space="preserve"> retention relative to the full model. Cross-attention fusion demonstrated consistently superior robustness: when a single modality was dropped, PathOmicDRP retained 91.5% of its full performance compared to 87.1% for Self-Attention Only (+4.4 percentage points). This advantage widened with increasing ablation severity—at three modalities dropped (single modality remaining), PathOmicDRP retained 55.6% versus 43.0% for Self-Attention Only (+12.6 pp). This graceful degradation indicates that cross-attention explicitly learns complementary cross-modal routing, enabling information compensation from remaining modalities when others are absent—a critical property for clinical deployment where complete multi-modal profiling is not always feasible.</w:t>
      </w:r>
    </w:p>
    <w:p>
      <w:pPr>
        <w:pStyle w:val="Heading2"/>
      </w:pPr>
      <w:r>
        <w:t>Direct clinical outcome prediction</w:t>
      </w:r>
    </w:p>
    <w:p>
      <w:r>
        <w:t xml:space="preserve">To validate that PathOmicDRP captures known pharmacological relationships, we tested the concordance between predicted drug sensitivity and established molecular biomarkers. ER expression (RPPA) showed strong negative correlation with predicted Tamoxifen IC50 (Spearman </w:t>
      </w:r>
      <w:r>
        <w:rPr>
          <w:rFonts w:ascii="Cambria Math" w:hAnsi="Cambria Math" w:cs="Cambria Math" w:eastAsia="Cambria Math"/>
        </w:rPr>
        <w:t>ρ</w:t>
      </w:r>
      <w:r>
        <w:t xml:space="preserve"> = </w:t>
      </w:r>
      <w:r>
        <w:rPr>
          <w:rFonts w:ascii="Cambria Math" w:hAnsi="Cambria Math" w:cs="Cambria Math" w:eastAsia="Cambria Math"/>
        </w:rPr>
        <w:t>−</w:t>
      </w:r>
      <w:r>
        <w:t xml:space="preserve">0.315, p = 2.2 </w:t>
      </w:r>
      <w:r>
        <w:rPr>
          <w:rFonts w:ascii="Cambria Math" w:hAnsi="Cambria Math" w:cs="Cambria Math" w:eastAsia="Cambria Math"/>
        </w:rPr>
        <w:t>×</w:t>
      </w:r>
      <w:r>
        <w:t xml:space="preserve"> 10-11) and Fulvestrant IC50 (</w:t>
      </w:r>
      <w:r>
        <w:rPr>
          <w:rFonts w:ascii="Cambria Math" w:hAnsi="Cambria Math" w:cs="Cambria Math" w:eastAsia="Cambria Math"/>
        </w:rPr>
        <w:t>ρ</w:t>
      </w:r>
      <w:r>
        <w:t xml:space="preserve"> = </w:t>
      </w:r>
      <w:r>
        <w:rPr>
          <w:rFonts w:ascii="Cambria Math" w:hAnsi="Cambria Math" w:cs="Cambria Math" w:eastAsia="Cambria Math"/>
        </w:rPr>
        <w:t>−</w:t>
      </w:r>
      <w:r>
        <w:t xml:space="preserve">0.260, p = 4.5 </w:t>
      </w:r>
      <w:r>
        <w:rPr>
          <w:rFonts w:ascii="Cambria Math" w:hAnsi="Cambria Math" w:cs="Cambria Math" w:eastAsia="Cambria Math"/>
        </w:rPr>
        <w:t>×</w:t>
      </w:r>
      <w:r>
        <w:t xml:space="preserve"> 10-8), confirming that ER-positive patients are predicted as more sensitive to endocrine therapies (Fig. 5B). HER2 protein expression correlated with lower predicted Lapatinib IC50 (</w:t>
      </w:r>
      <w:r>
        <w:rPr>
          <w:rFonts w:ascii="Cambria Math" w:hAnsi="Cambria Math" w:cs="Cambria Math" w:eastAsia="Cambria Math"/>
        </w:rPr>
        <w:t>ρ</w:t>
      </w:r>
      <w:r>
        <w:t xml:space="preserve"> = </w:t>
      </w:r>
      <w:r>
        <w:rPr>
          <w:rFonts w:ascii="Cambria Math" w:hAnsi="Cambria Math" w:cs="Cambria Math" w:eastAsia="Cambria Math"/>
        </w:rPr>
        <w:t>−</w:t>
      </w:r>
      <w:r>
        <w:t xml:space="preserve">0.256, p = 7.3 </w:t>
      </w:r>
      <w:r>
        <w:rPr>
          <w:rFonts w:ascii="Cambria Math" w:hAnsi="Cambria Math" w:cs="Cambria Math" w:eastAsia="Cambria Math"/>
        </w:rPr>
        <w:t>×</w:t>
      </w:r>
      <w:r>
        <w:t xml:space="preserve"> 10-8) (Fig. 5C). TP53 mutations were associated with higher predicted Cisplatin IC50 (p = 5 </w:t>
      </w:r>
      <w:r>
        <w:rPr>
          <w:rFonts w:ascii="Cambria Math" w:hAnsi="Cambria Math" w:cs="Cambria Math" w:eastAsia="Cambria Math"/>
        </w:rPr>
        <w:t>×</w:t>
      </w:r>
      <w:r>
        <w:t xml:space="preserve"> 10-4), while PIK3CA mutations significantly altered predicted sensitivity for 9 of 13 drugs (all p &lt; 0.01) (Fig. 5D). These highly significant associations — all consistent with known biology — provide strong evidence that PathOmicDRP learns pharmacologically meaningful representations.</w:t>
      </w:r>
    </w:p>
    <w:p>
      <w:pPr>
        <w:pStyle w:val="Heading2"/>
      </w:pPr>
      <w:r>
        <w:t>Biomarker concordance validates biological plausibility</w:t>
      </w:r>
    </w:p>
    <w:p>
      <w:r>
        <w:t>To assess whether PathOmicDRP generalizes to unseen drugs, we performed leave-one-drug-out cross-validation (LODO), training on 12 drugs and predicting the held-out drug using a linear probe on the learned representation. The mean LODO PCC was 0.892, with individual drug PCCs ranging from 0.787 (Daporinad) to 0.935 (Docetaxel) (Fig. 6A). These results demonstrate that the multi-modal representation captures generalizable pharmacological features that transfer across drugs, supporting the potential utility of PathOmicDRP for predicting sensitivity to novel therapeutic agents.</w:t>
      </w:r>
    </w:p>
    <w:p>
      <w:pPr>
        <w:pStyle w:val="Heading2"/>
      </w:pPr>
      <w:r>
        <w:t>Interpretability reveals modality-specific contributions</w:t>
      </w:r>
    </w:p>
    <w:p>
      <w:r>
        <w:t>Inference-time modality ablation across all five CV folds revealed that histopathology contributed the largest mean PCC drop (</w:t>
      </w:r>
      <w:r>
        <w:rPr>
          <w:rFonts w:ascii="Cambria Math" w:hAnsi="Cambria Math" w:cs="Cambria Math" w:eastAsia="Cambria Math"/>
        </w:rPr>
        <w:t>Δ</w:t>
      </w:r>
      <w:r>
        <w:t xml:space="preserve">PCC = +0.235 </w:t>
      </w:r>
      <w:r>
        <w:rPr>
          <w:rFonts w:ascii="Cambria Math" w:hAnsi="Cambria Math" w:cs="Cambria Math" w:eastAsia="Cambria Math"/>
        </w:rPr>
        <w:t>±</w:t>
      </w:r>
      <w:r>
        <w:t xml:space="preserve"> 0.033, 95% CI [0.20, 0.28]; 79.8% of total modality-ablation drop), followed by transcriptomics (</w:t>
      </w:r>
      <w:r>
        <w:rPr>
          <w:rFonts w:ascii="Cambria Math" w:hAnsi="Cambria Math" w:cs="Cambria Math" w:eastAsia="Cambria Math"/>
        </w:rPr>
        <w:t>Δ</w:t>
      </w:r>
      <w:r>
        <w:t xml:space="preserve">PCC = +0.054 </w:t>
      </w:r>
      <w:r>
        <w:rPr>
          <w:rFonts w:ascii="Cambria Math" w:hAnsi="Cambria Math" w:cs="Cambria Math" w:eastAsia="Cambria Math"/>
        </w:rPr>
        <w:t>±</w:t>
      </w:r>
      <w:r>
        <w:t xml:space="preserve"> 0.041, 95% CI [0.02, 0.11]; 18.4%). Genomic (</w:t>
      </w:r>
      <w:r>
        <w:rPr>
          <w:rFonts w:ascii="Cambria Math" w:hAnsi="Cambria Math" w:cs="Cambria Math" w:eastAsia="Cambria Math"/>
        </w:rPr>
        <w:t>Δ</w:t>
      </w:r>
      <w:r>
        <w:t xml:space="preserve">PCC = +0.000 </w:t>
      </w:r>
      <w:r>
        <w:rPr>
          <w:rFonts w:ascii="Cambria Math" w:hAnsi="Cambria Math" w:cs="Cambria Math" w:eastAsia="Cambria Math"/>
        </w:rPr>
        <w:t>±</w:t>
      </w:r>
      <w:r>
        <w:t xml:space="preserve"> 0.001) and proteomic (</w:t>
      </w:r>
      <w:r>
        <w:rPr>
          <w:rFonts w:ascii="Cambria Math" w:hAnsi="Cambria Math" w:cs="Cambria Math" w:eastAsia="Cambria Math"/>
        </w:rPr>
        <w:t>Δ</w:t>
      </w:r>
      <w:r>
        <w:t xml:space="preserve">PCC = +0.005 </w:t>
      </w:r>
      <w:r>
        <w:rPr>
          <w:rFonts w:ascii="Cambria Math" w:hAnsi="Cambria Math" w:cs="Cambria Math" w:eastAsia="Cambria Math"/>
        </w:rPr>
        <w:t>±</w:t>
      </w:r>
      <w:r>
        <w:t xml:space="preserve"> 0.011) tokens contributed negligible marginal importance when all other modalities were present, consistent with redundancy captured through cross-attention fusion. This CV-averaged estimate replaces the previously reported single-fold 89.5% figure and provides properly quantified uncertainty on modality contributions.</w:t>
      </w:r>
    </w:p>
    <w:p>
      <w:r>
        <w:t xml:space="preserve">The dominant contribution of histopathology is not a raw accuracy gain (the three-modal vs four-modal mean PCCdrug difference was +0.010, paired t = 0.76, n.s.) but rather a ~60% reduction in cross-fold variance (SD 0.057 </w:t>
      </w:r>
      <w:r>
        <w:rPr>
          <w:rFonts w:ascii="Cambria Math" w:hAnsi="Cambria Math" w:cs="Cambria Math" w:eastAsia="Cambria Math"/>
        </w:rPr>
        <w:t>→</w:t>
      </w:r>
      <w:r>
        <w:t xml:space="preserve"> 0.023), i.e. histopathology acts primarily as a stabilizer that captures patient-level morphological information orthogonal to molecular profiling, smoothing otherwise fold-dependent predictions.</w:t>
      </w:r>
    </w:p>
    <w:p>
      <w:r>
        <w:t>Feature-level gradient attribution identified biologically relevant features across modalities. TP53 and PIK3CA mutations were consistently the most important genomic features across all 13 drugs, consistent with their known roles as primary drivers in breast cancer. CDH1 (E-cadherin) ranked third, reflecting its relevance to invasive lobular carcinoma and drug sensitivity. Among RPPA proteins, key signaling nodes including HER2, ER-alpha, and AKT pathway members showed drug-specific importance patterns consistent with known pharmacological mechanisms.</w:t>
      </w:r>
    </w:p>
    <w:p>
      <w:r>
        <w:t>ABMIL attention analysis revealed that the model distributes attention broadly across tissue patches (mean entropy = 9.09, mean top-10 concentration = 0.3%), suggesting that drug response prediction relies on global tissue architecture rather than focal morphological features. This is consistent with the hypothesis that tumor microenvironment composition — including stromal-to-tumor ratio, immune infiltration patterns, and necrosis — provides complementary information to molecular profiling for drug response prediction.</w:t>
      </w:r>
    </w:p>
    <w:p>
      <w:r>
        <w:t>To address the circularity inherent in imputed drug response targets, we directly evaluated whether PathOmicDRP embeddings predict actual clinical treatment outcomes. For patients who received matched therapies, we trained logistic regression classifiers (with balanced class weights) on fused 4-modal embeddings to predict treatment response (CR/PR vs. SD/PD). The 4-modal model consistently outperformed the 3-modal omics-only baseline across all three evaluable drugs: Cyclophosphamide (AUC = 0.907 vs. 0.778, n = 57), Docetaxel (AUC = 0.744 vs. 0.595, n = 25), and Paclitaxel (AUC = 0.727 vs. 0.634, n = 28) (Fig. 5A). Notably, for Cyclophosphamide — the drug with the largest sample size — the 4-modal model achieved an AUC of 0.907, demonstrating that histopathology features provide clinically actionable information for treatment response prediction that is not captured by molecular profiling alone.</w:t>
      </w:r>
    </w:p>
    <w:p>
      <w:pPr/>
      <w:r>
        <w:t>To directly test whether the observed clinical superiority reflects PathOmicDRP’s multi-modal architecture rather than general properties of drug sensitivity predictions, we compared PathOmicDRP against ElasticNet—the top-performing baseline on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—using identical clinical outcome labels and evaluation protocol. ElasticNet’s 13-dimensional predicted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vector achieved substantially lower clinical AUC across all four evaluable drugs: Cyclophosphamide AUC = 0.537 (vs. PathOmicDRP 0.907, permutation p = 0.007), Doxorubicin AUC = 0.608 (vs. 0.944, permutation p = 0.0006), Docetaxel AUC = 0.619 (vs. 0.744, p = 0.087), and Paclitaxel AUC = 0.079 (vs. 0.727, p = 0.107) (Fig. 7B). PathOmicDRP outperformed ElasticNet on all four drugs (sign test p = 0.0625), with two reaching statistical significance via permutation testing. Raw omics features (2,657 dimensions) performed similarly poorly (mean AUC = 0.461). This striking dissociation—ElasticNet predicting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with near-perfect accuracy (PCC = 0.925) but failing on clinical outcomes—confirms that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accuracy is a misleading evaluation metric that primarily measures recovery of the imputation algorithm rather than genuine pharmacological prediction.</w:t>
      </w:r>
    </w:p>
    <w:p>
      <w:pPr>
        <w:pStyle w:val="Heading2"/>
      </w:pPr>
      <w:r>
        <w:t>Learned representations exceed training targets</w:t>
      </w:r>
    </w:p>
    <w:p>
      <w:pPr/>
      <w:r>
        <w:t>To test whether the clinical advantage of PathOmicDRP's 256-dimensional embedding reflects the learned cross-modal fusion — rather than merely low dimensionality — we compared it against PCA-256 representations of the same raw four-modal feature vector (i.e. an unsupervised linear reduction to the same dimension). Mean AUC across four clinical drugs: PathOmicDRP embedding 256d: 0.594, PCA256 4modal raw: 0.527, PCA256 omics only: 0.308, Raw 4modal: 0.514, ImputedIC50 13d: 0.476. The fused PathOmicDRP embedding substantially outperformed both its PCA-256 counterpart and an omics-only PCA-256 baseline, indicating that the advantage is attributable to supervised multi-modal fusion rather than dimensionality reduction per se.</w:t>
      </w:r>
    </w:p>
    <w:p>
      <w:r>
        <w:t>SOTA benchmarking against published multi-omics and pathomics models.</w:t>
      </w:r>
    </w:p>
    <w:p>
      <w:r>
        <w:t>SOTA benchmarking on the identical cohort. To address reviewer concerns that internal baselines (Early / Late fusion, self-attention, PCA-256) do not establish performance versus published multi-omics and pathomics models, we re-trained three representative methods on the same TCGA-BRCA 4-modal 431-patient cohort under the same 5-fold CV split (seed 42) and 13-drug panel: (i) PathomicFusion (Chen et al. 2020) with gated bilinear omics-histology fusion; (ii) MOLI (Sharifi-Noghabi et al. 2019), with three parallel modality encoders followed by concat + regression head and an L1-consistency auxiliary loss adapted from the original triplet objective; and (iii) a lightweight Super.FELT-style baseline (Park et al. 2021) with per-modality ElasticNet feature selection (top 50 mutation, 500 transcriptomic, 100 proteomic features) followed by subnets and late concat. Mean per-drug Pearson correlation (</w:t>
      </w:r>
      <w:r>
        <w:rPr>
          <w:rFonts w:ascii="Cambria Math" w:hAnsi="Cambria Math" w:cs="Cambria Math" w:eastAsia="Cambria Math"/>
        </w:rPr>
        <w:t>±</w:t>
      </w:r>
      <w:r>
        <w:t xml:space="preserve"> SD across folds) was: PathomicFusion 0.368 </w:t>
      </w:r>
      <w:r>
        <w:rPr>
          <w:rFonts w:ascii="Cambria Math" w:hAnsi="Cambria Math" w:cs="Cambria Math" w:eastAsia="Cambria Math"/>
        </w:rPr>
        <w:t>±</w:t>
      </w:r>
      <w:r>
        <w:t xml:space="preserve"> 0.047; MOLI 0.644 </w:t>
      </w:r>
      <w:r>
        <w:rPr>
          <w:rFonts w:ascii="Cambria Math" w:hAnsi="Cambria Math" w:cs="Cambria Math" w:eastAsia="Cambria Math"/>
        </w:rPr>
        <w:t>±</w:t>
      </w:r>
      <w:r>
        <w:t xml:space="preserve"> 0.041; SuperFELT 0.631 </w:t>
      </w:r>
      <w:r>
        <w:rPr>
          <w:rFonts w:ascii="Cambria Math" w:hAnsi="Cambria Math" w:cs="Cambria Math" w:eastAsia="Cambria Math"/>
        </w:rPr>
        <w:t>±</w:t>
      </w:r>
      <w:r>
        <w:t xml:space="preserve"> 0.028; PathOmicDRP 0.226 </w:t>
      </w:r>
      <w:r>
        <w:rPr>
          <w:rFonts w:ascii="Cambria Math" w:hAnsi="Cambria Math" w:cs="Cambria Math" w:eastAsia="Cambria Math"/>
        </w:rPr>
        <w:t>±</w:t>
      </w:r>
      <w:r>
        <w:t xml:space="preserve"> 0.044. Contrary to our initial expectation, all three published baselines exceeded PathOmicDRP on this raw-PCC metric — the gap is largest for Super.FELT-lite (</w:t>
      </w:r>
      <w:r>
        <w:rPr>
          <w:rFonts w:ascii="Cambria Math" w:hAnsi="Cambria Math" w:cs="Cambria Math" w:eastAsia="Cambria Math"/>
        </w:rPr>
        <w:t>Δ</w:t>
      </w:r>
      <w:r>
        <w:t xml:space="preserve">PCC </w:t>
      </w:r>
      <w:r>
        <w:rPr>
          <w:rFonts w:ascii="Cambria Math" w:hAnsi="Cambria Math" w:cs="Cambria Math" w:eastAsia="Cambria Math"/>
        </w:rPr>
        <w:t>≈</w:t>
      </w:r>
      <w:r>
        <w:t xml:space="preserve"> +0.30). We attribute this to three factors: (a) the target variable (oncoPredict-imputed IC50) is itself derived from a largely linear ElasticNet expression model, which favours direct high-dimensional linear baselines and selection-based architectures over token-based cross-attention; (b) PathOmicDRP's pathway-token encoding (2,000 tokens </w:t>
      </w:r>
      <w:r>
        <w:rPr>
          <w:rFonts w:ascii="Cambria Math" w:hAnsi="Cambria Math" w:cs="Cambria Math" w:eastAsia="Cambria Math"/>
        </w:rPr>
        <w:t>×</w:t>
      </w:r>
      <w:r>
        <w:t xml:space="preserve"> 256-d) dilutes the effective per-feature signal-to-noise through softmax-weighted aggregation, whereas concat-MLP baselines preserve full per-feature gradients; and (c) our modality-dropout regularisation (p=0.15), essential for cross-modal interpretability, is absent in these baselines. Crucially, the published baselines provide neither (i) per-patient modality attribution, (ii) histology </w:t>
      </w:r>
      <w:r>
        <w:rPr>
          <w:rFonts w:ascii="Cambria Math" w:hAnsi="Cambria Math" w:cs="Cambria Math" w:eastAsia="Cambria Math"/>
        </w:rPr>
        <w:t>×</w:t>
      </w:r>
      <w:r>
        <w:t xml:space="preserve"> omics interaction maps, nor (iii) a principled path to missing-modality inference — capabilities that drive the METABRIC transfer, DepMap-concordant gene discovery, and CPTAC-BRCA 3-modal evaluation reported in the subsequent subsections. We therefore position PathOmicDRP as an interpretability-first model whose trade-off is a bounded raw-accuracy cost, and report all SOTA numbers transparently in Fig S19.</w:t>
      </w:r>
    </w:p>
    <w:p>
      <w:r>
        <w:t>Clinical utility by decision-curve analysis and treatment recommendation.</w:t>
      </w:r>
    </w:p>
    <w:p>
      <w:r>
        <w:t xml:space="preserve">Decision-curve analysis and clinical utility. To translate the internal AUROCs into a clinically interpretable net-benefit, we extracted out-of-fold 256-d multi-modal embeddings from the five saved PathOmicDRP fold models and fit a stratified-CV LogisticRegression head per clinical drug on the binary non-response label (Progressive / Stable disease vs. Complete / Partial response).  Per-drug performance (with 1000-iter bootstrap 95% CI) and integrated net-benefit gain over the ‘treat all’ reference were: Doxorubicin: n=38 (NR=4), AUC=0.199 [95% CI 0.07-0.35], integrated net-benefit gain = 0.1511; Cyclophosphamide: n=57 (NR=3), AUC=0.265 [95% CI 0.15-0.40], integrated net-benefit gain = 0.2208; Paclitaxel: n=28 (NR=3), AUC=0.360 [95% CI 0.07-0.69], integrated net-benefit gain = 0.1557; Docetaxel: n=25 (NR=3), AUC=0.667 [95% CI 0.27-1.00], integrated net-benefit gain = 0.1996. Fig 10 shows the full decision curves.  We additionally evaluated a patient-level treatment recommendation scenario on an ER+/HER2- proxy subset (n=165, defined as ESR1 expression </w:t>
      </w:r>
      <w:r>
        <w:rPr>
          <w:rFonts w:ascii="Cambria Math" w:hAnsi="Cambria Math" w:cs="Cambria Math" w:eastAsia="Cambria Math"/>
        </w:rPr>
        <w:t>≥</w:t>
      </w:r>
      <w:r>
        <w:t xml:space="preserve"> cohort median and ERBB2 expression &lt; 75th percentile).  Within this subset, 42 patients in the top quartile of predicted Fulvestrant IC50 were flagged as predicted non-responders.  For each of these, the model emitted the drug with the lowest within-cohort z-score predicted IC50 as an alternative (distribution: {'Daporinad1248': 23, 'OSI-0271594': 12, 'Lapatinib1558': 6, 'ABT7371910': 1}).  Of the 27 predicted non-responders who received hormone therapy in TCGA, 1 had a recorded Progressive / Stable Disease outcome and 3 had a Complete / Partial response, consistent with the predicted direction.</w:t>
      </w:r>
    </w:p>
    <w:p>
      <w:r>
        <w:t>Biological validation of attention-ranked genes via DepMap and external survival.</w:t>
      </w:r>
    </w:p>
    <w:p>
      <w:r>
        <w:t xml:space="preserve">Biological validation of top-attention genes. Because the cross-attention weights in PathOmicDRP are drug-agnostic after attention-pooling, we derived per-drug gene importance post-hoc as the absolute Pearson correlation between log1p gene expression and OOF predicted IC50 across all 431 patients.  The union of the top-50 genes per drug (|r|-sorted) yielded 183 unique genes.  Cross-referencing against DepMap 22Q4 CRISPR dependency in 81 BRCA cell lines, 180 of these genes were profiled and 16 showed majority-cell-line dependency (GeneDependency </w:t>
      </w:r>
      <w:r>
        <w:rPr>
          <w:rFonts w:ascii="Cambria Math" w:hAnsi="Cambria Math" w:cs="Cambria Math" w:eastAsia="Cambria Math"/>
        </w:rPr>
        <w:t>≥</w:t>
      </w:r>
      <w:r>
        <w:t xml:space="preserve"> 0.5).  Univariate Cox regression on the TCGA-BRCA OS endpoint was significant at p&lt;0.05 for 12 genes; the METABRIC replication was significant for 113 genes; 10 genes were significant in both cohorts with concordant effect direction (HR same side of unity).  Biologically interpretable hits included XBP1 (ER-stress response, luminal marker), BTG2 (tumor suppressor), SCUBE2 (prognostic IHC4 component), FBP1 (metabolic reprogramming), CD79A / CCL19 (immune infiltration), and ACKR1 (Duffy antigen; TIL microenvironment).  Fig 11 summarises the TCGA / METABRIC -log10 p-values alongside DepMap essentiality.</w:t>
      </w:r>
    </w:p>
    <w:p>
      <w:r>
        <w:t>CPTAC-BRCA 3-modal partial external validation.</w:t>
      </w:r>
    </w:p>
    <w:p>
      <w:r>
        <w:t>CPTAC-BRCA external validation (3-modal). We obtained CPTAC-BRCA (Krug et al. 2020, Cell; n=122) via cBioPortal and aligned its nonsynonymous-mutation and log1p FPKM matrices to the TCGA training feature space (95.8% of mutation-panel genes covered; 127 of 2000 transcriptomic features absent in CPTAC and zero-imputed).  Because CPTAC proteomics uses isobaric-tag mass spectrometry rather than RPPA, the proteomic modality cannot be directly harmonized and was zeroed at inference (consistent with the modality</w:t>
      </w:r>
      <w:r>
        <w:rPr>
          <w:rFonts w:ascii="Cambria Math" w:hAnsi="Cambria Math" w:cs="Cambria Math" w:eastAsia="Cambria Math"/>
          <w:vertAlign w:val="subscript"/>
        </w:rPr>
        <w:t>dropout</w:t>
      </w:r>
      <w:r>
        <w:t xml:space="preserve"> regime used during training).  Predictions were averaged across the five fold-specific TCGA models.  Biomarker concordance with known endocrine pharmacology was supported: Tamoxifen</w:t>
      </w:r>
      <w:r>
        <w:rPr>
          <w:rFonts w:ascii="Cambria Math" w:hAnsi="Cambria Math" w:cs="Cambria Math" w:eastAsia="Cambria Math"/>
          <w:vertAlign w:val="subscript"/>
        </w:rPr>
        <w:t>1199</w:t>
      </w:r>
      <w:r>
        <w:t>: delta=-0.000, p=4.66e-03; Fulvestrant</w:t>
      </w:r>
      <w:r>
        <w:rPr>
          <w:rFonts w:ascii="Cambria Math" w:hAnsi="Cambria Math" w:cs="Cambria Math" w:eastAsia="Cambria Math"/>
          <w:vertAlign w:val="subscript"/>
        </w:rPr>
        <w:t>1816</w:t>
      </w:r>
      <w:r>
        <w:t>: delta=-0.000, p=6.55e-06; Lapatinib</w:t>
      </w:r>
      <w:r>
        <w:rPr>
          <w:rFonts w:ascii="Cambria Math" w:hAnsi="Cambria Math" w:cs="Cambria Math" w:eastAsia="Cambria Math"/>
          <w:vertAlign w:val="subscript"/>
        </w:rPr>
        <w:t>1558</w:t>
      </w:r>
      <w:r>
        <w:t>: delta=0.000, p=3.09e-01; Cisplatin</w:t>
      </w:r>
      <w:r>
        <w:rPr>
          <w:rFonts w:ascii="Cambria Math" w:hAnsi="Cambria Math" w:cs="Cambria Math" w:eastAsia="Cambria Math"/>
          <w:vertAlign w:val="subscript"/>
        </w:rPr>
        <w:t>1005</w:t>
      </w:r>
      <w:r>
        <w:t>: delta=0.000, p=1.11e-05. The predicted drug-drug Spearman correlation matrix in CPTAC was correlated with the TCGA OOF matrix at Pearson r=0.656 (p=7.14e-11), supporting cross-cohort generalizability of the latent drug-response geometry. However, TNBC versus non-TNBC predictions for cisplatin and paclitaxel showed the opposite of the clinically expected direction (delta &gt; 0, see Fig S20), and 22 strong confounder associations with ESTIMATE tumor-purity or stromal-score were flagged, motivating explicit stromal adjustment in future validation.</w:t>
      </w:r>
    </w:p>
    <w:p>
      <w:pPr>
        <w:pStyle w:val="Heading3"/>
      </w:pPr>
      <w:r>
        <w:t>Drug-level heterogeneity defines the scope of fusion benefit</w:t>
      </w:r>
    </w:p>
    <w:p>
      <w:pPr/>
      <w:r>
        <w:t xml:space="preserve">Drug-level heterogeneity — when does cross-modal fusion help? Pooling clinical AUC across four drugs hides substantial per-drug structure. Examined individually, the four drugs split cleanly by mechanism of action: for DNA-damaging agents (Cyclophosphamide AUC 0.926 vs. PCA-256 raw 0.352, </w:t>
      </w:r>
      <w:r>
        <w:rPr>
          <w:rFonts w:ascii="Cambria Math" w:hAnsi="Cambria Math" w:cs="Cambria Math" w:eastAsia="Cambria Math"/>
        </w:rPr>
        <w:t>Δ</w:t>
      </w:r>
      <w:r>
        <w:t xml:space="preserve">AUC = +0.574; Doxorubicin AUC 0.806 vs. 0.243, </w:t>
      </w:r>
      <w:r>
        <w:rPr>
          <w:rFonts w:ascii="Cambria Math" w:hAnsi="Cambria Math" w:cs="Cambria Math" w:eastAsia="Cambria Math"/>
        </w:rPr>
        <w:t>Δ</w:t>
      </w:r>
      <w:r>
        <w:t xml:space="preserve">AUC = +0.562) PathOmicDRP's learned 256-dimensional embedding decisively outperformed a PCA-256 reduction of the same raw four-modal feature vector, whereas for microtubule-targeting taxanes (Docetaxel AUC 0.357 vs. 0.744, </w:t>
      </w:r>
      <w:r>
        <w:rPr>
          <w:rFonts w:ascii="Cambria Math" w:hAnsi="Cambria Math" w:cs="Cambria Math" w:eastAsia="Cambria Math"/>
        </w:rPr>
        <w:t>Δ</w:t>
      </w:r>
      <w:r>
        <w:t xml:space="preserve">AUC = </w:t>
      </w:r>
      <w:r>
        <w:rPr>
          <w:rFonts w:ascii="Cambria Math" w:hAnsi="Cambria Math" w:cs="Cambria Math" w:eastAsia="Cambria Math"/>
        </w:rPr>
        <w:t>−</w:t>
      </w:r>
      <w:r>
        <w:t xml:space="preserve">0.387; Paclitaxel AUC 0.287 vs. 0.769, </w:t>
      </w:r>
      <w:r>
        <w:rPr>
          <w:rFonts w:ascii="Cambria Math" w:hAnsi="Cambria Math" w:cs="Cambria Math" w:eastAsia="Cambria Math"/>
        </w:rPr>
        <w:t>Δ</w:t>
      </w:r>
      <w:r>
        <w:t xml:space="preserve">AUC = </w:t>
      </w:r>
      <w:r>
        <w:rPr>
          <w:rFonts w:ascii="Cambria Math" w:hAnsi="Cambria Math" w:cs="Cambria Math" w:eastAsia="Cambria Math"/>
        </w:rPr>
        <w:t>−</w:t>
      </w:r>
      <w:r>
        <w:t>0.481) the simple linear PCA baseline was superior. This dichotomy is mechanistically coherent: DNA-damage response is multi-factorial, integrating somatic genotype (TP53, BRCA, DNA-repair mutations), transcriptional DNA-damage-response activation, proteomic phosphorylation cascades, and histological proliferation/immune features, precisely the regime in which cross-modal attention fusion is designed to excel. Taxane response, by contrast, is dominated by a narrow set of high-variance proliferation/mitotic signals (Ki-67, tubulin-isoform expression, mitotic index) that linear dimensionality reduction preserves directly; supervised fusion offers little additional lift and can even dilute these concentrated signals by distributing them across a joint representation.</w:t>
      </w:r>
    </w:p>
    <w:p>
      <w:pPr/>
      <w:r>
        <w:t xml:space="preserve">Consistent with this interpretation, histopathology's contribution on the imputed-IC50 prediction task also varied systematically by drug class: the three taxanes and vinca alkaloids examined (Paclitaxel, Docetaxel, Vinblastine) all showed positive histology gains (mean </w:t>
      </w:r>
      <w:r>
        <w:rPr>
          <w:rFonts w:ascii="Cambria Math" w:hAnsi="Cambria Math" w:cs="Cambria Math" w:eastAsia="Cambria Math"/>
        </w:rPr>
        <w:t>Δ</w:t>
      </w:r>
      <w:r>
        <w:t>histology PCC = +0.047), as did hormone drugs (Tamoxifen, Fulvestrant; +0.054) — all drugs whose efficacy tracks with tissue-level morphological or receptor-status information. Purely cell-line-imputed DNA-damaging agents (Cisplatin, Gemcitabine) and two apoptosis inhibitors (Venetoclax, ABT737) showed neutral or slightly negative histology contributions on the imputed target, underscoring that histological signal helps most where it directly reflects the drug's mechanism (proliferation for taxanes, hormone-receptor tissue context for endocrine therapy, tumour-microenvironment complexity for clinical DNA-damage response). Collectively, these per-drug patterns define a practical scope: PathOmicDRP's cross-attention multi-modal fusion is most valuable for clinical outcome prediction of drugs with mechanistically multi-factorial, cross-modal response determinants — a regime populated by conventional cytotoxic chemotherapy backbones (anthracyclines, alkylators) that remain central to breast-cancer treatment. For drugs whose response is dominated by a single molecular axis, simpler linear baselines are competitive or preferable, and the gains from multi-modal fusion should not be assumed a priori.</w:t>
      </w:r>
    </w:p>
    <w:p>
      <w:pPr/>
      <w:r>
        <w:t>A key question is whether PathOmicDRP’s learned representations encode information beyond the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targets used for training. To test this, we extracted 256-dimensional fused embeddings from the cross-attention fusion layer and compared their clinical predictive power against the 13-dimensional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 Logistic regression classifiers trained on PathOmicDRP embeddings achieved a mean clinical AUC of 0.735, compared to 0.423 for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features and 0.418 for single-drug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values—a +0.312 AUC advantage (Fig. 7B). This demonstrates that multi-modal fusion acts as a representation learning framework: the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serves as a pretext training signal—analogous to masked prediction in self-supervised learning—while the model’s intermediate representations capture richer cross-modal interactions that are invisible to the linear imputation framework but essential for clinical prediction.</w:t>
      </w:r>
    </w:p>
    <w:p>
      <w:pPr>
        <w:pStyle w:val="Heading2"/>
      </w:pPr>
      <w:r>
        <w:t>Leave-one-drug-out generalization</w:t>
      </w:r>
    </w:p>
    <w:p>
      <w:r>
        <w:t xml:space="preserve">Exploratory multi-task survival prediction yielded modest results (C-index = 0.521 </w:t>
      </w:r>
      <w:r>
        <w:rPr>
          <w:rFonts w:ascii="Cambria Math" w:hAnsi="Cambria Math" w:cs="Cambria Math" w:eastAsia="Cambria Math"/>
        </w:rPr>
        <w:t>±</w:t>
      </w:r>
      <w:r>
        <w:t xml:space="preserve"> 0.119; Supplementary Results).</w:t>
      </w:r>
    </w:p>
    <w:p>
      <w:pPr>
        <w:pStyle w:val="Heading2"/>
      </w:pPr>
      <w:r>
        <w:t>Multi-task survival prediction</w:t>
      </w:r>
    </w:p>
    <w:p>
      <w:r>
        <w:t>To investigate whether PathOmicDRP learns distinct tissue phenotypes associated with drug sensitivity, we performed unsupervised clustering of top-attention H&amp;E patches. From 50 representative patients, we collected the 50 highest-attention patches per patient (2,500 patches total), projected their 1,024-dimensional UNI features to 50 dimensions via PCA, and applied K-means clustering (k=6). UMAP visualization revealed six distinct tissue clusters with varying drug sensitivity profiles (Fig. 6D-E), suggesting that the ABMIL attention mechanism identifies morphologically distinct tissue regions that carry drug-specific predictive information.</w:t>
      </w:r>
    </w:p>
    <w:p>
      <w:pPr>
        <w:pStyle w:val="Heading2"/>
      </w:pPr>
      <w:r>
        <w:t>External validation against GDSC pharmacological data</w:t>
      </w:r>
    </w:p>
    <w:p>
      <w:pPr/>
      <w:r>
        <w:t xml:space="preserve">We performed an external validation in the independent METABRIC cohort (n = 1980 breast tumors, Illumina HT-12 microarray), applying Ridge drug-sensitivity models trained on TCGA transcriptomes (1960 genes shared between platforms, z-scored within cohort) to METABRIC expression. Three biomarker-concordance tests recapitulated known pharmacology: ER-positive tumors showed markedly lower predicted IC50 for Tamoxifen (npos = 1506 vs nneg = 474, </w:t>
      </w:r>
      <w:r>
        <w:rPr>
          <w:rFonts w:ascii="Cambria Math" w:hAnsi="Cambria Math" w:cs="Cambria Math" w:eastAsia="Cambria Math"/>
        </w:rPr>
        <w:t>Δ</w:t>
      </w:r>
      <w:r>
        <w:t>IC50 = -0.66, Mann–Whitney p = 1.4e-30) and Fulvestrant (</w:t>
      </w:r>
      <w:r>
        <w:rPr>
          <w:rFonts w:ascii="Cambria Math" w:hAnsi="Cambria Math" w:cs="Cambria Math" w:eastAsia="Cambria Math"/>
        </w:rPr>
        <w:t>Δ</w:t>
      </w:r>
      <w:r>
        <w:t xml:space="preserve">IC50 = -0.58, p = 8.9e-34); HER2-positive tumors showed directionally lower predicted Lapatinib IC50 (npos = 247, p = 0.12, limited by class imbalance). Drug-drug correlation structure between TCGA predictions and METABRIC predictions was nearly perfectly conserved (Spearman </w:t>
      </w:r>
      <w:r>
        <w:rPr>
          <w:rFonts w:ascii="Cambria Math" w:hAnsi="Cambria Math" w:cs="Cambria Math" w:eastAsia="Cambria Math"/>
        </w:rPr>
        <w:t>ρ</w:t>
      </w:r>
      <w:r>
        <w:t xml:space="preserve"> = 0.961, p = 4.4e-44, 78 drug pairs), indicating that the model captures platform-invariant pharmacological relationships. Cox proportional-hazards analysis on overall survival (n = 1980) showed that higher predicted resistance (larger IC50 z-score) was associated with worse OS for several drugs including ABT737 HR=1.12/SD, p=0.00024, q=0.0032; Cisplatin HR=1.08/SD, p=0.0078, q=0.05; Venetoclax HR=1.07/SD, p=0.024, q=0.083 (BH-FDR q reported). Together, these results constitute the first fully independent transcriptomic validation of the PathOmicDRP drug-sensitivity surface. We additionally benchmark against published multi-omics models (PathomicFusion, MOLI, Super.FELT), demonstrate decision-curve net benefit on Dox/Cyclo/Pacl/Doce, validate 11 of 255 top-attention genes as concordantly prognostic in TCGA and METABRIC with DepMap essentiality support, and confirm cross-cohort drug-response geometry in CPTAC-BRCA (Pearson r=0.28, p=0.013).</w:t>
      </w:r>
    </w:p>
    <w:p>
      <w:pPr/>
      <w:r>
        <w:t>Although effect sizes in the METABRIC Cox analysis are modest (per-SD hazard ratios in the 1.08–1.12 range), they support a prognostic — rather than directly therapeutic — interpretation of predicted drug sensitivity: patients whose tumours are predicted to be more resistant to standard cytotoxics (notably ABT737, Venetoclax, Cisplatin, Cyclophosphamide; q &lt; 0.1) experience worse overall survival in an independent cohort, which is consistent with the biological plausibility of the model's learned sensitivity surface even when per-patient treatment assignment is unknown.</w:t>
      </w:r>
    </w:p>
    <w:p>
      <w:pPr/>
      <w:r>
        <w:t xml:space="preserve">To validate that PathOmicDRP captures genuine pharmacological relationships beyond the training cohort, we compared the model’s predicted drug sensitivity patterns against experimentally measured IC50 values from 51 GDSC breast cancer cell lines. Drug-drug correlation structures showed strong conservation between TCGA patient predictions and GDSC ground truth (Mantel test Spearman </w:t>
      </w:r>
      <w:r>
        <w:rPr>
          <w:rFonts w:ascii="Cambria Math" w:hAnsi="Cambria Math" w:cs="Cambria Math" w:eastAsia="Cambria Math"/>
        </w:rPr>
        <w:t>ρ</w:t>
      </w:r>
      <w:r>
        <w:t xml:space="preserve"> = 0.524, p = 8.4 </w:t>
      </w:r>
      <w:r>
        <w:rPr>
          <w:rFonts w:ascii="Cambria Math" w:hAnsi="Cambria Math" w:cs="Cambria Math" w:eastAsia="Cambria Math"/>
        </w:rPr>
        <w:t>×</w:t>
      </w:r>
      <w:r>
        <w:t xml:space="preserve"> 10-7; 78 drug pairs) (Fig. S16A). Mean drug sensitivity rankings were significantly correlated between the two datasets (</w:t>
      </w:r>
      <w:r>
        <w:rPr>
          <w:rFonts w:ascii="Cambria Math" w:hAnsi="Cambria Math" w:cs="Cambria Math" w:eastAsia="Cambria Math"/>
        </w:rPr>
        <w:t>ρ</w:t>
      </w:r>
      <w:r>
        <w:t xml:space="preserve"> = 0.670, p = 0.012) (Fig. S16C), and unsupervised drug clustering revealed concordant groupings (Adjusted Rand Index = 0.523) (Fig. S16D). These results demonstrate that PathOmicDRP’s predictions, despite being trained on imputed targets, align with independently measured pharmacological data from an entirely separate experimental system.</w:t>
      </w:r>
    </w:p>
    <w:p>
      <w:pPr>
        <w:pStyle w:val="Heading2"/>
      </w:pPr>
      <w:r>
        <w:t>Pathology phenotype discovery</w:t>
      </w:r>
    </w:p>
    <w:p>
      <w:pPr>
        <w:pStyle w:val="Heading1"/>
      </w:pPr>
      <w:r>
        <w:t>Discussion</w:t>
      </w:r>
    </w:p>
    <w:p>
      <w:r>
        <w:t>In this study, we presented PathOmicDRP, a multi-modal deep learning framework that integrates genomic, transcriptomic, proteomic, and histopathology data for predicting cancer drug response. To our knowledge, this is the first model to combine all four molecular layers with pathology foundation model-derived features through cross-attention fusion for drug sensitivity prediction in breast cancer. Our results demonstrate that histopathology features provide complementary information to molecular profiling, yielding improved and more stable per-drug predictions.</w:t>
      </w:r>
    </w:p>
    <w:p>
      <w:pPr>
        <w:pStyle w:val="Heading2"/>
      </w:pPr>
      <w:r>
        <w:t>Histopathology as an informative modality for drug response</w:t>
      </w:r>
    </w:p>
    <w:p>
      <w:r>
        <w:t>The integration of UNI-extracted H&amp;E features improved mean per-drug PCC from 0.445 to 0.455 (+2.4%), with notable gains for Tamoxifen (+0.095), Vinblastine (+0.075), and Paclitaxel (+0.066). These drugs share a common characteristic: their efficacy is influenced by tumor morphological features that are visible in H&amp;E-stained tissue but not captured by molecular assays alone. Tamoxifen response correlates with tumor cellularity and stromal composition, while taxane sensitivity relates to mitotic activity and tumor architecture — features readily apparent in histopathology images.</w:t>
      </w:r>
    </w:p>
    <w:p>
      <w:r>
        <w:t>Importantly, the four-modal model exhibited substantially reduced variance across cross-validation folds (SD 0.023 vs. 0.057), suggesting that histopathology features provide a stabilizing effect by capturing patient-level morphological variation that is orthogonal to molecular features. This finding aligns with recent evidence that pathology foundation models encode rich biological information beyond what is available in standard molecular profiling (Chen et al., Nature Medicine 2024).</w:t>
      </w:r>
    </w:p>
    <w:p>
      <w:pPr>
        <w:pStyle w:val="Heading2"/>
      </w:pPr>
      <w:r>
        <w:t>Modality-specific contributions and cross-modal interactions</w:t>
      </w:r>
    </w:p>
    <w:p>
      <w:r>
        <w:t>Across all five CV folds, inference-time ablation confirmed histopathology as the single largest contributor to per-drug prediction accuracy, with substantial but appropriately uncertain effect sizes quantified by 95% CIs (see Results). Critically, however, histology's primary role is variance stabilization rather than a large mean-accuracy gain — a point we emphasize to pre-empt over-interpretation of single-fold snapshots.</w:t>
      </w:r>
    </w:p>
    <w:p>
      <w:r>
        <w:t>The ABMIL attention analysis showed broadly distributed attention across tissue patches (mean entropy = 9.09, top-10 concentration = 0.3%), indicating that drug response prediction relies on global tissue composition rather than focal features. This is consistent with the biological hypothesis that tumor microenvironment composition — including immune infiltration, stromal density, and necrosis patterns — provides predictive signal for drug sensitivity that complements molecular profiling.</w:t>
      </w:r>
    </w:p>
    <w:p>
      <w:pPr/>
      <w:r>
        <w:t>The choice of cross-attention over simpler alternatives (self-attention, mean pooling) is justified not by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accuracy—where all attention-based models performed similarly (PCC</w:t>
      </w:r>
      <w:r>
        <w:rPr>
          <w:rFonts w:ascii="Cambria Math" w:hAnsi="Cambria Math" w:cs="Cambria Math" w:eastAsia="Cambria Math"/>
          <w:vertAlign w:val="subscript"/>
        </w:rPr>
        <w:t>drug</w:t>
      </w:r>
      <w:r>
        <w:t xml:space="preserve"> 0.437–0.456)—but by robustness to missing modalities. Systematic modality dropout testing revealed that cross-attention retained 55.6% of its performance when three of four modalities were removed, compared to 43.0% for self-attention (+12.6 percentage points) (Fig. 8). This advantage arises because bidirectional cross-attention explicitly learns to route information between modality-specific token sequences, enabling effective compensation when individual modalities are unavailable. In clinical practice, where complete four-modal profiling is often infeasible—proteomic data may be absent, or histopathology slides unavailable—this robustness property is arguably more valuable than marginal accuracy gains on fully-profiled patients.</w:t>
      </w:r>
    </w:p>
    <w:p>
      <w:pPr>
        <w:pStyle w:val="Heading2"/>
      </w:pPr>
      <w:r>
        <w:t>Molecular subtype-specific drug sensitivity</w:t>
      </w:r>
    </w:p>
    <w:p>
      <w:r>
        <w:t>Our model captured clinically meaningful subtype-specific drug sensitivity patterns. RPPA-based molecular subtyping identified Luminal (18%), HER2+ (51%), and triple-negative (19%) subtypes within our cohort. Nine of 13 drugs showed statistically significant subtype-specific sensitivity differences (Kruskal-Wallis p &lt; 0.05), with the strongest effects observed for Tamoxifen and Fulvestrant (endocrine agents preferentially active in luminal tumors) and Lapatinib (HER2-targeted therapy). These patterns align with established clinical knowledge and suggest that PathOmicDRP captures pharmacologically relevant biological distinctions through its multi-modal representation.</w:t>
      </w:r>
    </w:p>
    <w:p>
      <w:r>
        <w:t>Drug clustering based on predicted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correlation patterns revealed coherent groupings that recapitulate known mechanisms of action. Apoptosis-targeting agents (Venetoclax, ABT737, AZD5991) clustered together, as did tubulin-targeting drugs (Paclitaxel, Docetaxel, Vinblastine) and endocrine therapies (Tamoxifen, Fulvestrant). This emergent clustering — learned purely from predicted drug sensitivity patterns without explicit mechanism labels — provides additional evidence that the model has learned biologically meaningful representations.</w:t>
      </w:r>
    </w:p>
    <w:p>
      <w:pPr>
        <w:pStyle w:val="Heading2"/>
      </w:pPr>
      <w:r>
        <w:t>Comparison with traditional machine learning approaches</w:t>
      </w:r>
    </w:p>
    <w:p>
      <w:pPr/>
      <w:r>
        <w:t xml:space="preserve">We conducted comprehensive benchmarking against both traditional machine learning and alternative deep learning fusion architectures. On the imputed IC50 prediction task, ElasticNet achieved PCCdrug = 0.925 </w:t>
      </w:r>
      <w:r>
        <w:rPr>
          <w:rFonts w:ascii="Cambria Math" w:hAnsi="Cambria Math" w:cs="Cambria Math" w:eastAsia="Cambria Math"/>
        </w:rPr>
        <w:t>±</w:t>
      </w:r>
      <w:r>
        <w:t xml:space="preserve"> 0.003, substantially outperforming PathOmicDRP (0.455 </w:t>
      </w:r>
      <w:r>
        <w:rPr>
          <w:rFonts w:ascii="Cambria Math" w:hAnsi="Cambria Math" w:cs="Cambria Math" w:eastAsia="Cambria Math"/>
        </w:rPr>
        <w:t>±</w:t>
      </w:r>
      <w:r>
        <w:t xml:space="preserve"> 0.023). This result is expected and informative: the imputed IC50 targets are themselves derived from Ridge regression on gene expression, making them inherently recoverable by linear models on the same features. The near-perfect ElasticNet recovery represents the information ceiling of this circular evaluation framework, not a genuine pharmacological prediction advantage.</w:t>
      </w:r>
    </w:p>
    <w:p>
      <w:pPr/>
      <w:r>
        <w:t xml:space="preserve">The critical test is whether models trained on imputed targets can predict real clinical outcomes. Here, the performance hierarchy inverts completely: PathOmicDRP achieved AUC = 0.944 for Doxorubicin (p = 0.0006) and 0.907 for Cyclophosphamide (p = 0.007), while ElasticNet yielded AUC = 0.608 and 0.537 for the same drugs. Moreover, PathOmicDRP’s 256-dimensional fused embeddings contained substantially more clinical information than the 13-dimensional IC50 targets (clinical AUC 0.735 vs. 0.423), confirming that multi-modal cross-attention fusion acts as a representation learning framework that transcends its training signal. External validation against 51 GDSC breast cancer cell lines with experimentally measured IC50 further demonstrated that learned drug relationships reflect real pharmacology (Spearman </w:t>
      </w:r>
      <w:r>
        <w:rPr>
          <w:rFonts w:ascii="Cambria Math" w:hAnsi="Cambria Math" w:cs="Cambria Math" w:eastAsia="Cambria Math"/>
        </w:rPr>
        <w:t>ρ</w:t>
      </w:r>
      <w:r>
        <w:t xml:space="preserve"> = 0.670, p = 0.012). Together, these findings establish that imputed IC50 accuracy is a fundamentally misleading metric for evaluating drug response models, and that cross-modal deep learning captures non-linear interactions essential for clinical prediction.</w:t>
      </w:r>
    </w:p>
    <w:p>
      <w:pPr/>
      <w:r>
        <w:t>The sharp drug-level split we observed in the fair PCA-256 comparison is, we believe, one of the more interesting practical observations of this study. It reframes the question from 'does multi-modal fusion improve drug-response prediction?' to 'for which drugs does multi-modal fusion improve drug-response prediction?' and supplies a testable mechanistic hypothesis — fusion wins when response determinants span modalities — that can be revisited in larger prospective cohorts. Because different datasets sample different drugs with different response-determinant structures, the apparently contradictory direction of embedding-versus-baseline advantage across drug panels (e.g. fusion superior on doxorubicin and cyclophosphamide but inferior on taxanes) is not a failure of reproducibility but an expected drug-specific phenomenon. We therefore position PathOmicDRP not as a universal drug-response predictor but as a method whose clinical utility should be matched to the mechanistic class of the drug being evaluated.</w:t>
      </w:r>
    </w:p>
    <w:p>
      <w:pPr>
        <w:pStyle w:val="Heading2"/>
      </w:pPr>
      <w:r>
        <w:t xml:space="preserve">Survival analysis and prognostic value</w:t>
      </w:r>
    </w:p>
    <w:p>
      <w:pPr/>
      <w:r>
        <w:t>Predicted drug sensitivity from PathOmicDRP showed prognostic associations with overall survival. In univariate Cox proportional hazards analysis across 1,013 patients with valid follow-up (150 death events), ABT737 (BCL-2 family inhibitor) predicted sensitivity was significantly associated with overall survival (HR = 1.243, 95% CI [1.06, 1.46], p = 0.007, C-index = 0.536). Multivariate analysis incorporating age and the three most prognostically informative drugs achieved a concordance index of 0.650, exceeding standard clinical prognostic models. These findings suggest that PathOmicDRP-derived drug sensitivity estimates carry prognostic information that complements standard clinical variables.</w:t>
      </w:r>
    </w:p>
    <w:p>
      <w:pPr>
        <w:pStyle w:val="Heading2"/>
      </w:pPr>
      <w:r>
        <w:t>Clinical validation against treatment outcomes</w:t>
      </w:r>
    </w:p>
    <w:p>
      <w:r>
        <w:t xml:space="preserve">Beyond the imputed IC50 evaluation, we directly validated PathOmicDRP against actual treatment outcomes (described in Results). The 4-modal model achieved AUC = 0.907 for Cyclophosphamide response prediction, substantially outperforming the 3-modal baseline (AUC = 0.778). Biomarker concordance analysis further confirmed biological plausibility: ER expression predicted Tamoxifen sensitivity (p = 2.2 </w:t>
      </w:r>
      <w:r>
        <w:rPr>
          <w:rFonts w:ascii="Cambria Math" w:hAnsi="Cambria Math" w:cs="Cambria Math" w:eastAsia="Cambria Math"/>
        </w:rPr>
        <w:t>×</w:t>
      </w:r>
      <w:r>
        <w:t xml:space="preserve"> 10-11), HER2 predicted Lapatinib sensitivity (p = 7.3 </w:t>
      </w:r>
      <w:r>
        <w:rPr>
          <w:rFonts w:ascii="Cambria Math" w:hAnsi="Cambria Math" w:cs="Cambria Math" w:eastAsia="Cambria Math"/>
        </w:rPr>
        <w:t>×</w:t>
      </w:r>
      <w:r>
        <w:t xml:space="preserve"> 10-8), and PIK3CA mutations altered sensitivity for 9 drugs. These results demonstrate that PathOmicDRP captures clinically and pharmacologically meaningful drug response variation, with histopathology features providing additional predictive power for treatment outcome beyond molecular features alone.</w:t>
      </w:r>
    </w:p>
    <w:p>
      <w:r>
        <w:t xml:space="preserve">Docetaxel emerged as the most promising candidate for clinical validation. Patients who achieved complete response (CR, n=66) had significantly lower predicted IC50 values (mean = </w:t>
      </w:r>
      <w:r>
        <w:rPr>
          <w:rFonts w:ascii="Cambria Math" w:hAnsi="Cambria Math" w:cs="Cambria Math" w:eastAsia="Cambria Math"/>
        </w:rPr>
        <w:t>−</w:t>
      </w:r>
      <w:r>
        <w:t xml:space="preserve">7.61 </w:t>
      </w:r>
      <w:r>
        <w:rPr>
          <w:rFonts w:ascii="Cambria Math" w:hAnsi="Cambria Math" w:cs="Cambria Math" w:eastAsia="Cambria Math"/>
        </w:rPr>
        <w:t>±</w:t>
      </w:r>
      <w:r>
        <w:t xml:space="preserve"> 1.52) compared to patients with progressive disease (PD, n=3; mean = </w:t>
      </w:r>
      <w:r>
        <w:rPr>
          <w:rFonts w:ascii="Cambria Math" w:hAnsi="Cambria Math" w:cs="Cambria Math" w:eastAsia="Cambria Math"/>
        </w:rPr>
        <w:t>−</w:t>
      </w:r>
      <w:r>
        <w:t xml:space="preserve">6.59 </w:t>
      </w:r>
      <w:r>
        <w:rPr>
          <w:rFonts w:ascii="Cambria Math" w:hAnsi="Cambria Math" w:cs="Cambria Math" w:eastAsia="Cambria Math"/>
        </w:rPr>
        <w:t>±</w:t>
      </w:r>
      <w:r>
        <w:t xml:space="preserve"> 0.68), yielding an AUC of 0.763 (Mann-Whitney p = 0.068, Cohen's d = 0.86). Although the p-value did not reach conventional significance at </w:t>
      </w:r>
      <w:r>
        <w:rPr>
          <w:rFonts w:ascii="Cambria Math" w:hAnsi="Cambria Math" w:cs="Cambria Math" w:eastAsia="Cambria Math"/>
        </w:rPr>
        <w:t>α</w:t>
      </w:r>
      <w:r>
        <w:t xml:space="preserve"> = 0.05, the large effect size and consistent directionality — lower predicted IC50 corresponding to better clinical response — provide encouraging evidence that the model captures clinically meaningful drug sensitivity variation for this taxane.</w:t>
      </w:r>
    </w:p>
    <w:p>
      <w:r>
        <w:t>For the remaining drugs, no significant associations were observed between predicted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and treatment outcomes. This negative result is attributable to three key factors. First, the number of patients with progressive disease was extremely limited across all drugs (Tamoxifen: 5 PD, Paclitaxel: 3 PD, Cyclophosphamide: 4 PD, Epirubicin: 0 PD), providing insufficient statistical power to detect meaningful differences. In TCGA, the majority of treatment outcomes are recorded as "Complete Response" or "Treatment Ongoing," reflecting the generally favorable prognosis of breast cancer with standard-of-care therapy.</w:t>
      </w:r>
    </w:p>
    <w:p>
      <w:r>
        <w:t>Second, TCGA treatment records do not distinguish between adjuvant and neoadjuvant settings, nor do they account for combination regimens. Most TCGA-BRCA patients received multi-drug chemotherapy (e.g., AC-T: doxorubicin/cyclophosphamide followed by taxane), making it impossible to attribute clinical response to any single agent. For Tamoxifen specifically, 170 of 265 patients (64%) had outcomes recorded as "Treatment Ongoing," reflecting the long-term nature of endocrine therapy rather than definitive response assessment.</w:t>
      </w:r>
    </w:p>
    <w:p>
      <w:r>
        <w:t>Third, a fundamental gap exists between cell line-derived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predictions and in vivo treatment response. The oncoPredict imputation framework captures intrinsic drug sensitivity at the molecular level, but clinical outcomes are additionally influenced by pharmacokinetics, immune response, drug delivery, and patient-specific factors not represented in cell line models. Despite these limitations, the Docetaxel result demonstrates that even imputed drug sensitivity scores can carry clinically relevant signal, motivating validation in cohorts with richer clinical annotations.</w:t>
      </w:r>
    </w:p>
    <w:p>
      <w:pPr>
        <w:pStyle w:val="Heading2"/>
      </w:pPr>
      <w:r>
        <w:t>Limitations and future directions</w:t>
      </w:r>
    </w:p>
    <w:p>
      <w:r>
        <w:t>Several limitations of this study should be acknowledged. First, drug response targets were imputed from cell line pharmacogenomics using oncoPredict, introducing a fundamental circularity: targets are linear projections of transcriptomic features, which biases evaluation metrics toward linear models. While imputed IC50 values have been validated as prognostic biomarkers in multiple cancer types, they remain a proxy for true drug sensitivity. As demonstrated in our clinical validation, the association between predicted sensitivity and actual treatment outcomes was limited by the paucity of progressive disease events in TCGA (</w:t>
      </w:r>
      <w:r>
        <w:rPr>
          <w:rFonts w:ascii="Cambria Math" w:hAnsi="Cambria Math" w:cs="Cambria Math" w:eastAsia="Cambria Math"/>
        </w:rPr>
        <w:t>≤</w:t>
      </w:r>
      <w:r>
        <w:t>5 PD per drug) and the confounding effects of combination therapies, though Docetaxel showed a promising trend (AUC = 0.763, p = 0.068).</w:t>
      </w:r>
    </w:p>
    <w:p>
      <w:pPr/>
      <w:r>
        <w:t>A second key limitation is the small size and class imbalance of the TCGA clinical treatment-outcome subset (typically n = 25–57 patients with only 3–4 non-responders per drug). The wide bootstrap 95% CIs on clinical AUCs, particularly for Docetaxel ([0.33, 1.00]) and Paclitaxel ([0.47, 0.85]), reflect this intrinsic uncertainty. The Doxorubicin (CI [0.81, 1.00]) and Cyclophosphamide (CI [0.55, 1.00]) results are the most robust within this cohort. External validation of the PathOmicDRP embedding on cohorts with directly measured treatment response (e.g. I-SPY 2, neoadjuvant trial arms) remains a critical next step.</w:t>
      </w:r>
    </w:p>
    <w:p>
      <w:pPr/>
      <w:r>
        <w:t>A principal limitation of this study is the absence of an external, fully four-modal validation cohort. PathOmicDRP integrates somatic mutations, bulk mRNA, reverse-phase protein array (RPPA), and hematoxylin-and-eosin whole-slide images with per-patient drug-treatment records, and to our knowledge TCGA-BRCA is the only publicly available breast-cancer resource that simultaneously provides all four modalities together with treatment/response annotation. We surveyed candidate cohorts including METABRIC, CPTAC-BRCA, ICGC BRCA-UK/EU/KR, AACR Project GENIE and GENIE-BPC, I-SPY 1/2, NCI-MATCH, ORIEN/Avatar, TCIA breast collections, the Chinese Breast Cancer Genome Atlas (CBCGA), AURORA, MBCproject, SCAN-B, and BRCA1/2-focused consortia. Every alternative lacks at least one required modality: METABRIC, ICGC, AURORA, MBCproject, SCAN-B and CBCGA provide no RPPA and no systematic public H&amp;E WSIs; CPTAC-BRCA and CBCGA deliver mass-spectrometry proteomics rather than RPPA and lack drug-response data; GENIE and NCI-MATCH provide targeted genomic panels without transcriptomics, RPPA or imaging; the I-SPY trials do not publicly release systematic RPPA or H&amp;E WSIs. Because cohort-scale RPPA for breast cancer has been generated exclusively within the TCPA/TCGA framework, a fully matched four-modal external validation is currently infeasible with public data. Our METABRIC transcriptomic-transfer validation (Results) is therefore the most stringent external test currently possible. Prospective generation of a complementary RPPA-plus-WSI cohort — potentially nested within active neoadjuvant trials such as I-SPY 2 — is an important direction for future work.</w:t>
      </w:r>
    </w:p>
    <w:p>
      <w:r>
        <w:t>Second, the TCGA-BRCA cohort represents a single cancer type from a predominantly North American population. The generalizability of PathOmicDRP to other cancer types and populations remains to be established. Third, our histopathology features were extracted from diagnostic H&amp;E slides at 20</w:t>
      </w:r>
      <w:r>
        <w:rPr>
          <w:rFonts w:ascii="Cambria Math" w:hAnsi="Cambria Math" w:cs="Cambria Math" w:eastAsia="Cambria Math"/>
        </w:rPr>
        <w:t>×</w:t>
      </w:r>
      <w:r>
        <w:t xml:space="preserve"> magnification using a fixed tiling strategy; adaptive tiling or multi-scale approaches may capture additional morphological information.</w:t>
      </w:r>
    </w:p>
    <w:p>
      <w:r>
        <w:t>Future directions include: (1) validation on cohorts with prospectively measured drug response such as the I-SPY 2 trial and neoadjuvant basket studies (METABRIC transcriptomic validation completed in this work demonstrates biomarker-level concordance; treatment-level validation requires prospective response labels); (2) extension to pan-cancer settings where PathOmicDRP's architecture can be applied without modification; (3) integration of spatial transcriptomics data to bridge the gap between bulk molecular profiles and tissue-level spatial heterogeneity; and (4) development of attention-based uncertainty estimates at patch resolution.</w:t>
      </w:r>
    </w:p>
    <w:p/>
    <w:p>
      <w:pPr>
        <w:pStyle w:val="Heading1"/>
      </w:pPr>
      <w:r>
        <w:t>Conclusion</w:t>
      </w:r>
    </w:p>
    <w:p>
      <w:pPr/>
      <w:r>
        <w:t>PathOmicDRP demonstrates that multi-modal deep learning with cross-attention fusion captures clinically relevant drug response signals that linear models and simpler architectures miss. While traditional baselines achieve near-perfect accuracy on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targets—a circular metric reflecting the linear imputation algorithm—PathOmicDRP’s learned representations dramatically outperform these baselines on real clinical treatment outcomes (mean AUC 0.831 vs. 0.461) and contain substantially more clinical information than the training targets themselves (AUC 0.735 vs. 0.423). The cross-attention architecture provides superior robustness to missing modalities compared to self-attention alternatives, a critical property for clinical deployment. External validation against GDSC pharmacological data confirms that learned drug relationships reflect genuine biology. These findings have two important implications: first, the field should move beyond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accuracy as the primary evaluation metric for drug response models; second, multi-modal fusion with cross-attention enables representation learning that transcends the limitations of available training labels.</w:t>
      </w:r>
    </w:p>
    <w:p>
      <w:pPr/>
      <w:r>
        <w:t>Future directions include validation on prospective cohorts with directly measured drug response (e.g., I-SPY 2 trial, basket trials), extension to pan-cancer settings, and integration with spatial transcriptomics to further resolve the relationship between tissue morphology and drug sensitivity at single-cell resolution.</w:t>
      </w:r>
    </w:p>
    <w:p/>
    <w:p>
      <w:pPr>
        <w:pStyle w:val="Heading1"/>
      </w:pPr>
      <w:r>
        <w:t>Tables</w:t>
      </w:r>
    </w:p>
    <w:p>
      <w:r>
        <w:t>Table 1. Five-fold cross-validation results across modality configurations. T = Transcriptomic, G = Genomic, P = Proteomic, H = Histopathology. PCC</w:t>
      </w:r>
      <w:r>
        <w:rPr>
          <w:rFonts w:ascii="Cambria Math" w:hAnsi="Cambria Math" w:cs="Cambria Math" w:eastAsia="Cambria Math"/>
          <w:vertAlign w:val="subscript"/>
        </w:rPr>
        <w:t>drug</w:t>
      </w:r>
      <w:r>
        <w:t xml:space="preserve"> = mean per-drug Pearson correlation coefficient.</w:t>
      </w:r>
    </w:p>
    <w:p/>
    <w:p>
      <w:r>
        <w:t xml:space="preserve">Table 2. Per-drug PCC comparison between three-modal (G+T+P) and four-modal (G+T+P+H) configurations (5-fold CV). </w:t>
      </w:r>
      <w:r>
        <w:rPr>
          <w:rFonts w:ascii="Cambria Math" w:hAnsi="Cambria Math" w:cs="Cambria Math" w:eastAsia="Cambria Math"/>
        </w:rPr>
        <w:t>Δ</w:t>
      </w:r>
      <w:r>
        <w:t>PCC = change upon adding histopathology.</w:t>
      </w:r>
    </w:p>
    <w:p/>
    <w:p>
      <w:r>
        <w:t>Table 3. Modality importance quantified by PCC drop upon ablation of each modality in the best four-modal model.</w:t>
      </w:r>
    </w:p>
    <w:p/>
    <w:p/>
    <w:p/>
    <w:p>
      <w:pPr>
        <w:pStyle w:val="Heading1"/>
      </w:pPr>
      <w:r>
        <w:t>Figure Legends</w:t>
      </w:r>
    </w:p>
    <w:p/>
    <w:p/>
    <w:p/>
    <w:p/>
    <w:p/>
    <w:p/>
    <w:p/>
    <w:p/>
    <w:p/>
    <w:p/>
    <w:p/>
    <w:p>
      <w:pPr>
        <w:pStyle w:val="Heading1"/>
      </w:pPr>
      <w:r>
        <w:t>References</w:t>
      </w:r>
    </w:p>
    <w:p>
      <w:r>
        <w:t>1. Ashley, E. A. Towards precision medicine. Nat. Rev. Genet. 17, 507–522 (2016).</w:t>
      </w:r>
    </w:p>
    <w:p>
      <w:r>
        <w:t>2. Collins, F. S. &amp; Varmus, H. A new initiative on precision medicine. N. Engl. J. Med. 372, 793–795 (2015).</w:t>
      </w:r>
    </w:p>
    <w:p>
      <w:r>
        <w:t>3. Barretina, J. et al. The Cancer Cell Line Encyclopedia enables predictive modelling of anticancer drug sensitivity. Nature 483, 603–607 (2012).</w:t>
      </w:r>
    </w:p>
    <w:p>
      <w:r>
        <w:t>4. Yang, W. et al. Genomics of Drug Sensitivity in Cancer (GDSC): a resource for therapeutic biomarker discovery in cancer cells. Nucleic Acids Res. 41, D955–D961 (2013).</w:t>
      </w:r>
    </w:p>
    <w:p>
      <w:r>
        <w:t>5. Barretina, J. et al. The Cancer Cell Line Encyclopedia enables predictive modelling of anticancer drug sensitivity. Nature 483, 603–607 (2012).</w:t>
      </w:r>
    </w:p>
    <w:p>
      <w:r>
        <w:t>6. Seashore-Ludlow, B. et al. Harnessing connectivity in a large-scale small-molecule sensitivity dataset. Cancer Discov. 5, 1210–1223 (2015).</w:t>
      </w:r>
    </w:p>
    <w:p>
      <w:r>
        <w:t>7. The Cancer Genome Atlas Research Network. Comprehensive molecular portraits of human breast tumours. Nature 490, 61–70 (2012).</w:t>
      </w:r>
    </w:p>
    <w:p>
      <w:r>
        <w:t>8. Liu, Q. et al. DeepCDR: a hybrid graph convolutional network for predicting cancer drug response. Bioinformatics 36, i770–i778 (2020).</w:t>
      </w:r>
    </w:p>
    <w:p>
      <w:r>
        <w:t>9. Kuenzi, B. M. et al. Predicting drug response and synergy using a deep learning model of human cancer cells. Cancer Cell 38, 672–684 (2020).</w:t>
      </w:r>
    </w:p>
    <w:p>
      <w:r>
        <w:t>10. Jin, I. &amp; Park, S. HiDRA: hierarchical network for drug response prediction with attention. J. Chem. Inf. Model. 61, 3858–3867 (2021).</w:t>
      </w:r>
    </w:p>
    <w:p>
      <w:r>
        <w:t>11. Chen, Y. et al. TransCDR: a deep learning model for predicting cancer drug response using transformer and multi-omics data. Brief. Bioinform. 25, bbae186 (2024).</w:t>
      </w:r>
    </w:p>
    <w:p>
      <w:r>
        <w:t>12. Wang, C. et al. Deep learning and multi-omics approach to predict drug responses in cancer. BMC Bioinformatics 23, 504 (2022).</w:t>
      </w:r>
    </w:p>
    <w:p>
      <w:r>
        <w:t>13. Baptista, D. et al. Deep learning for drug response prediction in cancer. Brief. Bioinform. 22, 360–379 (2021).</w:t>
      </w:r>
    </w:p>
    <w:p>
      <w:r>
        <w:t>14. Hostallero, D. E. et al. Looking at the rear-view mirror: a fair comparison of drug response prediction methods. Bioinformatics 40, btae068 (2024).</w:t>
      </w:r>
    </w:p>
    <w:p>
      <w:r>
        <w:t>15. Kather, J. N. et al. Pan-cancer image-based detection of clinically actionable genetic alterations. Nat. Cancer 1, 789–799 (2020).</w:t>
      </w:r>
    </w:p>
    <w:p>
      <w:r>
        <w:t>16. Chen, R. J. et al. Pan-cancer integrative histology-genomic analysis via multimodal deep learning. Cancer Cell 40, 865–878 (2022).</w:t>
      </w:r>
    </w:p>
    <w:p>
      <w:r>
        <w:t>17. Chen, R. J. et al. Multimodal co-attention transformer for survival prediction in gigapixel whole slide images. In Proc. ICCV 4015–4025 (2021).</w:t>
      </w:r>
    </w:p>
    <w:p>
      <w:r>
        <w:t>18. Jaume, G. et al. Modeling dense multimodal interactions between biological pathways and histology for survival prediction. In Proc. CVPR 11579–11590 (2024).</w:t>
      </w:r>
    </w:p>
    <w:p>
      <w:r>
        <w:t>19. Chen, R. J. et al. Towards a general-purpose foundation model for computational pathology. Nat. Med. 30, 850–862 (2024).</w:t>
      </w:r>
    </w:p>
    <w:p>
      <w:r>
        <w:t>20. Lu, M. Y. et al. A visual-language foundation model for computational pathology. Nat. Med. 30, 863–874 (2024).</w:t>
      </w:r>
    </w:p>
    <w:p>
      <w:r>
        <w:t>21. Vogel, C. &amp; Marcotte, E. M. Insights into the regulation of protein abundance from proteomic and transcriptomic analyses. Nat. Rev. Genet. 13, 227–232 (2012).</w:t>
      </w:r>
    </w:p>
    <w:p>
      <w:r>
        <w:t>22. Hennessy, B. T. et al. A technical assessment of the utility of reverse phase protein arrays for the study of the functional proteome in non-microdissected human breast cancers. Clin. Proteom. 6, 129–151 (2010).</w:t>
      </w:r>
    </w:p>
    <w:p>
      <w:r>
        <w:t>23. Ali, M. et al. Global proteomics profiling improves drug sensitivity prediction: results from a multi-omics, pan-cancer modeling approach. Bioinformatics 34, 1353–1362 (2018).</w:t>
      </w:r>
    </w:p>
    <w:p>
      <w:r>
        <w:t>24. Ilse, M. et al. Attention-based deep multiple instance learning. In Proc. ICML 2127–2136 (2018).</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Model</w:t>
            </w:r>
          </w:p>
        </w:tc>
        <w:tc>
          <w:tcPr>
            <w:tcW w:type="dxa" w:w="1234"/>
          </w:tcPr>
          <w:p>
            <w:r>
              <w:rPr>
                <w:b/>
                <w:sz w:val="18"/>
              </w:rPr>
              <w:t>Modalities</w:t>
            </w:r>
          </w:p>
        </w:tc>
        <w:tc>
          <w:tcPr>
            <w:tcW w:type="dxa" w:w="1234"/>
          </w:tcPr>
          <w:p>
            <w:r>
              <w:rPr>
                <w:b/>
                <w:sz w:val="18"/>
              </w:rPr>
              <w:t>n</w:t>
            </w:r>
          </w:p>
        </w:tc>
        <w:tc>
          <w:tcPr>
            <w:tcW w:type="dxa" w:w="1234"/>
          </w:tcPr>
          <w:p>
            <w:r>
              <w:rPr>
                <w:b/>
                <w:sz w:val="18"/>
              </w:rPr>
              <w:t>PCC (global)</w:t>
            </w:r>
          </w:p>
        </w:tc>
        <w:tc>
          <w:tcPr>
            <w:tcW w:type="dxa" w:w="1234"/>
          </w:tcPr>
          <w:p>
            <w:r>
              <w:t>R</w:t>
            </w:r>
            <w:r>
              <w:rPr>
                <w:rFonts w:ascii="Cambria Math" w:hAnsi="Cambria Math" w:cs="Cambria Math" w:eastAsia="Cambria Math"/>
                <w:vertAlign w:val="superscript"/>
              </w:rPr>
              <w:t>2</w:t>
            </w:r>
          </w:p>
        </w:tc>
        <w:tc>
          <w:tcPr>
            <w:tcW w:type="dxa" w:w="1234"/>
          </w:tcPr>
          <w:p>
            <w:r>
              <w:rPr>
                <w:b/>
                <w:sz w:val="18"/>
              </w:rPr>
              <w:t>RMSE</w:t>
            </w:r>
          </w:p>
        </w:tc>
        <w:tc>
          <w:tcPr>
            <w:tcW w:type="dxa" w:w="1234"/>
          </w:tcPr>
          <w:p>
            <w:r>
              <w:rPr>
                <w:b/>
                <w:sz w:val="18"/>
              </w:rPr>
              <w:t>PCC (per-drug)</w:t>
            </w:r>
          </w:p>
        </w:tc>
      </w:tr>
      <w:tr>
        <w:tc>
          <w:tcPr>
            <w:tcW w:type="dxa" w:w="1234"/>
          </w:tcPr>
          <w:p>
            <w:r>
              <w:rPr>
                <w:sz w:val="18"/>
              </w:rPr>
              <w:t>Trans only</w:t>
            </w:r>
          </w:p>
        </w:tc>
        <w:tc>
          <w:tcPr>
            <w:tcW w:type="dxa" w:w="1234"/>
          </w:tcPr>
          <w:p>
            <w:r>
              <w:rPr>
                <w:sz w:val="18"/>
              </w:rPr>
              <w:t>T</w:t>
            </w:r>
          </w:p>
        </w:tc>
        <w:tc>
          <w:tcPr>
            <w:tcW w:type="dxa" w:w="1234"/>
          </w:tcPr>
          <w:p>
            <w:r>
              <w:rPr>
                <w:sz w:val="18"/>
              </w:rPr>
              <w:t>964</w:t>
            </w:r>
          </w:p>
        </w:tc>
        <w:tc>
          <w:tcPr>
            <w:tcW w:type="dxa" w:w="1234"/>
          </w:tcPr>
          <w:p>
            <w:r>
              <w:t xml:space="preserve">0.923 </w:t>
            </w:r>
            <w:r>
              <w:rPr>
                <w:rFonts w:ascii="Cambria Math" w:hAnsi="Cambria Math" w:cs="Cambria Math" w:eastAsia="Cambria Math"/>
              </w:rPr>
              <w:t>±</w:t>
            </w:r>
            <w:r>
              <w:t xml:space="preserve"> 0.001</w:t>
            </w:r>
          </w:p>
        </w:tc>
        <w:tc>
          <w:tcPr>
            <w:tcW w:type="dxa" w:w="1234"/>
          </w:tcPr>
          <w:p>
            <w:r>
              <w:t xml:space="preserve">0.851 </w:t>
            </w:r>
            <w:r>
              <w:rPr>
                <w:rFonts w:ascii="Cambria Math" w:hAnsi="Cambria Math" w:cs="Cambria Math" w:eastAsia="Cambria Math"/>
              </w:rPr>
              <w:t>±</w:t>
            </w:r>
            <w:r>
              <w:t xml:space="preserve"> 0.001</w:t>
            </w:r>
          </w:p>
        </w:tc>
        <w:tc>
          <w:tcPr>
            <w:tcW w:type="dxa" w:w="1234"/>
          </w:tcPr>
          <w:p>
            <w:r>
              <w:t xml:space="preserve">2.127 </w:t>
            </w:r>
            <w:r>
              <w:rPr>
                <w:rFonts w:ascii="Cambria Math" w:hAnsi="Cambria Math" w:cs="Cambria Math" w:eastAsia="Cambria Math"/>
              </w:rPr>
              <w:t>±</w:t>
            </w:r>
            <w:r>
              <w:t xml:space="preserve"> 0.009</w:t>
            </w:r>
          </w:p>
        </w:tc>
        <w:tc>
          <w:tcPr>
            <w:tcW w:type="dxa" w:w="1234"/>
          </w:tcPr>
          <w:p>
            <w:r>
              <w:t xml:space="preserve">0.359 </w:t>
            </w:r>
            <w:r>
              <w:rPr>
                <w:rFonts w:ascii="Cambria Math" w:hAnsi="Cambria Math" w:cs="Cambria Math" w:eastAsia="Cambria Math"/>
              </w:rPr>
              <w:t>±</w:t>
            </w:r>
            <w:r>
              <w:t xml:space="preserve"> 0.056</w:t>
            </w:r>
          </w:p>
        </w:tc>
      </w:tr>
      <w:tr>
        <w:tc>
          <w:tcPr>
            <w:tcW w:type="dxa" w:w="1234"/>
          </w:tcPr>
          <w:p>
            <w:r>
              <w:rPr>
                <w:sz w:val="18"/>
              </w:rPr>
              <w:t>Gen + Trans</w:t>
            </w:r>
          </w:p>
        </w:tc>
        <w:tc>
          <w:tcPr>
            <w:tcW w:type="dxa" w:w="1234"/>
          </w:tcPr>
          <w:p>
            <w:r>
              <w:rPr>
                <w:sz w:val="18"/>
              </w:rPr>
              <w:t>G, T</w:t>
            </w:r>
          </w:p>
        </w:tc>
        <w:tc>
          <w:tcPr>
            <w:tcW w:type="dxa" w:w="1234"/>
          </w:tcPr>
          <w:p>
            <w:r>
              <w:rPr>
                <w:sz w:val="18"/>
              </w:rPr>
              <w:t>964</w:t>
            </w:r>
          </w:p>
        </w:tc>
        <w:tc>
          <w:tcPr>
            <w:tcW w:type="dxa" w:w="1234"/>
          </w:tcPr>
          <w:p>
            <w:r>
              <w:t xml:space="preserve">0.922 </w:t>
            </w:r>
            <w:r>
              <w:rPr>
                <w:rFonts w:ascii="Cambria Math" w:hAnsi="Cambria Math" w:cs="Cambria Math" w:eastAsia="Cambria Math"/>
              </w:rPr>
              <w:t>±</w:t>
            </w:r>
            <w:r>
              <w:t xml:space="preserve"> 0.001</w:t>
            </w:r>
          </w:p>
        </w:tc>
        <w:tc>
          <w:tcPr>
            <w:tcW w:type="dxa" w:w="1234"/>
          </w:tcPr>
          <w:p>
            <w:r>
              <w:t xml:space="preserve">0.851 </w:t>
            </w:r>
            <w:r>
              <w:rPr>
                <w:rFonts w:ascii="Cambria Math" w:hAnsi="Cambria Math" w:cs="Cambria Math" w:eastAsia="Cambria Math"/>
              </w:rPr>
              <w:t>±</w:t>
            </w:r>
            <w:r>
              <w:t xml:space="preserve"> 0.001</w:t>
            </w:r>
          </w:p>
        </w:tc>
        <w:tc>
          <w:tcPr>
            <w:tcW w:type="dxa" w:w="1234"/>
          </w:tcPr>
          <w:p>
            <w:r>
              <w:t xml:space="preserve">2.128 </w:t>
            </w:r>
            <w:r>
              <w:rPr>
                <w:rFonts w:ascii="Cambria Math" w:hAnsi="Cambria Math" w:cs="Cambria Math" w:eastAsia="Cambria Math"/>
              </w:rPr>
              <w:t>±</w:t>
            </w:r>
            <w:r>
              <w:t xml:space="preserve"> 0.026</w:t>
            </w:r>
          </w:p>
        </w:tc>
        <w:tc>
          <w:tcPr>
            <w:tcW w:type="dxa" w:w="1234"/>
          </w:tcPr>
          <w:p>
            <w:r>
              <w:t xml:space="preserve">0.353 </w:t>
            </w:r>
            <w:r>
              <w:rPr>
                <w:rFonts w:ascii="Cambria Math" w:hAnsi="Cambria Math" w:cs="Cambria Math" w:eastAsia="Cambria Math"/>
              </w:rPr>
              <w:t>±</w:t>
            </w:r>
            <w:r>
              <w:t xml:space="preserve"> 0.054</w:t>
            </w:r>
          </w:p>
        </w:tc>
      </w:tr>
      <w:tr>
        <w:tc>
          <w:tcPr>
            <w:tcW w:type="dxa" w:w="1234"/>
          </w:tcPr>
          <w:p>
            <w:r>
              <w:rPr>
                <w:sz w:val="18"/>
              </w:rPr>
              <w:t>Gen + Trans + Prot</w:t>
            </w:r>
          </w:p>
        </w:tc>
        <w:tc>
          <w:tcPr>
            <w:tcW w:type="dxa" w:w="1234"/>
          </w:tcPr>
          <w:p>
            <w:r>
              <w:rPr>
                <w:sz w:val="18"/>
              </w:rPr>
              <w:t>G, T, P</w:t>
            </w:r>
          </w:p>
        </w:tc>
        <w:tc>
          <w:tcPr>
            <w:tcW w:type="dxa" w:w="1234"/>
          </w:tcPr>
          <w:p>
            <w:r>
              <w:rPr>
                <w:sz w:val="18"/>
              </w:rPr>
              <w:t>431</w:t>
            </w:r>
          </w:p>
        </w:tc>
        <w:tc>
          <w:tcPr>
            <w:tcW w:type="dxa" w:w="1234"/>
          </w:tcPr>
          <w:p>
            <w:r>
              <w:t xml:space="preserve">0.932 </w:t>
            </w:r>
            <w:r>
              <w:rPr>
                <w:rFonts w:ascii="Cambria Math" w:hAnsi="Cambria Math" w:cs="Cambria Math" w:eastAsia="Cambria Math"/>
              </w:rPr>
              <w:t>±</w:t>
            </w:r>
            <w:r>
              <w:t xml:space="preserve"> 0.008</w:t>
            </w:r>
          </w:p>
        </w:tc>
        <w:tc>
          <w:tcPr>
            <w:tcW w:type="dxa" w:w="1234"/>
          </w:tcPr>
          <w:p>
            <w:r>
              <w:t xml:space="preserve">0.868 </w:t>
            </w:r>
            <w:r>
              <w:rPr>
                <w:rFonts w:ascii="Cambria Math" w:hAnsi="Cambria Math" w:cs="Cambria Math" w:eastAsia="Cambria Math"/>
              </w:rPr>
              <w:t>±</w:t>
            </w:r>
            <w:r>
              <w:t xml:space="preserve"> 0.016</w:t>
            </w:r>
          </w:p>
        </w:tc>
        <w:tc>
          <w:tcPr>
            <w:tcW w:type="dxa" w:w="1234"/>
          </w:tcPr>
          <w:p>
            <w:r>
              <w:t xml:space="preserve">2.111 </w:t>
            </w:r>
            <w:r>
              <w:rPr>
                <w:rFonts w:ascii="Cambria Math" w:hAnsi="Cambria Math" w:cs="Cambria Math" w:eastAsia="Cambria Math"/>
              </w:rPr>
              <w:t>±</w:t>
            </w:r>
            <w:r>
              <w:t xml:space="preserve"> 0.107</w:t>
            </w:r>
          </w:p>
        </w:tc>
        <w:tc>
          <w:tcPr>
            <w:tcW w:type="dxa" w:w="1234"/>
          </w:tcPr>
          <w:p>
            <w:r>
              <w:t xml:space="preserve">0.432 </w:t>
            </w:r>
            <w:r>
              <w:rPr>
                <w:rFonts w:ascii="Cambria Math" w:hAnsi="Cambria Math" w:cs="Cambria Math" w:eastAsia="Cambria Math"/>
              </w:rPr>
              <w:t>±</w:t>
            </w:r>
            <w:r>
              <w:t xml:space="preserve"> 0.117</w:t>
            </w:r>
          </w:p>
        </w:tc>
      </w:tr>
      <w:tr>
        <w:tc>
          <w:tcPr>
            <w:tcW w:type="dxa" w:w="1234"/>
          </w:tcPr>
          <w:p>
            <w:r>
              <w:rPr>
                <w:sz w:val="18"/>
              </w:rPr>
              <w:t>Gen + Trans + Prot + Histo*</w:t>
            </w:r>
          </w:p>
        </w:tc>
        <w:tc>
          <w:tcPr>
            <w:tcW w:type="dxa" w:w="1234"/>
          </w:tcPr>
          <w:p>
            <w:r>
              <w:rPr>
                <w:sz w:val="18"/>
              </w:rPr>
              <w:t>G, T, P, H</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Target/Class</w:t>
            </w:r>
          </w:p>
        </w:tc>
        <w:tc>
          <w:tcPr>
            <w:tcW w:type="dxa" w:w="2160"/>
          </w:tcPr>
          <w:p>
            <w:r>
              <w:rPr>
                <w:b/>
                <w:sz w:val="18"/>
              </w:rPr>
              <w:t>PCC (3-modal)</w:t>
            </w:r>
          </w:p>
        </w:tc>
        <w:tc>
          <w:tcPr>
            <w:tcW w:type="dxa" w:w="2160"/>
          </w:tcPr>
          <w:p>
            <w:r>
              <w:rPr>
                <w:b/>
                <w:sz w:val="18"/>
              </w:rPr>
              <w:t>n cell lines (GDSC)</w:t>
            </w:r>
          </w:p>
        </w:tc>
      </w:tr>
      <w:tr>
        <w:tc>
          <w:tcPr>
            <w:tcW w:type="dxa" w:w="2160"/>
          </w:tcPr>
          <w:p>
            <w:r>
              <w:rPr>
                <w:sz w:val="18"/>
              </w:rPr>
              <w:t>AZD5991</w:t>
            </w:r>
          </w:p>
        </w:tc>
        <w:tc>
          <w:tcPr>
            <w:tcW w:type="dxa" w:w="2160"/>
          </w:tcPr>
          <w:p>
            <w:r>
              <w:rPr>
                <w:sz w:val="18"/>
              </w:rPr>
              <w:t>MCL-1 inhibitor</w:t>
            </w:r>
          </w:p>
        </w:tc>
        <w:tc>
          <w:tcPr>
            <w:tcW w:type="dxa" w:w="2160"/>
          </w:tcPr>
          <w:p>
            <w:r>
              <w:t xml:space="preserve">0.468 </w:t>
            </w:r>
            <w:r>
              <w:rPr>
                <w:rFonts w:ascii="Cambria Math" w:hAnsi="Cambria Math" w:cs="Cambria Math" w:eastAsia="Cambria Math"/>
              </w:rPr>
              <w:t>±</w:t>
            </w:r>
            <w:r>
              <w:t xml:space="preserve"> 0.116</w:t>
            </w:r>
          </w:p>
        </w:tc>
        <w:tc>
          <w:tcPr>
            <w:tcW w:type="dxa" w:w="2160"/>
          </w:tcPr>
          <w:p>
            <w:r>
              <w:rPr>
                <w:sz w:val="18"/>
              </w:rPr>
              <w:t>181</w:t>
            </w:r>
          </w:p>
        </w:tc>
      </w:tr>
      <w:tr>
        <w:tc>
          <w:tcPr>
            <w:tcW w:type="dxa" w:w="2160"/>
          </w:tcPr>
          <w:p>
            <w:r>
              <w:rPr>
                <w:sz w:val="18"/>
              </w:rPr>
              <w:t>Gemcitabine</w:t>
            </w:r>
          </w:p>
        </w:tc>
        <w:tc>
          <w:tcPr>
            <w:tcW w:type="dxa" w:w="2160"/>
          </w:tcPr>
          <w:p>
            <w:r>
              <w:rPr>
                <w:sz w:val="18"/>
              </w:rPr>
              <w:t>Antimetabolite</w:t>
            </w:r>
          </w:p>
        </w:tc>
        <w:tc>
          <w:tcPr>
            <w:tcW w:type="dxa" w:w="2160"/>
          </w:tcPr>
          <w:p>
            <w:r>
              <w:t xml:space="preserve">0.437 </w:t>
            </w:r>
            <w:r>
              <w:rPr>
                <w:rFonts w:ascii="Cambria Math" w:hAnsi="Cambria Math" w:cs="Cambria Math" w:eastAsia="Cambria Math"/>
              </w:rPr>
              <w:t>±</w:t>
            </w:r>
            <w:r>
              <w:t xml:space="preserve"> 0.115</w:t>
            </w:r>
          </w:p>
        </w:tc>
        <w:tc>
          <w:tcPr>
            <w:tcW w:type="dxa" w:w="2160"/>
          </w:tcPr>
          <w:p>
            <w:r>
              <w:rPr>
                <w:sz w:val="18"/>
              </w:rPr>
              <w:t>—</w:t>
            </w:r>
          </w:p>
        </w:tc>
      </w:tr>
      <w:tr>
        <w:tc>
          <w:tcPr>
            <w:tcW w:type="dxa" w:w="2160"/>
          </w:tcPr>
          <w:p>
            <w:r>
              <w:rPr>
                <w:sz w:val="18"/>
              </w:rPr>
              <w:t>Docetaxel</w:t>
            </w:r>
          </w:p>
        </w:tc>
        <w:tc>
          <w:tcPr>
            <w:tcW w:type="dxa" w:w="2160"/>
          </w:tcPr>
          <w:p>
            <w:r>
              <w:rPr>
                <w:sz w:val="18"/>
              </w:rPr>
              <w:t>Taxane</w:t>
            </w:r>
          </w:p>
        </w:tc>
        <w:tc>
          <w:tcPr>
            <w:tcW w:type="dxa" w:w="2160"/>
          </w:tcPr>
          <w:p>
            <w:r>
              <w:t xml:space="preserve">0.433 </w:t>
            </w:r>
            <w:r>
              <w:rPr>
                <w:rFonts w:ascii="Cambria Math" w:hAnsi="Cambria Math" w:cs="Cambria Math" w:eastAsia="Cambria Math"/>
              </w:rPr>
              <w:t>±</w:t>
            </w:r>
            <w:r>
              <w:t xml:space="preserve"> 0.131</w:t>
            </w:r>
          </w:p>
        </w:tc>
        <w:tc>
          <w:tcPr>
            <w:tcW w:type="dxa" w:w="2160"/>
          </w:tcPr>
          <w:p>
            <w:r>
              <w:rPr>
                <w:sz w:val="18"/>
              </w:rPr>
              <w:t>168</w:t>
            </w:r>
          </w:p>
        </w:tc>
      </w:tr>
      <w:tr>
        <w:tc>
          <w:tcPr>
            <w:tcW w:type="dxa" w:w="2160"/>
          </w:tcPr>
          <w:p>
            <w:r>
              <w:rPr>
                <w:sz w:val="18"/>
              </w:rPr>
              <w:t>Cisplatin</w:t>
            </w:r>
          </w:p>
        </w:tc>
        <w:tc>
          <w:tcPr>
            <w:tcW w:type="dxa" w:w="2160"/>
          </w:tcPr>
          <w:p>
            <w:r>
              <w:rPr>
                <w:sz w:val="18"/>
              </w:rPr>
              <w:t>Platinum</w:t>
            </w:r>
          </w:p>
        </w:tc>
        <w:tc>
          <w:tcPr>
            <w:tcW w:type="dxa" w:w="2160"/>
          </w:tcPr>
          <w:p>
            <w:r>
              <w:t xml:space="preserve">0.411 </w:t>
            </w:r>
            <w:r>
              <w:rPr>
                <w:rFonts w:ascii="Cambria Math" w:hAnsi="Cambria Math" w:cs="Cambria Math" w:eastAsia="Cambria Math"/>
              </w:rPr>
              <w:t>±</w:t>
            </w:r>
            <w:r>
              <w:t xml:space="preserve"> 0.118</w:t>
            </w:r>
          </w:p>
        </w:tc>
        <w:tc>
          <w:tcPr>
            <w:tcW w:type="dxa" w:w="2160"/>
          </w:tcPr>
          <w:p>
            <w:r>
              <w:rPr>
                <w:sz w:val="18"/>
              </w:rPr>
              <w:t>—</w:t>
            </w:r>
          </w:p>
        </w:tc>
      </w:tr>
      <w:tr>
        <w:tc>
          <w:tcPr>
            <w:tcW w:type="dxa" w:w="2160"/>
          </w:tcPr>
          <w:p>
            <w:r>
              <w:rPr>
                <w:sz w:val="18"/>
              </w:rPr>
              <w:t>Vinblastine</w:t>
            </w:r>
          </w:p>
        </w:tc>
        <w:tc>
          <w:tcPr>
            <w:tcW w:type="dxa" w:w="2160"/>
          </w:tcPr>
          <w:p>
            <w:r>
              <w:rPr>
                <w:sz w:val="18"/>
              </w:rPr>
              <w:t>Vinca alkaloid</w:t>
            </w:r>
          </w:p>
        </w:tc>
        <w:tc>
          <w:tcPr>
            <w:tcW w:type="dxa" w:w="2160"/>
          </w:tcPr>
          <w:p>
            <w:r>
              <w:t xml:space="preserve">0.372 </w:t>
            </w:r>
            <w:r>
              <w:rPr>
                <w:rFonts w:ascii="Cambria Math" w:hAnsi="Cambria Math" w:cs="Cambria Math" w:eastAsia="Cambria Math"/>
              </w:rPr>
              <w:t>±</w:t>
            </w:r>
            <w:r>
              <w:t xml:space="preserve"> 0.123</w:t>
            </w:r>
          </w:p>
        </w:tc>
        <w:tc>
          <w:tcPr>
            <w:tcW w:type="dxa" w:w="2160"/>
          </w:tcPr>
          <w:p>
            <w:r>
              <w:rPr>
                <w:sz w:val="18"/>
              </w:rPr>
              <w:t>—</w:t>
            </w:r>
          </w:p>
        </w:tc>
      </w:tr>
      <w:tr>
        <w:tc>
          <w:tcPr>
            <w:tcW w:type="dxa" w:w="2160"/>
          </w:tcPr>
          <w:p>
            <w:r>
              <w:rPr>
                <w:sz w:val="18"/>
              </w:rPr>
              <w:t>OSI-027</w:t>
            </w:r>
          </w:p>
        </w:tc>
        <w:tc>
          <w:tcPr>
            <w:tcW w:type="dxa" w:w="2160"/>
          </w:tcPr>
          <w:p>
            <w:r>
              <w:rPr>
                <w:sz w:val="18"/>
              </w:rPr>
              <w:t>mTOR inhibitor</w:t>
            </w:r>
          </w:p>
        </w:tc>
        <w:tc>
          <w:tcPr>
            <w:tcW w:type="dxa" w:w="2160"/>
          </w:tcPr>
          <w:p>
            <w:r>
              <w:t xml:space="preserve">0.367 </w:t>
            </w:r>
            <w:r>
              <w:rPr>
                <w:rFonts w:ascii="Cambria Math" w:hAnsi="Cambria Math" w:cs="Cambria Math" w:eastAsia="Cambria Math"/>
              </w:rPr>
              <w:t>±</w:t>
            </w:r>
            <w:r>
              <w:t xml:space="preserve"> 0.175</w:t>
            </w:r>
          </w:p>
        </w:tc>
        <w:tc>
          <w:tcPr>
            <w:tcW w:type="dxa" w:w="2160"/>
          </w:tcPr>
          <w:p>
            <w:r>
              <w:rPr>
                <w:sz w:val="18"/>
              </w:rPr>
              <w:t>58</w:t>
            </w:r>
          </w:p>
        </w:tc>
      </w:tr>
      <w:tr>
        <w:tc>
          <w:tcPr>
            <w:tcW w:type="dxa" w:w="2160"/>
          </w:tcPr>
          <w:p>
            <w:r>
              <w:rPr>
                <w:sz w:val="18"/>
              </w:rPr>
              <w:t>Paclitaxel</w:t>
            </w:r>
          </w:p>
        </w:tc>
        <w:tc>
          <w:tcPr>
            <w:tcW w:type="dxa" w:w="2160"/>
          </w:tcPr>
          <w:p>
            <w:r>
              <w:rPr>
                <w:sz w:val="18"/>
              </w:rPr>
              <w:t>Taxane</w:t>
            </w:r>
          </w:p>
        </w:tc>
        <w:tc>
          <w:tcPr>
            <w:tcW w:type="dxa" w:w="2160"/>
          </w:tcPr>
          <w:p>
            <w:r>
              <w:t xml:space="preserve">0.341 </w:t>
            </w:r>
            <w:r>
              <w:rPr>
                <w:rFonts w:ascii="Cambria Math" w:hAnsi="Cambria Math" w:cs="Cambria Math" w:eastAsia="Cambria Math"/>
              </w:rPr>
              <w:t>±</w:t>
            </w:r>
            <w:r>
              <w:t xml:space="preserve"> 0.139</w:t>
            </w:r>
          </w:p>
        </w:tc>
        <w:tc>
          <w:tcPr>
            <w:tcW w:type="dxa" w:w="2160"/>
          </w:tcPr>
          <w:p>
            <w:r>
              <w:rPr>
                <w:sz w:val="18"/>
              </w:rPr>
              <w:t>—</w:t>
            </w:r>
          </w:p>
        </w:tc>
      </w:tr>
      <w:tr>
        <w:tc>
          <w:tcPr>
            <w:tcW w:type="dxa" w:w="2160"/>
          </w:tcPr>
          <w:p>
            <w:r>
              <w:rPr>
                <w:sz w:val="18"/>
              </w:rPr>
              <w:t>Fulvestrant</w:t>
            </w:r>
          </w:p>
        </w:tc>
        <w:tc>
          <w:tcPr>
            <w:tcW w:type="dxa" w:w="2160"/>
          </w:tcPr>
          <w:p>
            <w:r>
              <w:rPr>
                <w:sz w:val="18"/>
              </w:rPr>
              <w:t>ER antagonist</w:t>
            </w:r>
          </w:p>
        </w:tc>
        <w:tc>
          <w:tcPr>
            <w:tcW w:type="dxa" w:w="2160"/>
          </w:tcPr>
          <w:p>
            <w:r>
              <w:t xml:space="preserve">0.335 </w:t>
            </w:r>
            <w:r>
              <w:rPr>
                <w:rFonts w:ascii="Cambria Math" w:hAnsi="Cambria Math" w:cs="Cambria Math" w:eastAsia="Cambria Math"/>
              </w:rPr>
              <w:t>±</w:t>
            </w:r>
            <w:r>
              <w:t xml:space="preserve"> 0.168</w:t>
            </w:r>
          </w:p>
        </w:tc>
        <w:tc>
          <w:tcPr>
            <w:tcW w:type="dxa" w:w="2160"/>
          </w:tcPr>
          <w:p>
            <w:r>
              <w:rPr>
                <w:sz w:val="18"/>
              </w:rPr>
              <w:t>183</w:t>
            </w:r>
          </w:p>
        </w:tc>
      </w:tr>
      <w:tr>
        <w:tc>
          <w:tcPr>
            <w:tcW w:type="dxa" w:w="2160"/>
          </w:tcPr>
          <w:p>
            <w:r>
              <w:rPr>
                <w:sz w:val="18"/>
              </w:rPr>
              <w:t>Lapatinib</w:t>
            </w:r>
          </w:p>
        </w:tc>
        <w:tc>
          <w:tcPr>
            <w:tcW w:type="dxa" w:w="2160"/>
          </w:tcPr>
          <w:p>
            <w:r>
              <w:rPr>
                <w:sz w:val="18"/>
              </w:rPr>
              <w:t>HER2/EGFR TKI</w:t>
            </w:r>
          </w:p>
        </w:tc>
        <w:tc>
          <w:tcPr>
            <w:tcW w:type="dxa" w:w="2160"/>
          </w:tcPr>
          <w:p>
            <w:r>
              <w:t xml:space="preserve">0.286 </w:t>
            </w:r>
            <w:r>
              <w:rPr>
                <w:rFonts w:ascii="Cambria Math" w:hAnsi="Cambria Math" w:cs="Cambria Math" w:eastAsia="Cambria Math"/>
              </w:rPr>
              <w:t>±</w:t>
            </w:r>
            <w:r>
              <w:t xml:space="preserve"> 0.147</w:t>
            </w:r>
          </w:p>
        </w:tc>
        <w:tc>
          <w:tcPr>
            <w:tcW w:type="dxa" w:w="2160"/>
          </w:tcPr>
          <w:p>
            <w:r>
              <w:rPr>
                <w:sz w:val="18"/>
              </w:rPr>
              <w:t>—</w:t>
            </w:r>
          </w:p>
        </w:tc>
      </w:tr>
      <w:tr>
        <w:tc>
          <w:tcPr>
            <w:tcW w:type="dxa" w:w="2160"/>
          </w:tcPr>
          <w:p>
            <w:r>
              <w:rPr>
                <w:sz w:val="18"/>
              </w:rPr>
              <w:t>Tamoxifen</w:t>
            </w:r>
          </w:p>
        </w:tc>
        <w:tc>
          <w:tcPr>
            <w:tcW w:type="dxa" w:w="2160"/>
          </w:tcPr>
          <w:p>
            <w:r>
              <w:rPr>
                <w:sz w:val="18"/>
              </w:rPr>
              <w:t>SERM</w:t>
            </w:r>
          </w:p>
        </w:tc>
        <w:tc>
          <w:tcPr>
            <w:tcW w:type="dxa" w:w="2160"/>
          </w:tcPr>
          <w:p>
            <w:r>
              <w:t xml:space="preserve">0.243 </w:t>
            </w:r>
            <w:r>
              <w:rPr>
                <w:rFonts w:ascii="Cambria Math" w:hAnsi="Cambria Math" w:cs="Cambria Math" w:eastAsia="Cambria Math"/>
              </w:rPr>
              <w:t>±</w:t>
            </w:r>
            <w:r>
              <w:t xml:space="preserve"> 0.162</w:t>
            </w:r>
          </w:p>
        </w:tc>
        <w:tc>
          <w:tcPr>
            <w:tcW w:type="dxa" w:w="2160"/>
          </w:tcPr>
          <w:p>
            <w:r>
              <w:rPr>
                <w:sz w:val="18"/>
              </w:rPr>
              <w:t>—</w:t>
            </w:r>
          </w:p>
        </w:tc>
      </w:tr>
      <w:tr>
        <w:tc>
          <w:tcPr>
            <w:tcW w:type="dxa" w:w="2160"/>
          </w:tcPr>
          <w:p>
            <w:r>
              <w:rPr>
                <w:sz w:val="18"/>
              </w:rPr>
              <w:t>Venetoclax</w:t>
            </w:r>
          </w:p>
        </w:tc>
        <w:tc>
          <w:tcPr>
            <w:tcW w:type="dxa" w:w="2160"/>
          </w:tcPr>
          <w:p>
            <w:r>
              <w:rPr>
                <w:sz w:val="18"/>
              </w:rPr>
              <w:t>BCL-2 inhibitor</w:t>
            </w:r>
          </w:p>
        </w:tc>
        <w:tc>
          <w:tcPr>
            <w:tcW w:type="dxa" w:w="2160"/>
          </w:tcPr>
          <w:p>
            <w:r>
              <w:t xml:space="preserve">0.236 </w:t>
            </w:r>
            <w:r>
              <w:rPr>
                <w:rFonts w:ascii="Cambria Math" w:hAnsi="Cambria Math" w:cs="Cambria Math" w:eastAsia="Cambria Math"/>
              </w:rPr>
              <w:t>±</w:t>
            </w:r>
            <w:r>
              <w:t xml:space="preserve"> 0.188</w:t>
            </w:r>
          </w:p>
        </w:tc>
        <w:tc>
          <w:tcPr>
            <w:tcW w:type="dxa" w:w="2160"/>
          </w:tcPr>
          <w:p>
            <w:r>
              <w:rPr>
                <w:sz w:val="18"/>
              </w:rPr>
              <w:t>191</w:t>
            </w:r>
          </w:p>
        </w:tc>
      </w:tr>
      <w:tr>
        <w:tc>
          <w:tcPr>
            <w:tcW w:type="dxa" w:w="2160"/>
          </w:tcPr>
          <w:p>
            <w:r>
              <w:rPr>
                <w:sz w:val="18"/>
              </w:rPr>
              <w:t>ABT737</w:t>
            </w:r>
          </w:p>
        </w:tc>
        <w:tc>
          <w:tcPr>
            <w:tcW w:type="dxa" w:w="2160"/>
          </w:tcPr>
          <w:p>
            <w:r>
              <w:rPr>
                <w:sz w:val="18"/>
              </w:rPr>
              <w:t>BCL-2/BCL-XL inh.</w:t>
            </w:r>
          </w:p>
        </w:tc>
        <w:tc>
          <w:tcPr>
            <w:tcW w:type="dxa" w:w="2160"/>
          </w:tcPr>
          <w:p>
            <w:r>
              <w:t xml:space="preserve">0.220 </w:t>
            </w:r>
            <w:r>
              <w:rPr>
                <w:rFonts w:ascii="Cambria Math" w:hAnsi="Cambria Math" w:cs="Cambria Math" w:eastAsia="Cambria Math"/>
              </w:rPr>
              <w:t>±</w:t>
            </w:r>
            <w:r>
              <w:t xml:space="preserve"> 0.092</w:t>
            </w:r>
          </w:p>
        </w:tc>
        <w:tc>
          <w:tcPr>
            <w:tcW w:type="dxa" w:w="2160"/>
          </w:tcPr>
          <w:p>
            <w:r>
              <w:rPr>
                <w:sz w:val="18"/>
              </w:rPr>
              <w:t>191</w:t>
            </w:r>
          </w:p>
        </w:tc>
      </w:tr>
      <w:tr>
        <w:tc>
          <w:tcPr>
            <w:tcW w:type="dxa" w:w="2160"/>
          </w:tcPr>
          <w:p>
            <w:r>
              <w:rPr>
                <w:sz w:val="18"/>
              </w:rPr>
              <w:t>Daporinad</w:t>
            </w:r>
          </w:p>
        </w:tc>
        <w:tc>
          <w:tcPr>
            <w:tcW w:type="dxa" w:w="2160"/>
          </w:tcPr>
          <w:p>
            <w:r>
              <w:rPr>
                <w:sz w:val="18"/>
              </w:rPr>
              <w:t>NAMPT inhibitor</w:t>
            </w:r>
          </w:p>
        </w:tc>
        <w:tc>
          <w:tcPr>
            <w:tcW w:type="dxa" w:w="2160"/>
          </w:tcPr>
          <w:p>
            <w:r>
              <w:t xml:space="preserve">0.187 </w:t>
            </w:r>
            <w:r>
              <w:rPr>
                <w:rFonts w:ascii="Cambria Math" w:hAnsi="Cambria Math" w:cs="Cambria Math" w:eastAsia="Cambria Math"/>
              </w:rPr>
              <w:t>±</w:t>
            </w:r>
            <w:r>
              <w:t xml:space="preserve"> 0.150</w:t>
            </w:r>
          </w:p>
        </w:tc>
        <w:tc>
          <w:tcPr>
            <w:tcW w:type="dxa" w:w="2160"/>
          </w:tcPr>
          <w:p>
            <w:r>
              <w:rPr>
                <w:sz w:val="18"/>
              </w:rPr>
              <w:t>95</w:t>
            </w:r>
          </w:p>
        </w:tc>
      </w:tr>
    </w:tbl>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Configuration</w:t>
            </w:r>
          </w:p>
        </w:tc>
        <w:tc>
          <w:tcPr>
            <w:tcW w:type="dxa" w:w="1234"/>
          </w:tcPr>
          <w:p>
            <w:r>
              <w:rPr>
                <w:b/>
                <w:sz w:val="18"/>
              </w:rPr>
              <w:t>Modalities</w:t>
            </w:r>
          </w:p>
        </w:tc>
        <w:tc>
          <w:tcPr>
            <w:tcW w:type="dxa" w:w="1234"/>
          </w:tcPr>
          <w:p>
            <w:r>
              <w:rPr>
                <w:b/>
                <w:sz w:val="18"/>
              </w:rPr>
              <w:t>N</w:t>
            </w:r>
          </w:p>
        </w:tc>
        <w:tc>
          <w:tcPr>
            <w:tcW w:type="dxa" w:w="1234"/>
          </w:tcPr>
          <w:p>
            <w:r>
              <w:rPr>
                <w:b/>
                <w:sz w:val="18"/>
              </w:rPr>
              <w:t>PCC_global</w:t>
            </w:r>
          </w:p>
        </w:tc>
        <w:tc>
          <w:tcPr>
            <w:tcW w:type="dxa" w:w="1234"/>
          </w:tcPr>
          <w:p>
            <w:r>
              <w:t>R</w:t>
            </w:r>
            <w:r>
              <w:rPr>
                <w:rFonts w:ascii="Cambria Math" w:hAnsi="Cambria Math" w:cs="Cambria Math" w:eastAsia="Cambria Math"/>
                <w:vertAlign w:val="superscript"/>
              </w:rPr>
              <w:t>2</w:t>
            </w:r>
          </w:p>
        </w:tc>
        <w:tc>
          <w:tcPr>
            <w:tcW w:type="dxa" w:w="1234"/>
          </w:tcPr>
          <w:p>
            <w:r>
              <w:rPr>
                <w:b/>
                <w:sz w:val="18"/>
              </w:rPr>
              <w:t>PCC_drug (mean)</w:t>
            </w:r>
          </w:p>
        </w:tc>
        <w:tc>
          <w:tcPr>
            <w:tcW w:type="dxa" w:w="1234"/>
          </w:tcPr>
          <w:p>
            <w:r>
              <w:rPr>
                <w:b/>
                <w:sz w:val="18"/>
              </w:rPr>
              <w:t>PCC_drug (median)</w:t>
            </w:r>
          </w:p>
        </w:tc>
      </w:tr>
      <w:tr>
        <w:tc>
          <w:tcPr>
            <w:tcW w:type="dxa" w:w="1234"/>
          </w:tcPr>
          <w:p>
            <w:r>
              <w:rPr>
                <w:sz w:val="18"/>
              </w:rPr>
              <w:t>Trans only</w:t>
            </w:r>
          </w:p>
        </w:tc>
        <w:tc>
          <w:tcPr>
            <w:tcW w:type="dxa" w:w="1234"/>
          </w:tcPr>
          <w:p>
            <w:r>
              <w:rPr>
                <w:sz w:val="18"/>
              </w:rPr>
              <w:t>T</w:t>
            </w:r>
          </w:p>
        </w:tc>
        <w:tc>
          <w:tcPr>
            <w:tcW w:type="dxa" w:w="1234"/>
          </w:tcPr>
          <w:p>
            <w:r>
              <w:rPr>
                <w:sz w:val="18"/>
              </w:rPr>
              <w:t>964</w:t>
            </w:r>
          </w:p>
        </w:tc>
        <w:tc>
          <w:tcPr>
            <w:tcW w:type="dxa" w:w="1234"/>
          </w:tcPr>
          <w:p>
            <w:r>
              <w:t>0.923</w:t>
            </w:r>
            <w:r>
              <w:rPr>
                <w:rFonts w:ascii="Cambria Math" w:hAnsi="Cambria Math" w:cs="Cambria Math" w:eastAsia="Cambria Math"/>
              </w:rPr>
              <w:t>±</w:t>
            </w:r>
            <w:r>
              <w:t>0.001</w:t>
            </w:r>
          </w:p>
        </w:tc>
        <w:tc>
          <w:tcPr>
            <w:tcW w:type="dxa" w:w="1234"/>
          </w:tcPr>
          <w:p>
            <w:r>
              <w:t>0.851</w:t>
            </w:r>
            <w:r>
              <w:rPr>
                <w:rFonts w:ascii="Cambria Math" w:hAnsi="Cambria Math" w:cs="Cambria Math" w:eastAsia="Cambria Math"/>
              </w:rPr>
              <w:t>±</w:t>
            </w:r>
            <w:r>
              <w:t>0.001</w:t>
            </w:r>
          </w:p>
        </w:tc>
        <w:tc>
          <w:tcPr>
            <w:tcW w:type="dxa" w:w="1234"/>
          </w:tcPr>
          <w:p>
            <w:r>
              <w:t>0.359</w:t>
            </w:r>
            <w:r>
              <w:rPr>
                <w:rFonts w:ascii="Cambria Math" w:hAnsi="Cambria Math" w:cs="Cambria Math" w:eastAsia="Cambria Math"/>
              </w:rPr>
              <w:t>±</w:t>
            </w:r>
            <w:r>
              <w:t>0.056</w:t>
            </w:r>
          </w:p>
        </w:tc>
        <w:tc>
          <w:tcPr>
            <w:tcW w:type="dxa" w:w="1234"/>
          </w:tcPr>
          <w:p>
            <w:r>
              <w:t>0.348</w:t>
            </w:r>
            <w:r>
              <w:rPr>
                <w:rFonts w:ascii="Cambria Math" w:hAnsi="Cambria Math" w:cs="Cambria Math" w:eastAsia="Cambria Math"/>
              </w:rPr>
              <w:t>±</w:t>
            </w:r>
            <w:r>
              <w:t>0.074</w:t>
            </w:r>
          </w:p>
        </w:tc>
      </w:tr>
      <w:tr>
        <w:tc>
          <w:tcPr>
            <w:tcW w:type="dxa" w:w="1234"/>
          </w:tcPr>
          <w:p>
            <w:r>
              <w:rPr>
                <w:sz w:val="18"/>
              </w:rPr>
              <w:t>Gen + Trans</w:t>
            </w:r>
          </w:p>
        </w:tc>
        <w:tc>
          <w:tcPr>
            <w:tcW w:type="dxa" w:w="1234"/>
          </w:tcPr>
          <w:p>
            <w:r>
              <w:rPr>
                <w:sz w:val="18"/>
              </w:rPr>
              <w:t>G+T</w:t>
            </w:r>
          </w:p>
        </w:tc>
        <w:tc>
          <w:tcPr>
            <w:tcW w:type="dxa" w:w="1234"/>
          </w:tcPr>
          <w:p>
            <w:r>
              <w:rPr>
                <w:sz w:val="18"/>
              </w:rPr>
              <w:t>964</w:t>
            </w:r>
          </w:p>
        </w:tc>
        <w:tc>
          <w:tcPr>
            <w:tcW w:type="dxa" w:w="1234"/>
          </w:tcPr>
          <w:p>
            <w:r>
              <w:t>0.922</w:t>
            </w:r>
            <w:r>
              <w:rPr>
                <w:rFonts w:ascii="Cambria Math" w:hAnsi="Cambria Math" w:cs="Cambria Math" w:eastAsia="Cambria Math"/>
              </w:rPr>
              <w:t>±</w:t>
            </w:r>
            <w:r>
              <w:t>0.002</w:t>
            </w:r>
          </w:p>
        </w:tc>
        <w:tc>
          <w:tcPr>
            <w:tcW w:type="dxa" w:w="1234"/>
          </w:tcPr>
          <w:p>
            <w:r>
              <w:t>0.851</w:t>
            </w:r>
            <w:r>
              <w:rPr>
                <w:rFonts w:ascii="Cambria Math" w:hAnsi="Cambria Math" w:cs="Cambria Math" w:eastAsia="Cambria Math"/>
              </w:rPr>
              <w:t>±</w:t>
            </w:r>
            <w:r>
              <w:t>0.004</w:t>
            </w:r>
          </w:p>
        </w:tc>
        <w:tc>
          <w:tcPr>
            <w:tcW w:type="dxa" w:w="1234"/>
          </w:tcPr>
          <w:p>
            <w:r>
              <w:t>0.353</w:t>
            </w:r>
            <w:r>
              <w:rPr>
                <w:rFonts w:ascii="Cambria Math" w:hAnsi="Cambria Math" w:cs="Cambria Math" w:eastAsia="Cambria Math"/>
              </w:rPr>
              <w:t>±</w:t>
            </w:r>
            <w:r>
              <w:t>0.041</w:t>
            </w:r>
          </w:p>
        </w:tc>
        <w:tc>
          <w:tcPr>
            <w:tcW w:type="dxa" w:w="1234"/>
          </w:tcPr>
          <w:p>
            <w:r>
              <w:t>0.336</w:t>
            </w:r>
            <w:r>
              <w:rPr>
                <w:rFonts w:ascii="Cambria Math" w:hAnsi="Cambria Math" w:cs="Cambria Math" w:eastAsia="Cambria Math"/>
              </w:rPr>
              <w:t>±</w:t>
            </w:r>
            <w:r>
              <w:t>0.054</w:t>
            </w:r>
          </w:p>
        </w:tc>
      </w:tr>
      <w:tr>
        <w:tc>
          <w:tcPr>
            <w:tcW w:type="dxa" w:w="1234"/>
          </w:tcPr>
          <w:p>
            <w:r>
              <w:rPr>
                <w:sz w:val="18"/>
              </w:rPr>
              <w:t>Gen+Trans+Prot</w:t>
            </w:r>
          </w:p>
        </w:tc>
        <w:tc>
          <w:tcPr>
            <w:tcW w:type="dxa" w:w="1234"/>
          </w:tcPr>
          <w:p>
            <w:r>
              <w:rPr>
                <w:sz w:val="18"/>
              </w:rPr>
              <w:t>G+T+P</w:t>
            </w:r>
          </w:p>
        </w:tc>
        <w:tc>
          <w:tcPr>
            <w:tcW w:type="dxa" w:w="1234"/>
          </w:tcPr>
          <w:p>
            <w:r>
              <w:rPr>
                <w:sz w:val="18"/>
              </w:rPr>
              <w:t>431</w:t>
            </w:r>
          </w:p>
        </w:tc>
        <w:tc>
          <w:tcPr>
            <w:tcW w:type="dxa" w:w="1234"/>
          </w:tcPr>
          <w:p>
            <w:r>
              <w:t>0.931</w:t>
            </w:r>
            <w:r>
              <w:rPr>
                <w:rFonts w:ascii="Cambria Math" w:hAnsi="Cambria Math" w:cs="Cambria Math" w:eastAsia="Cambria Math"/>
              </w:rPr>
              <w:t>±</w:t>
            </w:r>
            <w:r>
              <w:t>0.005</w:t>
            </w:r>
          </w:p>
        </w:tc>
        <w:tc>
          <w:tcPr>
            <w:tcW w:type="dxa" w:w="1234"/>
          </w:tcPr>
          <w:p>
            <w:r>
              <w:t>0.867</w:t>
            </w:r>
            <w:r>
              <w:rPr>
                <w:rFonts w:ascii="Cambria Math" w:hAnsi="Cambria Math" w:cs="Cambria Math" w:eastAsia="Cambria Math"/>
              </w:rPr>
              <w:t>±</w:t>
            </w:r>
            <w:r>
              <w:t>0.009</w:t>
            </w:r>
          </w:p>
        </w:tc>
        <w:tc>
          <w:tcPr>
            <w:tcW w:type="dxa" w:w="1234"/>
          </w:tcPr>
          <w:p>
            <w:r>
              <w:t>0.445</w:t>
            </w:r>
            <w:r>
              <w:rPr>
                <w:rFonts w:ascii="Cambria Math" w:hAnsi="Cambria Math" w:cs="Cambria Math" w:eastAsia="Cambria Math"/>
              </w:rPr>
              <w:t>±</w:t>
            </w:r>
            <w:r>
              <w:t>0.057</w:t>
            </w:r>
          </w:p>
        </w:tc>
        <w:tc>
          <w:tcPr>
            <w:tcW w:type="dxa" w:w="1234"/>
          </w:tcPr>
          <w:p>
            <w:r>
              <w:t>0.443</w:t>
            </w:r>
            <w:r>
              <w:rPr>
                <w:rFonts w:ascii="Cambria Math" w:hAnsi="Cambria Math" w:cs="Cambria Math" w:eastAsia="Cambria Math"/>
              </w:rPr>
              <w:t>±</w:t>
            </w:r>
            <w:r>
              <w:t>0.067</w:t>
            </w:r>
          </w:p>
        </w:tc>
      </w:tr>
      <w:tr>
        <w:tc>
          <w:tcPr>
            <w:tcW w:type="dxa" w:w="1234"/>
          </w:tcPr>
          <w:p>
            <w:r>
              <w:rPr>
                <w:sz w:val="18"/>
              </w:rPr>
              <w:t>Gen+Trans+Prot+Histo</w:t>
            </w:r>
          </w:p>
        </w:tc>
        <w:tc>
          <w:tcPr>
            <w:tcW w:type="dxa" w:w="1234"/>
          </w:tcPr>
          <w:p>
            <w:r>
              <w:rPr>
                <w:sz w:val="18"/>
              </w:rPr>
              <w:t>G+T+P+H</w:t>
            </w:r>
          </w:p>
        </w:tc>
        <w:tc>
          <w:tcPr>
            <w:tcW w:type="dxa" w:w="1234"/>
          </w:tcPr>
          <w:p>
            <w:r>
              <w:rPr>
                <w:sz w:val="18"/>
              </w:rPr>
              <w:t>431</w:t>
            </w:r>
          </w:p>
        </w:tc>
        <w:tc>
          <w:tcPr>
            <w:tcW w:type="dxa" w:w="1234"/>
          </w:tcPr>
          <w:p>
            <w:r>
              <w:t>0.931</w:t>
            </w:r>
            <w:r>
              <w:rPr>
                <w:rFonts w:ascii="Cambria Math" w:hAnsi="Cambria Math" w:cs="Cambria Math" w:eastAsia="Cambria Math"/>
              </w:rPr>
              <w:t>±</w:t>
            </w:r>
            <w:r>
              <w:t>0.007</w:t>
            </w:r>
          </w:p>
        </w:tc>
        <w:tc>
          <w:tcPr>
            <w:tcW w:type="dxa" w:w="1234"/>
          </w:tcPr>
          <w:p>
            <w:r>
              <w:t>0.866</w:t>
            </w:r>
            <w:r>
              <w:rPr>
                <w:rFonts w:ascii="Cambria Math" w:hAnsi="Cambria Math" w:cs="Cambria Math" w:eastAsia="Cambria Math"/>
              </w:rPr>
              <w:t>±</w:t>
            </w:r>
            <w:r>
              <w:t>0.013</w:t>
            </w:r>
          </w:p>
        </w:tc>
        <w:tc>
          <w:tcPr>
            <w:tcW w:type="dxa" w:w="1234"/>
          </w:tcPr>
          <w:p>
            <w:r>
              <w:t>0.455</w:t>
            </w:r>
            <w:r>
              <w:rPr>
                <w:rFonts w:ascii="Cambria Math" w:hAnsi="Cambria Math" w:cs="Cambria Math" w:eastAsia="Cambria Math"/>
              </w:rPr>
              <w:t>±</w:t>
            </w:r>
            <w:r>
              <w:t>0.023</w:t>
            </w:r>
          </w:p>
        </w:tc>
        <w:tc>
          <w:tcPr>
            <w:tcW w:type="dxa" w:w="1234"/>
          </w:tcPr>
          <w:p>
            <w:r>
              <w:t>0.454</w:t>
            </w:r>
            <w:r>
              <w:rPr>
                <w:rFonts w:ascii="Cambria Math" w:hAnsi="Cambria Math" w:cs="Cambria Math" w:eastAsia="Cambria Math"/>
              </w:rPr>
              <w:t>±</w:t>
            </w:r>
            <w:r>
              <w:t>0.024</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3-modal (G+T+P)</w:t>
            </w:r>
          </w:p>
        </w:tc>
        <w:tc>
          <w:tcPr>
            <w:tcW w:type="dxa" w:w="2160"/>
          </w:tcPr>
          <w:p>
            <w:r>
              <w:rPr>
                <w:b/>
                <w:sz w:val="18"/>
              </w:rPr>
              <w:t>4-modal (G+T+P+H)</w:t>
            </w:r>
          </w:p>
        </w:tc>
        <w:tc>
          <w:tcPr>
            <w:tcW w:type="dxa" w:w="2160"/>
          </w:tcPr>
          <w:p>
            <w:r>
              <w:rPr>
                <w:rFonts w:ascii="Cambria Math" w:hAnsi="Cambria Math" w:cs="Cambria Math" w:eastAsia="Cambria Math"/>
              </w:rPr>
              <w:t>Δ</w:t>
            </w:r>
            <w:r>
              <w:t>PCC</w:t>
            </w:r>
          </w:p>
        </w:tc>
      </w:tr>
      <w:tr>
        <w:tc>
          <w:tcPr>
            <w:tcW w:type="dxa" w:w="2160"/>
          </w:tcPr>
          <w:p>
            <w:r>
              <w:rPr>
                <w:sz w:val="18"/>
              </w:rPr>
              <w:t>Cisplatin</w:t>
            </w:r>
          </w:p>
        </w:tc>
        <w:tc>
          <w:tcPr>
            <w:tcW w:type="dxa" w:w="2160"/>
          </w:tcPr>
          <w:p>
            <w:r>
              <w:t>0.497</w:t>
            </w:r>
            <w:r>
              <w:rPr>
                <w:rFonts w:ascii="Cambria Math" w:hAnsi="Cambria Math" w:cs="Cambria Math" w:eastAsia="Cambria Math"/>
              </w:rPr>
              <w:t>±</w:t>
            </w:r>
            <w:r>
              <w:t>0.099</w:t>
            </w:r>
          </w:p>
        </w:tc>
        <w:tc>
          <w:tcPr>
            <w:tcW w:type="dxa" w:w="2160"/>
          </w:tcPr>
          <w:p>
            <w:r>
              <w:t>0.478</w:t>
            </w:r>
            <w:r>
              <w:rPr>
                <w:rFonts w:ascii="Cambria Math" w:hAnsi="Cambria Math" w:cs="Cambria Math" w:eastAsia="Cambria Math"/>
              </w:rPr>
              <w:t>±</w:t>
            </w:r>
            <w:r>
              <w:t>0.046</w:t>
            </w:r>
          </w:p>
        </w:tc>
        <w:tc>
          <w:tcPr>
            <w:tcW w:type="dxa" w:w="2160"/>
          </w:tcPr>
          <w:p>
            <w:r>
              <w:rPr>
                <w:sz w:val="18"/>
              </w:rPr>
              <w:t>-0.018</w:t>
            </w:r>
          </w:p>
        </w:tc>
      </w:tr>
      <w:tr>
        <w:tc>
          <w:tcPr>
            <w:tcW w:type="dxa" w:w="2160"/>
          </w:tcPr>
          <w:p>
            <w:r>
              <w:rPr>
                <w:sz w:val="18"/>
              </w:rPr>
              <w:t>Docetaxel</w:t>
            </w:r>
          </w:p>
        </w:tc>
        <w:tc>
          <w:tcPr>
            <w:tcW w:type="dxa" w:w="2160"/>
          </w:tcPr>
          <w:p>
            <w:r>
              <w:t>0.511</w:t>
            </w:r>
            <w:r>
              <w:rPr>
                <w:rFonts w:ascii="Cambria Math" w:hAnsi="Cambria Math" w:cs="Cambria Math" w:eastAsia="Cambria Math"/>
              </w:rPr>
              <w:t>±</w:t>
            </w:r>
            <w:r>
              <w:t>0.122</w:t>
            </w:r>
          </w:p>
        </w:tc>
        <w:tc>
          <w:tcPr>
            <w:tcW w:type="dxa" w:w="2160"/>
          </w:tcPr>
          <w:p>
            <w:r>
              <w:t>0.512</w:t>
            </w:r>
            <w:r>
              <w:rPr>
                <w:rFonts w:ascii="Cambria Math" w:hAnsi="Cambria Math" w:cs="Cambria Math" w:eastAsia="Cambria Math"/>
              </w:rPr>
              <w:t>±</w:t>
            </w:r>
            <w:r>
              <w:t>0.077</w:t>
            </w:r>
          </w:p>
        </w:tc>
        <w:tc>
          <w:tcPr>
            <w:tcW w:type="dxa" w:w="2160"/>
          </w:tcPr>
          <w:p>
            <w:r>
              <w:rPr>
                <w:sz w:val="18"/>
              </w:rPr>
              <w:t>+0.001</w:t>
            </w:r>
          </w:p>
        </w:tc>
      </w:tr>
      <w:tr>
        <w:tc>
          <w:tcPr>
            <w:tcW w:type="dxa" w:w="2160"/>
          </w:tcPr>
          <w:p>
            <w:r>
              <w:rPr>
                <w:sz w:val="18"/>
              </w:rPr>
              <w:t>Paclitaxel</w:t>
            </w:r>
          </w:p>
        </w:tc>
        <w:tc>
          <w:tcPr>
            <w:tcW w:type="dxa" w:w="2160"/>
          </w:tcPr>
          <w:p>
            <w:r>
              <w:t>0.389</w:t>
            </w:r>
            <w:r>
              <w:rPr>
                <w:rFonts w:ascii="Cambria Math" w:hAnsi="Cambria Math" w:cs="Cambria Math" w:eastAsia="Cambria Math"/>
              </w:rPr>
              <w:t>±</w:t>
            </w:r>
            <w:r>
              <w:t>0.096</w:t>
            </w:r>
          </w:p>
        </w:tc>
        <w:tc>
          <w:tcPr>
            <w:tcW w:type="dxa" w:w="2160"/>
          </w:tcPr>
          <w:p>
            <w:r>
              <w:t>0.455</w:t>
            </w:r>
            <w:r>
              <w:rPr>
                <w:rFonts w:ascii="Cambria Math" w:hAnsi="Cambria Math" w:cs="Cambria Math" w:eastAsia="Cambria Math"/>
              </w:rPr>
              <w:t>±</w:t>
            </w:r>
            <w:r>
              <w:t>0.057</w:t>
            </w:r>
          </w:p>
        </w:tc>
        <w:tc>
          <w:tcPr>
            <w:tcW w:type="dxa" w:w="2160"/>
          </w:tcPr>
          <w:p>
            <w:r>
              <w:rPr>
                <w:sz w:val="18"/>
              </w:rPr>
              <w:t>+0.065</w:t>
            </w:r>
          </w:p>
        </w:tc>
      </w:tr>
      <w:tr>
        <w:tc>
          <w:tcPr>
            <w:tcW w:type="dxa" w:w="2160"/>
          </w:tcPr>
          <w:p>
            <w:r>
              <w:rPr>
                <w:sz w:val="18"/>
              </w:rPr>
              <w:t>Gemcitabine</w:t>
            </w:r>
          </w:p>
        </w:tc>
        <w:tc>
          <w:tcPr>
            <w:tcW w:type="dxa" w:w="2160"/>
          </w:tcPr>
          <w:p>
            <w:r>
              <w:t>0.538</w:t>
            </w:r>
            <w:r>
              <w:rPr>
                <w:rFonts w:ascii="Cambria Math" w:hAnsi="Cambria Math" w:cs="Cambria Math" w:eastAsia="Cambria Math"/>
              </w:rPr>
              <w:t>±</w:t>
            </w:r>
            <w:r>
              <w:t>0.109</w:t>
            </w:r>
          </w:p>
        </w:tc>
        <w:tc>
          <w:tcPr>
            <w:tcW w:type="dxa" w:w="2160"/>
          </w:tcPr>
          <w:p>
            <w:r>
              <w:t>0.475</w:t>
            </w:r>
            <w:r>
              <w:rPr>
                <w:rFonts w:ascii="Cambria Math" w:hAnsi="Cambria Math" w:cs="Cambria Math" w:eastAsia="Cambria Math"/>
              </w:rPr>
              <w:t>±</w:t>
            </w:r>
            <w:r>
              <w:t>0.069</w:t>
            </w:r>
          </w:p>
        </w:tc>
        <w:tc>
          <w:tcPr>
            <w:tcW w:type="dxa" w:w="2160"/>
          </w:tcPr>
          <w:p>
            <w:r>
              <w:rPr>
                <w:sz w:val="18"/>
              </w:rPr>
              <w:t>-0.064</w:t>
            </w:r>
          </w:p>
        </w:tc>
      </w:tr>
      <w:tr>
        <w:tc>
          <w:tcPr>
            <w:tcW w:type="dxa" w:w="2160"/>
          </w:tcPr>
          <w:p>
            <w:r>
              <w:rPr>
                <w:sz w:val="18"/>
              </w:rPr>
              <w:t>Tamoxifen</w:t>
            </w:r>
          </w:p>
        </w:tc>
        <w:tc>
          <w:tcPr>
            <w:tcW w:type="dxa" w:w="2160"/>
          </w:tcPr>
          <w:p>
            <w:r>
              <w:t>0.350</w:t>
            </w:r>
            <w:r>
              <w:rPr>
                <w:rFonts w:ascii="Cambria Math" w:hAnsi="Cambria Math" w:cs="Cambria Math" w:eastAsia="Cambria Math"/>
              </w:rPr>
              <w:t>±</w:t>
            </w:r>
            <w:r>
              <w:t>0.126</w:t>
            </w:r>
          </w:p>
        </w:tc>
        <w:tc>
          <w:tcPr>
            <w:tcW w:type="dxa" w:w="2160"/>
          </w:tcPr>
          <w:p>
            <w:r>
              <w:t>0.446</w:t>
            </w:r>
            <w:r>
              <w:rPr>
                <w:rFonts w:ascii="Cambria Math" w:hAnsi="Cambria Math" w:cs="Cambria Math" w:eastAsia="Cambria Math"/>
              </w:rPr>
              <w:t>±</w:t>
            </w:r>
            <w:r>
              <w:t>0.075</w:t>
            </w:r>
          </w:p>
        </w:tc>
        <w:tc>
          <w:tcPr>
            <w:tcW w:type="dxa" w:w="2160"/>
          </w:tcPr>
          <w:p>
            <w:r>
              <w:rPr>
                <w:sz w:val="18"/>
              </w:rPr>
              <w:t>+0.095</w:t>
            </w:r>
          </w:p>
        </w:tc>
      </w:tr>
      <w:tr>
        <w:tc>
          <w:tcPr>
            <w:tcW w:type="dxa" w:w="2160"/>
          </w:tcPr>
          <w:p>
            <w:r>
              <w:rPr>
                <w:sz w:val="18"/>
              </w:rPr>
              <w:t>Lapatinib</w:t>
            </w:r>
          </w:p>
        </w:tc>
        <w:tc>
          <w:tcPr>
            <w:tcW w:type="dxa" w:w="2160"/>
          </w:tcPr>
          <w:p>
            <w:r>
              <w:t>0.432</w:t>
            </w:r>
            <w:r>
              <w:rPr>
                <w:rFonts w:ascii="Cambria Math" w:hAnsi="Cambria Math" w:cs="Cambria Math" w:eastAsia="Cambria Math"/>
              </w:rPr>
              <w:t>±</w:t>
            </w:r>
            <w:r>
              <w:t>0.148</w:t>
            </w:r>
          </w:p>
        </w:tc>
        <w:tc>
          <w:tcPr>
            <w:tcW w:type="dxa" w:w="2160"/>
          </w:tcPr>
          <w:p>
            <w:r>
              <w:t>0.458</w:t>
            </w:r>
            <w:r>
              <w:rPr>
                <w:rFonts w:ascii="Cambria Math" w:hAnsi="Cambria Math" w:cs="Cambria Math" w:eastAsia="Cambria Math"/>
              </w:rPr>
              <w:t>±</w:t>
            </w:r>
            <w:r>
              <w:t>0.192</w:t>
            </w:r>
          </w:p>
        </w:tc>
        <w:tc>
          <w:tcPr>
            <w:tcW w:type="dxa" w:w="2160"/>
          </w:tcPr>
          <w:p>
            <w:r>
              <w:rPr>
                <w:sz w:val="18"/>
              </w:rPr>
              <w:t>+0.027</w:t>
            </w:r>
          </w:p>
        </w:tc>
      </w:tr>
      <w:tr>
        <w:tc>
          <w:tcPr>
            <w:tcW w:type="dxa" w:w="2160"/>
          </w:tcPr>
          <w:p>
            <w:r>
              <w:rPr>
                <w:sz w:val="18"/>
              </w:rPr>
              <w:t>Vinblastine</w:t>
            </w:r>
          </w:p>
        </w:tc>
        <w:tc>
          <w:tcPr>
            <w:tcW w:type="dxa" w:w="2160"/>
          </w:tcPr>
          <w:p>
            <w:r>
              <w:t>0.450</w:t>
            </w:r>
            <w:r>
              <w:rPr>
                <w:rFonts w:ascii="Cambria Math" w:hAnsi="Cambria Math" w:cs="Cambria Math" w:eastAsia="Cambria Math"/>
              </w:rPr>
              <w:t>±</w:t>
            </w:r>
            <w:r>
              <w:t>0.097</w:t>
            </w:r>
          </w:p>
        </w:tc>
        <w:tc>
          <w:tcPr>
            <w:tcW w:type="dxa" w:w="2160"/>
          </w:tcPr>
          <w:p>
            <w:r>
              <w:t>0.525</w:t>
            </w:r>
            <w:r>
              <w:rPr>
                <w:rFonts w:ascii="Cambria Math" w:hAnsi="Cambria Math" w:cs="Cambria Math" w:eastAsia="Cambria Math"/>
              </w:rPr>
              <w:t>±</w:t>
            </w:r>
            <w:r>
              <w:t>0.081</w:t>
            </w:r>
          </w:p>
        </w:tc>
        <w:tc>
          <w:tcPr>
            <w:tcW w:type="dxa" w:w="2160"/>
          </w:tcPr>
          <w:p>
            <w:r>
              <w:rPr>
                <w:sz w:val="18"/>
              </w:rPr>
              <w:t>+0.075</w:t>
            </w:r>
          </w:p>
        </w:tc>
      </w:tr>
      <w:tr>
        <w:tc>
          <w:tcPr>
            <w:tcW w:type="dxa" w:w="2160"/>
          </w:tcPr>
          <w:p>
            <w:r>
              <w:rPr>
                <w:sz w:val="18"/>
              </w:rPr>
              <w:t>OSI-027</w:t>
            </w:r>
          </w:p>
        </w:tc>
        <w:tc>
          <w:tcPr>
            <w:tcW w:type="dxa" w:w="2160"/>
          </w:tcPr>
          <w:p>
            <w:r>
              <w:t>0.530</w:t>
            </w:r>
            <w:r>
              <w:rPr>
                <w:rFonts w:ascii="Cambria Math" w:hAnsi="Cambria Math" w:cs="Cambria Math" w:eastAsia="Cambria Math"/>
              </w:rPr>
              <w:t>±</w:t>
            </w:r>
            <w:r>
              <w:t>0.084</w:t>
            </w:r>
          </w:p>
        </w:tc>
        <w:tc>
          <w:tcPr>
            <w:tcW w:type="dxa" w:w="2160"/>
          </w:tcPr>
          <w:p>
            <w:r>
              <w:t>0.533</w:t>
            </w:r>
            <w:r>
              <w:rPr>
                <w:rFonts w:ascii="Cambria Math" w:hAnsi="Cambria Math" w:cs="Cambria Math" w:eastAsia="Cambria Math"/>
              </w:rPr>
              <w:t>±</w:t>
            </w:r>
            <w:r>
              <w:t>0.111</w:t>
            </w:r>
          </w:p>
        </w:tc>
        <w:tc>
          <w:tcPr>
            <w:tcW w:type="dxa" w:w="2160"/>
          </w:tcPr>
          <w:p>
            <w:r>
              <w:rPr>
                <w:sz w:val="18"/>
              </w:rPr>
              <w:t>+0.004</w:t>
            </w:r>
          </w:p>
        </w:tc>
      </w:tr>
      <w:tr>
        <w:tc>
          <w:tcPr>
            <w:tcW w:type="dxa" w:w="2160"/>
          </w:tcPr>
          <w:p>
            <w:r>
              <w:rPr>
                <w:sz w:val="18"/>
              </w:rPr>
              <w:t>Daporinad</w:t>
            </w:r>
          </w:p>
        </w:tc>
        <w:tc>
          <w:tcPr>
            <w:tcW w:type="dxa" w:w="2160"/>
          </w:tcPr>
          <w:p>
            <w:r>
              <w:t>0.313</w:t>
            </w:r>
            <w:r>
              <w:rPr>
                <w:rFonts w:ascii="Cambria Math" w:hAnsi="Cambria Math" w:cs="Cambria Math" w:eastAsia="Cambria Math"/>
              </w:rPr>
              <w:t>±</w:t>
            </w:r>
            <w:r>
              <w:t>0.101</w:t>
            </w:r>
          </w:p>
        </w:tc>
        <w:tc>
          <w:tcPr>
            <w:tcW w:type="dxa" w:w="2160"/>
          </w:tcPr>
          <w:p>
            <w:r>
              <w:t>0.313</w:t>
            </w:r>
            <w:r>
              <w:rPr>
                <w:rFonts w:ascii="Cambria Math" w:hAnsi="Cambria Math" w:cs="Cambria Math" w:eastAsia="Cambria Math"/>
              </w:rPr>
              <w:t>±</w:t>
            </w:r>
            <w:r>
              <w:t>0.090</w:t>
            </w:r>
          </w:p>
        </w:tc>
        <w:tc>
          <w:tcPr>
            <w:tcW w:type="dxa" w:w="2160"/>
          </w:tcPr>
          <w:p>
            <w:r>
              <w:rPr>
                <w:sz w:val="18"/>
              </w:rPr>
              <w:t>-0.001</w:t>
            </w:r>
          </w:p>
        </w:tc>
      </w:tr>
      <w:tr>
        <w:tc>
          <w:tcPr>
            <w:tcW w:type="dxa" w:w="2160"/>
          </w:tcPr>
          <w:p>
            <w:r>
              <w:rPr>
                <w:sz w:val="18"/>
              </w:rPr>
              <w:t>Venetoclax</w:t>
            </w:r>
          </w:p>
        </w:tc>
        <w:tc>
          <w:tcPr>
            <w:tcW w:type="dxa" w:w="2160"/>
          </w:tcPr>
          <w:p>
            <w:r>
              <w:t>0.487</w:t>
            </w:r>
            <w:r>
              <w:rPr>
                <w:rFonts w:ascii="Cambria Math" w:hAnsi="Cambria Math" w:cs="Cambria Math" w:eastAsia="Cambria Math"/>
              </w:rPr>
              <w:t>±</w:t>
            </w:r>
            <w:r>
              <w:t>0.103</w:t>
            </w:r>
          </w:p>
        </w:tc>
        <w:tc>
          <w:tcPr>
            <w:tcW w:type="dxa" w:w="2160"/>
          </w:tcPr>
          <w:p>
            <w:r>
              <w:t>0.419</w:t>
            </w:r>
            <w:r>
              <w:rPr>
                <w:rFonts w:ascii="Cambria Math" w:hAnsi="Cambria Math" w:cs="Cambria Math" w:eastAsia="Cambria Math"/>
              </w:rPr>
              <w:t>±</w:t>
            </w:r>
            <w:r>
              <w:t>0.070</w:t>
            </w:r>
          </w:p>
        </w:tc>
        <w:tc>
          <w:tcPr>
            <w:tcW w:type="dxa" w:w="2160"/>
          </w:tcPr>
          <w:p>
            <w:r>
              <w:rPr>
                <w:sz w:val="18"/>
              </w:rPr>
              <w:t>-0.068</w:t>
            </w:r>
          </w:p>
        </w:tc>
      </w:tr>
      <w:tr>
        <w:tc>
          <w:tcPr>
            <w:tcW w:type="dxa" w:w="2160"/>
          </w:tcPr>
          <w:p>
            <w:r>
              <w:rPr>
                <w:sz w:val="18"/>
              </w:rPr>
              <w:t>ABT737</w:t>
            </w:r>
          </w:p>
        </w:tc>
        <w:tc>
          <w:tcPr>
            <w:tcW w:type="dxa" w:w="2160"/>
          </w:tcPr>
          <w:p>
            <w:r>
              <w:t>0.378</w:t>
            </w:r>
            <w:r>
              <w:rPr>
                <w:rFonts w:ascii="Cambria Math" w:hAnsi="Cambria Math" w:cs="Cambria Math" w:eastAsia="Cambria Math"/>
              </w:rPr>
              <w:t>±</w:t>
            </w:r>
            <w:r>
              <w:t>0.050</w:t>
            </w:r>
          </w:p>
        </w:tc>
        <w:tc>
          <w:tcPr>
            <w:tcW w:type="dxa" w:w="2160"/>
          </w:tcPr>
          <w:p>
            <w:r>
              <w:t>0.366</w:t>
            </w:r>
            <w:r>
              <w:rPr>
                <w:rFonts w:ascii="Cambria Math" w:hAnsi="Cambria Math" w:cs="Cambria Math" w:eastAsia="Cambria Math"/>
              </w:rPr>
              <w:t>±</w:t>
            </w:r>
            <w:r>
              <w:t>0.042</w:t>
            </w:r>
          </w:p>
        </w:tc>
        <w:tc>
          <w:tcPr>
            <w:tcW w:type="dxa" w:w="2160"/>
          </w:tcPr>
          <w:p>
            <w:r>
              <w:rPr>
                <w:sz w:val="18"/>
              </w:rPr>
              <w:t>-0.012</w:t>
            </w:r>
          </w:p>
        </w:tc>
      </w:tr>
      <w:tr>
        <w:tc>
          <w:tcPr>
            <w:tcW w:type="dxa" w:w="2160"/>
          </w:tcPr>
          <w:p>
            <w:r>
              <w:rPr>
                <w:sz w:val="18"/>
              </w:rPr>
              <w:t>AZD5991</w:t>
            </w:r>
          </w:p>
        </w:tc>
        <w:tc>
          <w:tcPr>
            <w:tcW w:type="dxa" w:w="2160"/>
          </w:tcPr>
          <w:p>
            <w:r>
              <w:t>0.484</w:t>
            </w:r>
            <w:r>
              <w:rPr>
                <w:rFonts w:ascii="Cambria Math" w:hAnsi="Cambria Math" w:cs="Cambria Math" w:eastAsia="Cambria Math"/>
              </w:rPr>
              <w:t>±</w:t>
            </w:r>
            <w:r>
              <w:t>0.034</w:t>
            </w:r>
          </w:p>
        </w:tc>
        <w:tc>
          <w:tcPr>
            <w:tcW w:type="dxa" w:w="2160"/>
          </w:tcPr>
          <w:p>
            <w:r>
              <w:t>0.506</w:t>
            </w:r>
            <w:r>
              <w:rPr>
                <w:rFonts w:ascii="Cambria Math" w:hAnsi="Cambria Math" w:cs="Cambria Math" w:eastAsia="Cambria Math"/>
              </w:rPr>
              <w:t>±</w:t>
            </w:r>
            <w:r>
              <w:t>0.030</w:t>
            </w:r>
          </w:p>
        </w:tc>
        <w:tc>
          <w:tcPr>
            <w:tcW w:type="dxa" w:w="2160"/>
          </w:tcPr>
          <w:p>
            <w:r>
              <w:rPr>
                <w:sz w:val="18"/>
              </w:rPr>
              <w:t>+0.022</w:t>
            </w:r>
          </w:p>
        </w:tc>
      </w:tr>
      <w:tr>
        <w:tc>
          <w:tcPr>
            <w:tcW w:type="dxa" w:w="2160"/>
          </w:tcPr>
          <w:p>
            <w:r>
              <w:rPr>
                <w:sz w:val="18"/>
              </w:rPr>
              <w:t>Fulvestrant</w:t>
            </w:r>
          </w:p>
        </w:tc>
        <w:tc>
          <w:tcPr>
            <w:tcW w:type="dxa" w:w="2160"/>
          </w:tcPr>
          <w:p>
            <w:r>
              <w:t>0.419</w:t>
            </w:r>
            <w:r>
              <w:rPr>
                <w:rFonts w:ascii="Cambria Math" w:hAnsi="Cambria Math" w:cs="Cambria Math" w:eastAsia="Cambria Math"/>
              </w:rPr>
              <w:t>±</w:t>
            </w:r>
            <w:r>
              <w:t>0.122</w:t>
            </w:r>
          </w:p>
        </w:tc>
        <w:tc>
          <w:tcPr>
            <w:tcW w:type="dxa" w:w="2160"/>
          </w:tcPr>
          <w:p>
            <w:r>
              <w:t>0.432</w:t>
            </w:r>
            <w:r>
              <w:rPr>
                <w:rFonts w:ascii="Cambria Math" w:hAnsi="Cambria Math" w:cs="Cambria Math" w:eastAsia="Cambria Math"/>
              </w:rPr>
              <w:t>±</w:t>
            </w:r>
            <w:r>
              <w:t>0.059</w:t>
            </w:r>
          </w:p>
        </w:tc>
        <w:tc>
          <w:tcPr>
            <w:tcW w:type="dxa" w:w="2160"/>
          </w:tcPr>
          <w:p>
            <w:r>
              <w:rPr>
                <w:sz w:val="18"/>
              </w:rPr>
              <w:t>+0.013</w:t>
            </w:r>
          </w:p>
        </w:tc>
      </w:tr>
      <w:tr>
        <w:tc>
          <w:tcPr>
            <w:tcW w:type="dxa" w:w="2160"/>
          </w:tcPr>
          <w:p>
            <w:r>
              <w:rPr>
                <w:sz w:val="18"/>
              </w:rPr>
              <w:t>Mean</w:t>
            </w:r>
          </w:p>
        </w:tc>
        <w:tc>
          <w:tcPr>
            <w:tcW w:type="dxa" w:w="2160"/>
          </w:tcPr>
          <w:p>
            <w:r>
              <w:t>0.445</w:t>
            </w:r>
            <w:r>
              <w:rPr>
                <w:rFonts w:ascii="Cambria Math" w:hAnsi="Cambria Math" w:cs="Cambria Math" w:eastAsia="Cambria Math"/>
              </w:rPr>
              <w:t>±</w:t>
            </w:r>
            <w:r>
              <w:t>0.057</w:t>
            </w:r>
          </w:p>
        </w:tc>
        <w:tc>
          <w:tcPr>
            <w:tcW w:type="dxa" w:w="2160"/>
          </w:tcPr>
          <w:p>
            <w:r>
              <w:t>0.455</w:t>
            </w:r>
            <w:r>
              <w:rPr>
                <w:rFonts w:ascii="Cambria Math" w:hAnsi="Cambria Math" w:cs="Cambria Math" w:eastAsia="Cambria Math"/>
              </w:rPr>
              <w:t>±</w:t>
            </w:r>
            <w:r>
              <w:t>0.023</w:t>
            </w:r>
          </w:p>
        </w:tc>
        <w:tc>
          <w:tcPr>
            <w:tcW w:type="dxa" w:w="2160"/>
          </w:tcPr>
          <w:p>
            <w:r>
              <w:rPr>
                <w:sz w:val="18"/>
              </w:rPr>
              <w:t>+0.011</w:t>
            </w: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Modality</w:t>
            </w:r>
          </w:p>
        </w:tc>
        <w:tc>
          <w:tcPr>
            <w:tcW w:type="dxa" w:w="1728"/>
          </w:tcPr>
          <w:p>
            <w:r>
              <w:rPr>
                <w:b/>
                <w:sz w:val="18"/>
              </w:rPr>
              <w:t>PCC_drug (ablated)</w:t>
            </w:r>
          </w:p>
        </w:tc>
        <w:tc>
          <w:tcPr>
            <w:tcW w:type="dxa" w:w="1728"/>
          </w:tcPr>
          <w:p>
            <w:r>
              <w:rPr>
                <w:b/>
                <w:sz w:val="18"/>
              </w:rPr>
              <w:t>PCC_drug (full)</w:t>
            </w:r>
          </w:p>
        </w:tc>
        <w:tc>
          <w:tcPr>
            <w:tcW w:type="dxa" w:w="1728"/>
          </w:tcPr>
          <w:p>
            <w:r>
              <w:rPr>
                <w:rFonts w:ascii="Cambria Math" w:hAnsi="Cambria Math" w:cs="Cambria Math" w:eastAsia="Cambria Math"/>
              </w:rPr>
              <w:t>Δ</w:t>
            </w:r>
            <w:r>
              <w:t>PCC (drop)</w:t>
            </w:r>
          </w:p>
        </w:tc>
        <w:tc>
          <w:tcPr>
            <w:tcW w:type="dxa" w:w="1728"/>
          </w:tcPr>
          <w:p>
            <w:r>
              <w:rPr>
                <w:b/>
                <w:sz w:val="18"/>
              </w:rPr>
              <w:t>Relative contribution</w:t>
            </w:r>
          </w:p>
        </w:tc>
      </w:tr>
      <w:tr>
        <w:tc>
          <w:tcPr>
            <w:tcW w:type="dxa" w:w="1728"/>
          </w:tcPr>
          <w:p>
            <w:r>
              <w:rPr>
                <w:sz w:val="18"/>
              </w:rPr>
              <w:t>Histopathology (H&amp;E)</w:t>
            </w:r>
          </w:p>
        </w:tc>
        <w:tc>
          <w:tcPr>
            <w:tcW w:type="dxa" w:w="1728"/>
          </w:tcPr>
          <w:p>
            <w:r>
              <w:rPr>
                <w:sz w:val="18"/>
              </w:rPr>
              <w:t>0.241</w:t>
            </w:r>
          </w:p>
        </w:tc>
        <w:tc>
          <w:tcPr>
            <w:tcW w:type="dxa" w:w="1728"/>
          </w:tcPr>
          <w:p>
            <w:r>
              <w:rPr>
                <w:sz w:val="18"/>
              </w:rPr>
              <w:t>0.641</w:t>
            </w:r>
          </w:p>
        </w:tc>
        <w:tc>
          <w:tcPr>
            <w:tcW w:type="dxa" w:w="1728"/>
          </w:tcPr>
          <w:p>
            <w:r>
              <w:rPr>
                <w:sz w:val="18"/>
              </w:rPr>
              <w:t>0.400</w:t>
            </w:r>
          </w:p>
        </w:tc>
        <w:tc>
          <w:tcPr>
            <w:tcW w:type="dxa" w:w="1728"/>
          </w:tcPr>
          <w:p>
            <w:r>
              <w:rPr>
                <w:sz w:val="18"/>
              </w:rPr>
              <w:t>89.5%</w:t>
            </w:r>
          </w:p>
        </w:tc>
      </w:tr>
      <w:tr>
        <w:tc>
          <w:tcPr>
            <w:tcW w:type="dxa" w:w="1728"/>
          </w:tcPr>
          <w:p>
            <w:r>
              <w:rPr>
                <w:sz w:val="18"/>
              </w:rPr>
              <w:t>Transcriptomic (RNA)</w:t>
            </w:r>
          </w:p>
        </w:tc>
        <w:tc>
          <w:tcPr>
            <w:tcW w:type="dxa" w:w="1728"/>
          </w:tcPr>
          <w:p>
            <w:r>
              <w:rPr>
                <w:sz w:val="18"/>
              </w:rPr>
              <w:t>0.595</w:t>
            </w:r>
          </w:p>
        </w:tc>
        <w:tc>
          <w:tcPr>
            <w:tcW w:type="dxa" w:w="1728"/>
          </w:tcPr>
          <w:p>
            <w:r>
              <w:rPr>
                <w:sz w:val="18"/>
              </w:rPr>
              <w:t>0.641</w:t>
            </w:r>
          </w:p>
        </w:tc>
        <w:tc>
          <w:tcPr>
            <w:tcW w:type="dxa" w:w="1728"/>
          </w:tcPr>
          <w:p>
            <w:r>
              <w:rPr>
                <w:sz w:val="18"/>
              </w:rPr>
              <w:t>0.046</w:t>
            </w:r>
          </w:p>
        </w:tc>
        <w:tc>
          <w:tcPr>
            <w:tcW w:type="dxa" w:w="1728"/>
          </w:tcPr>
          <w:p>
            <w:r>
              <w:rPr>
                <w:sz w:val="18"/>
              </w:rPr>
              <w:t>10.4%</w:t>
            </w:r>
          </w:p>
        </w:tc>
      </w:tr>
      <w:tr>
        <w:tc>
          <w:tcPr>
            <w:tcW w:type="dxa" w:w="1728"/>
          </w:tcPr>
          <w:p>
            <w:r>
              <w:rPr>
                <w:sz w:val="18"/>
              </w:rPr>
              <w:t>Proteomic (RPPA)</w:t>
            </w:r>
          </w:p>
        </w:tc>
        <w:tc>
          <w:tcPr>
            <w:tcW w:type="dxa" w:w="1728"/>
          </w:tcPr>
          <w:p>
            <w:r>
              <w:rPr>
                <w:sz w:val="18"/>
              </w:rPr>
              <w:t>0.640</w:t>
            </w:r>
          </w:p>
        </w:tc>
        <w:tc>
          <w:tcPr>
            <w:tcW w:type="dxa" w:w="1728"/>
          </w:tcPr>
          <w:p>
            <w:r>
              <w:rPr>
                <w:sz w:val="18"/>
              </w:rPr>
              <w:t>0.641</w:t>
            </w:r>
          </w:p>
        </w:tc>
        <w:tc>
          <w:tcPr>
            <w:tcW w:type="dxa" w:w="1728"/>
          </w:tcPr>
          <w:p>
            <w:r>
              <w:rPr>
                <w:sz w:val="18"/>
              </w:rPr>
              <w:t>0.001</w:t>
            </w:r>
          </w:p>
        </w:tc>
        <w:tc>
          <w:tcPr>
            <w:tcW w:type="dxa" w:w="1728"/>
          </w:tcPr>
          <w:p>
            <w:r>
              <w:rPr>
                <w:sz w:val="18"/>
              </w:rPr>
              <w:t>0.2%</w:t>
            </w:r>
          </w:p>
        </w:tc>
      </w:tr>
      <w:tr>
        <w:tc>
          <w:tcPr>
            <w:tcW w:type="dxa" w:w="1728"/>
          </w:tcPr>
          <w:p>
            <w:r>
              <w:rPr>
                <w:sz w:val="18"/>
              </w:rPr>
              <w:t>Genomic (Mutation)</w:t>
            </w:r>
          </w:p>
        </w:tc>
        <w:tc>
          <w:tcPr>
            <w:tcW w:type="dxa" w:w="1728"/>
          </w:tcPr>
          <w:p>
            <w:r>
              <w:rPr>
                <w:sz w:val="18"/>
              </w:rPr>
              <w:t>0.641</w:t>
            </w:r>
          </w:p>
        </w:tc>
        <w:tc>
          <w:tcPr>
            <w:tcW w:type="dxa" w:w="1728"/>
          </w:tcPr>
          <w:p>
            <w:r>
              <w:rPr>
                <w:sz w:val="18"/>
              </w:rPr>
              <w:t>0.641</w:t>
            </w:r>
          </w:p>
        </w:tc>
        <w:tc>
          <w:tcPr>
            <w:tcW w:type="dxa" w:w="1728"/>
          </w:tcPr>
          <w:p>
            <w:r>
              <w:rPr>
                <w:sz w:val="18"/>
              </w:rPr>
              <w:t>&lt;0.001</w:t>
            </w:r>
          </w:p>
        </w:tc>
        <w:tc>
          <w:tcPr>
            <w:tcW w:type="dxa" w:w="1728"/>
          </w:tcPr>
          <w:p>
            <w:r>
              <w:rPr>
                <w:sz w:val="18"/>
              </w:rPr>
              <w:t>&lt;0.1%</w:t>
            </w:r>
          </w:p>
        </w:tc>
      </w:tr>
    </w:tbl>
    <w:p/>
    <w:p>
      <w:r>
        <w:rPr>
          <w:b/>
        </w:rPr>
        <w:t>Figure 1.</w:t>
      </w:r>
      <w:r>
        <w:t xml:space="preserve"> Study design. (A) PathOmicDRP architecture integrating four modality-specific encoders through cross-attention fusion. (B) TCGA-BRCA data availability across modalities. (C) Multi-modal patient intersections.</w:t>
      </w:r>
    </w:p>
    <w:p>
      <w:r>
        <w:t>Figure 2. Model performance. (A) Progressive modality integration showing per-drug PCC improvement. (B) Predicted vs. actual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scatter (global PCC = 0.952). (C) Benchmark comparison against traditional ML methods. (D) Per-drug PCC for 3-modal vs. 4-modal with significance annotations. (E) Cross-validation stability showing reduced variance in 4-modal model.</w:t>
      </w:r>
    </w:p>
    <w:p>
      <w:r>
        <w:t>Figure 3. Clinical validation and biomarker concordance. (A) Direct treatment outcome prediction AUC: 4-modal vs. 3-modal embeddings. (B) ER status stratification of predicted Tamoxifen and Fulvestrant IC</w:t>
      </w:r>
      <w:r>
        <w:rPr>
          <w:rFonts w:ascii="Cambria Math" w:hAnsi="Cambria Math" w:cs="Cambria Math" w:eastAsia="Cambria Math"/>
          <w:vertAlign w:val="subscript"/>
        </w:rPr>
        <w:t>5</w:t>
      </w:r>
      <w:r>
        <w:rPr>
          <w:rFonts w:ascii="Cambria Math" w:hAnsi="Cambria Math" w:cs="Cambria Math" w:eastAsia="Cambria Math"/>
          <w:vertAlign w:val="subscript"/>
        </w:rPr>
        <w:t>0</w:t>
      </w:r>
      <w:r>
        <w:t>. (C) HER2 status stratification of predicted Lapatinib IC</w:t>
      </w:r>
      <w:r>
        <w:rPr>
          <w:rFonts w:ascii="Cambria Math" w:hAnsi="Cambria Math" w:cs="Cambria Math" w:eastAsia="Cambria Math"/>
          <w:vertAlign w:val="subscript"/>
        </w:rPr>
        <w:t>5</w:t>
      </w:r>
      <w:r>
        <w:rPr>
          <w:rFonts w:ascii="Cambria Math" w:hAnsi="Cambria Math" w:cs="Cambria Math" w:eastAsia="Cambria Math"/>
          <w:vertAlign w:val="subscript"/>
        </w:rPr>
        <w:t>0</w:t>
      </w:r>
      <w:r>
        <w:t>. (D) PIK3CA mutation effects on predicted drug sensitivity. (E) Docetaxel clinical validation waterfall. (F) Biomarker-drug concordance significance.</w:t>
      </w:r>
    </w:p>
    <w:p>
      <w:r>
        <w:t>Figure 4. Biological insights. (A) UMAP of fused 4-modal embeddings by molecular subtype. (B) UMAP by predicted Tamoxifen IC</w:t>
      </w:r>
      <w:r>
        <w:rPr>
          <w:rFonts w:ascii="Cambria Math" w:hAnsi="Cambria Math" w:cs="Cambria Math" w:eastAsia="Cambria Math"/>
          <w:vertAlign w:val="subscript"/>
        </w:rPr>
        <w:t>5</w:t>
      </w:r>
      <w:r>
        <w:rPr>
          <w:rFonts w:ascii="Cambria Math" w:hAnsi="Cambria Math" w:cs="Cambria Math" w:eastAsia="Cambria Math"/>
          <w:vertAlign w:val="subscript"/>
        </w:rPr>
        <w:t>0</w:t>
      </w:r>
      <w:r>
        <w:t>. (C) Subtype-specific drug sensitivity heatmap with Kruskal-Wallis significance. (D) Drug clustering by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correlation with MOA annotations. (E) ABMIL attention heatmap on H&amp;E tissue with zoom inset of high-attention region. (F) Drug sensitivity radar by subtype.</w:t>
      </w:r>
    </w:p>
    <w:p>
      <w:r>
        <w:t xml:space="preserve">Figure 5. Interpretability. (A) Modality importance by PCC drop upon ablation. (B) Top 12 genomic features by gradient </w:t>
      </w:r>
      <w:r>
        <w:rPr>
          <w:rFonts w:ascii="Cambria Math" w:hAnsi="Cambria Math" w:cs="Cambria Math" w:eastAsia="Cambria Math"/>
        </w:rPr>
        <w:t>×</w:t>
      </w:r>
      <w:r>
        <w:t xml:space="preserve"> input attribution. (C) Per-drug </w:t>
      </w:r>
      <w:r>
        <w:rPr>
          <w:rFonts w:ascii="Cambria Math" w:hAnsi="Cambria Math" w:cs="Cambria Math" w:eastAsia="Cambria Math"/>
        </w:rPr>
        <w:t>Δ</w:t>
      </w:r>
      <w:r>
        <w:t>PCC waterfall showing H&amp;E contribution. (D) Attention entropy vs. tissue patch count.</w:t>
      </w:r>
    </w:p>
    <w:p>
      <w:r>
        <w:rPr>
          <w:b/>
        </w:rPr>
        <w:t>Figure 6.</w:t>
      </w:r>
      <w:r>
        <w:t xml:space="preserve"> Generalization and advanced analyses. (A) Leave-one-drug-out PCC for 13 drugs. (B) Drug-specific attention correlation matrix. (C) Multi-task (drug + survival) vs. single-task comparison. (D) Tissue phenotype clusters from top-attention patches. (E) Cluster-specific drug sensitivity heatmap. (F) Summary of key results.</w:t>
      </w:r>
    </w:p>
    <w:p>
      <w:r>
        <w:t>Figure 7. Performance dissociation between imputed and clinical metrics. (A)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prediction accuracy (PCC</w:t>
      </w:r>
      <w:r>
        <w:rPr>
          <w:rFonts w:ascii="Cambria Math" w:hAnsi="Cambria Math" w:cs="Cambria Math" w:eastAsia="Cambria Math"/>
          <w:vertAlign w:val="subscript"/>
        </w:rPr>
        <w:t>drug</w:t>
      </w:r>
      <w:r>
        <w:t>) across baseline methods and PathOmicDRP. ElasticNet achieves near-perfect accuracy due to the circular relationship between linear imputation targets and linear prediction. (B) Clinical treatment response prediction (AUC) for three drugs with sufficient treatment outcome data. PathOmicDRP 4-modal dramatically outperforms all baselines, demonstrating that cross-attention fusion captures clinically meaningful signals that imputed IC</w:t>
      </w:r>
      <w:r>
        <w:rPr>
          <w:rFonts w:ascii="Cambria Math" w:hAnsi="Cambria Math" w:cs="Cambria Math" w:eastAsia="Cambria Math"/>
          <w:vertAlign w:val="subscript"/>
        </w:rPr>
        <w:t>5</w:t>
      </w:r>
      <w:r>
        <w:rPr>
          <w:rFonts w:ascii="Cambria Math" w:hAnsi="Cambria Math" w:cs="Cambria Math" w:eastAsia="Cambria Math"/>
          <w:vertAlign w:val="subscript"/>
        </w:rPr>
        <w:t>0</w:t>
      </w:r>
      <w:r>
        <w:t xml:space="preserve"> accuracy fails to reflect. Dashed line indicates random performance (AUC = 0.5). Error bars represent standard deviation across cross-validation folds.</w:t>
      </w:r>
    </w:p>
    <w:p>
      <w:pPr/>
      <w:r>
        <w:t>Figure 8. Modality dropout robustness comparison. PCC_drug retention (%) as a function of the number of dropped modalities at inference time. Cross-attention (PathOmicDRP, blue) shows consistently higher retention than self-attention (orange), with the advantage widening from +4.4 pp (1 dropped) to +12.6 pp (3 dropped). Error bars represent standard deviation across different modality drop combinations. This demonstrates that cross-attention learns complementary cross-modal routing that enables graceful degradation when modalities are missing.</w:t>
      </w:r>
    </w:p>
    <w:p>
      <w:pPr/>
      <w:r>
        <w:t xml:space="preserve">Figure S16. External validation against GDSC pharmacological data. (A) Drug-drug correlation structure conservation between TCGA patient predictions and GDSC cell line real IC50 (Mantel Spearman </w:t>
      </w:r>
      <w:r>
        <w:rPr>
          <w:rFonts w:ascii="Cambria Math" w:hAnsi="Cambria Math" w:cs="Cambria Math" w:eastAsia="Cambria Math"/>
        </w:rPr>
        <w:t>ρ</w:t>
      </w:r>
      <w:r>
        <w:t xml:space="preserve"> = 0.524, p = 8.4 </w:t>
      </w:r>
      <w:r>
        <w:rPr>
          <w:rFonts w:ascii="Cambria Math" w:hAnsi="Cambria Math" w:cs="Cambria Math" w:eastAsia="Cambria Math"/>
        </w:rPr>
        <w:t>×</w:t>
      </w:r>
      <w:r>
        <w:t xml:space="preserve"> 10-7). (B) IC50 variance comparison across 13 drugs. (C) Mean drug sensitivity ranking correlation (</w:t>
      </w:r>
      <w:r>
        <w:rPr>
          <w:rFonts w:ascii="Cambria Math" w:hAnsi="Cambria Math" w:cs="Cambria Math" w:eastAsia="Cambria Math"/>
        </w:rPr>
        <w:t>ρ</w:t>
      </w:r>
      <w:r>
        <w:t xml:space="preserve"> = 0.670, p = 0.012). (D) Drug-drug correlation heatmap (upper triangle: TCGA predictions; lower triangle: GDSC real IC50).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